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73" w:rsidRDefault="006D3F73" w:rsidP="006D3F73">
      <w:pPr>
        <w:pStyle w:val="ListParagraph"/>
        <w:spacing w:after="0" w:line="240" w:lineRule="auto"/>
        <w:ind w:left="-425" w:right="-556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Get Involved</w:t>
      </w:r>
    </w:p>
    <w:p w:rsidR="006D3F73" w:rsidRDefault="006D3F73" w:rsidP="006D3F73">
      <w:pPr>
        <w:pStyle w:val="ListParagraph"/>
        <w:spacing w:after="0" w:line="240" w:lineRule="auto"/>
        <w:ind w:left="-425" w:right="-556"/>
        <w:jc w:val="center"/>
        <w:rPr>
          <w:rFonts w:ascii="Century Gothic" w:hAnsi="Century Gothic"/>
          <w:sz w:val="20"/>
          <w:szCs w:val="20"/>
        </w:rPr>
      </w:pPr>
    </w:p>
    <w:p w:rsidR="006D3F73" w:rsidRDefault="006D3F73" w:rsidP="006D3F73">
      <w:pPr>
        <w:pStyle w:val="ListParagraph"/>
        <w:spacing w:after="0" w:line="240" w:lineRule="auto"/>
        <w:ind w:left="-425" w:right="-55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By joining the Methodist Tax Justice Network, you will receive regular email updates about our events, media appearances and opportunities to get on the campaign trail.</w:t>
      </w:r>
    </w:p>
    <w:p w:rsidR="006D3F73" w:rsidRDefault="006D3F73" w:rsidP="006D3F73">
      <w:pPr>
        <w:pStyle w:val="ListParagraph"/>
        <w:spacing w:after="0" w:line="240" w:lineRule="auto"/>
        <w:ind w:left="-425" w:right="-556"/>
        <w:jc w:val="both"/>
        <w:rPr>
          <w:rFonts w:ascii="Century Gothic" w:hAnsi="Century Gothic"/>
          <w:b/>
          <w:sz w:val="20"/>
          <w:szCs w:val="20"/>
        </w:rPr>
      </w:pPr>
    </w:p>
    <w:p w:rsidR="006D3F73" w:rsidRDefault="006D3F73" w:rsidP="006D3F73">
      <w:pPr>
        <w:pStyle w:val="ListParagraph"/>
        <w:spacing w:after="0" w:line="240" w:lineRule="auto"/>
        <w:ind w:left="-425"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you need to do is provide us with your name, your email address and your church and circuit (if applicable), either using the sign-up form provided or by emailing Matthew Jones at </w:t>
      </w:r>
      <w:hyperlink r:id="rId7" w:history="1">
        <w:r w:rsidRPr="008D2669">
          <w:rPr>
            <w:rStyle w:val="Hyperlink"/>
            <w:rFonts w:ascii="Century Gothic" w:hAnsi="Century Gothic"/>
            <w:sz w:val="20"/>
            <w:szCs w:val="20"/>
          </w:rPr>
          <w:t>mtjncoordinator@gmail.com</w:t>
        </w:r>
      </w:hyperlink>
      <w:r>
        <w:rPr>
          <w:rFonts w:ascii="Century Gothic" w:hAnsi="Century Gothic"/>
          <w:sz w:val="20"/>
          <w:szCs w:val="20"/>
        </w:rPr>
        <w:t xml:space="preserve">, and we’ll add you to the mailing list. If you do not have an email address, then please provide a postal address and we will send you updates and event publicity materials. We will not pass on your details to any third parties. </w:t>
      </w:r>
    </w:p>
    <w:p w:rsidR="006D3F73" w:rsidRDefault="006D3F73" w:rsidP="006D3F73">
      <w:pPr>
        <w:pStyle w:val="ListParagraph"/>
        <w:spacing w:after="0" w:line="240" w:lineRule="auto"/>
        <w:ind w:left="-425" w:right="-556"/>
        <w:jc w:val="both"/>
        <w:rPr>
          <w:rFonts w:ascii="Century Gothic" w:hAnsi="Century Gothic"/>
          <w:sz w:val="20"/>
          <w:szCs w:val="20"/>
        </w:rPr>
      </w:pPr>
    </w:p>
    <w:p w:rsidR="006D3F73" w:rsidRDefault="006D3F73" w:rsidP="006D3F73">
      <w:pPr>
        <w:pStyle w:val="ListParagraph"/>
        <w:spacing w:after="0" w:line="240" w:lineRule="auto"/>
        <w:ind w:left="-425"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are interested in learning more about tax justice, why not have an MTJN member give a talk, presentation or workshop at your church or small group? For any enquiries, get in touch at the above email address.</w:t>
      </w:r>
    </w:p>
    <w:p w:rsidR="00775856" w:rsidRDefault="008460D9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0.25pt;margin-top:11.55pt;width:323.35pt;height:239.15pt;z-index:251665408;mso-width-relative:margin;mso-height-relative:margin">
            <v:textbox style="mso-next-textbox:#_x0000_s1035">
              <w:txbxContent>
                <w:p w:rsidR="006D3F73" w:rsidRDefault="006D3F73" w:rsidP="006D3F7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br/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Name: .................................................................................................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  <w:t>Email Address</w:t>
                  </w:r>
                  <w:proofErr w:type="gramStart"/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...................</w:t>
                  </w:r>
                  <w:proofErr w:type="gramEnd"/>
                </w:p>
                <w:p w:rsidR="006D3F73" w:rsidRPr="00FB0E76" w:rsidRDefault="006D3F73" w:rsidP="006D3F73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Address (if no email):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.....................................................................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  <w:t>.............................................................................................................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  <w:t>.............................................................................................................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  <w:t>Church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............................................................................................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....</w:t>
                  </w:r>
                  <w:proofErr w:type="gramEnd"/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D3F73" w:rsidRDefault="006D3F73" w:rsidP="006D3F73">
                  <w:pPr>
                    <w:rPr>
                      <w:b/>
                    </w:rPr>
                  </w:pPr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Circuit</w:t>
                  </w:r>
                  <w:proofErr w:type="gramStart"/>
                  <w:r w:rsidRPr="00FB0E7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:..................................................................................................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</w:p>
              </w:txbxContent>
            </v:textbox>
          </v:shape>
        </w:pict>
      </w:r>
    </w:p>
    <w:p w:rsidR="000D56C2" w:rsidRDefault="000D56C2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958215</wp:posOffset>
            </wp:positionV>
            <wp:extent cx="4006850" cy="3893185"/>
            <wp:effectExtent l="19050" t="0" r="0" b="0"/>
            <wp:wrapSquare wrapText="bothSides"/>
            <wp:docPr id="3" name="Picture 2" descr="Untangling th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angling the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0D9" w:rsidRPr="008460D9">
        <w:rPr>
          <w:rFonts w:ascii="Georgia" w:hAnsi="Georgia"/>
          <w:noProof/>
          <w:sz w:val="48"/>
          <w:szCs w:val="48"/>
          <w:lang w:eastAsia="en-GB"/>
        </w:rPr>
        <w:pict>
          <v:shape id="_x0000_s1032" type="#_x0000_t202" style="position:absolute;margin-left:-66.4pt;margin-top:368.75pt;width:370.75pt;height:148.1pt;z-index:251662336;mso-position-horizontal-relative:text;mso-position-vertical-relative:text;mso-width-relative:margin;mso-height-relative:margin" filled="f" stroked="f">
            <v:textbox style="mso-next-textbox:#_x0000_s1032">
              <w:txbxContent>
                <w:p w:rsidR="002E3BF9" w:rsidRDefault="002E3BF9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sz w:val="96"/>
                      <w:szCs w:val="96"/>
                    </w:rPr>
                    <w:t>U</w:t>
                  </w:r>
                  <w:r w:rsidRPr="002E3BF9">
                    <w:rPr>
                      <w:rFonts w:ascii="Georgia" w:hAnsi="Georgia"/>
                      <w:sz w:val="56"/>
                      <w:szCs w:val="56"/>
                    </w:rPr>
                    <w:t xml:space="preserve">ntangling </w:t>
                  </w:r>
                  <w:r>
                    <w:rPr>
                      <w:rFonts w:ascii="Georgia" w:hAnsi="Georgia"/>
                      <w:sz w:val="56"/>
                      <w:szCs w:val="56"/>
                    </w:rPr>
                    <w:t>the</w:t>
                  </w:r>
                </w:p>
                <w:p w:rsidR="002E3BF9" w:rsidRPr="002E3BF9" w:rsidRDefault="002E3BF9">
                  <w:pPr>
                    <w:rPr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sz w:val="96"/>
                      <w:szCs w:val="96"/>
                    </w:rPr>
                    <w:t>W</w:t>
                  </w:r>
                  <w:r>
                    <w:rPr>
                      <w:rFonts w:ascii="Georgia" w:hAnsi="Georgia"/>
                      <w:sz w:val="56"/>
                      <w:szCs w:val="56"/>
                    </w:rPr>
                    <w:t xml:space="preserve">eb of </w:t>
                  </w:r>
                  <w:r>
                    <w:rPr>
                      <w:rFonts w:ascii="Georgia" w:hAnsi="Georgia"/>
                      <w:sz w:val="96"/>
                      <w:szCs w:val="96"/>
                    </w:rPr>
                    <w:t>T</w:t>
                  </w:r>
                  <w:r>
                    <w:rPr>
                      <w:rFonts w:ascii="Georgia" w:hAnsi="Georgia"/>
                      <w:sz w:val="56"/>
                      <w:szCs w:val="56"/>
                    </w:rPr>
                    <w:t xml:space="preserve">ax </w:t>
                  </w:r>
                  <w:r>
                    <w:rPr>
                      <w:rFonts w:ascii="Georgia" w:hAnsi="Georgia"/>
                      <w:sz w:val="96"/>
                      <w:szCs w:val="96"/>
                    </w:rPr>
                    <w:t>D</w:t>
                  </w:r>
                  <w:r>
                    <w:rPr>
                      <w:rFonts w:ascii="Georgia" w:hAnsi="Georgia"/>
                      <w:sz w:val="56"/>
                      <w:szCs w:val="56"/>
                    </w:rPr>
                    <w:t>odging</w:t>
                  </w:r>
                </w:p>
              </w:txbxContent>
            </v:textbox>
          </v:shape>
        </w:pict>
      </w:r>
      <w:r w:rsidR="008460D9" w:rsidRPr="008460D9">
        <w:rPr>
          <w:rFonts w:ascii="Georgia" w:hAnsi="Georgia"/>
          <w:noProof/>
          <w:sz w:val="48"/>
          <w:szCs w:val="48"/>
          <w:lang w:val="en-US" w:eastAsia="zh-TW"/>
        </w:rPr>
        <w:pict>
          <v:shape id="_x0000_s1030" type="#_x0000_t202" style="position:absolute;margin-left:-64.1pt;margin-top:-63.15pt;width:356.3pt;height:148.1pt;z-index:251660288;mso-position-horizontal-relative:text;mso-position-vertical-relative:text;mso-width-relative:margin;mso-height-relative:margin" filled="f" stroked="f">
            <v:textbox style="mso-next-textbox:#_x0000_s1030">
              <w:txbxContent>
                <w:p w:rsidR="00775856" w:rsidRPr="00775856" w:rsidRDefault="00775856" w:rsidP="00775856">
                  <w:pPr>
                    <w:rPr>
                      <w:rFonts w:ascii="Georgia" w:hAnsi="Georgia"/>
                      <w:sz w:val="48"/>
                      <w:szCs w:val="48"/>
                    </w:rPr>
                  </w:pPr>
                  <w:r w:rsidRPr="00775856">
                    <w:rPr>
                      <w:rFonts w:ascii="Georgia" w:hAnsi="Georgia"/>
                      <w:sz w:val="96"/>
                      <w:szCs w:val="96"/>
                    </w:rPr>
                    <w:t>M</w:t>
                  </w:r>
                  <w:r w:rsidRPr="00775856">
                    <w:rPr>
                      <w:rFonts w:ascii="Georgia" w:hAnsi="Georgia"/>
                      <w:sz w:val="56"/>
                      <w:szCs w:val="56"/>
                    </w:rPr>
                    <w:t>ethodist</w:t>
                  </w:r>
                  <w:r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775856">
                    <w:rPr>
                      <w:rFonts w:ascii="Georgia" w:hAnsi="Georgia"/>
                      <w:sz w:val="96"/>
                      <w:szCs w:val="96"/>
                    </w:rPr>
                    <w:t>T</w:t>
                  </w:r>
                  <w:r w:rsidRPr="00775856">
                    <w:rPr>
                      <w:rFonts w:ascii="Georgia" w:hAnsi="Georgia"/>
                      <w:sz w:val="56"/>
                      <w:szCs w:val="56"/>
                    </w:rPr>
                    <w:t>ax</w:t>
                  </w:r>
                  <w:r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775856">
                    <w:rPr>
                      <w:rFonts w:ascii="Georgia" w:hAnsi="Georgia"/>
                      <w:sz w:val="96"/>
                      <w:szCs w:val="96"/>
                    </w:rPr>
                    <w:t>J</w:t>
                  </w:r>
                  <w:r w:rsidRPr="00775856">
                    <w:rPr>
                      <w:rFonts w:ascii="Georgia" w:hAnsi="Georgia"/>
                      <w:sz w:val="56"/>
                      <w:szCs w:val="56"/>
                    </w:rPr>
                    <w:t>ustice</w:t>
                  </w:r>
                  <w:r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775856">
                    <w:rPr>
                      <w:rFonts w:ascii="Georgia" w:hAnsi="Georgia"/>
                      <w:sz w:val="96"/>
                      <w:szCs w:val="96"/>
                    </w:rPr>
                    <w:t>N</w:t>
                  </w:r>
                  <w:r w:rsidRPr="00775856">
                    <w:rPr>
                      <w:rFonts w:ascii="Georgia" w:hAnsi="Georgia"/>
                      <w:sz w:val="56"/>
                      <w:szCs w:val="56"/>
                    </w:rPr>
                    <w:t>etwork</w:t>
                  </w:r>
                </w:p>
                <w:p w:rsidR="00775856" w:rsidRDefault="00775856"/>
              </w:txbxContent>
            </v:textbox>
          </v:shape>
        </w:pict>
      </w:r>
      <w:r w:rsidR="008460D9" w:rsidRPr="008460D9">
        <w:rPr>
          <w:rFonts w:ascii="Georgia" w:hAnsi="Georgia"/>
          <w:noProof/>
          <w:sz w:val="48"/>
          <w:szCs w:val="48"/>
          <w:lang w:eastAsia="en-GB"/>
        </w:rPr>
        <w:pict>
          <v:shape id="_x0000_s1028" style="position:absolute;margin-left:-71.55pt;margin-top:-71.55pt;width:422.05pt;height:180pt;z-index:251658240;mso-position-horizontal-relative:text;mso-position-vertical-relative:text" coordsize="8441,3600" path="m,l8441,r,2210l,3600,,xe" fillcolor="#92cddc [1944]" strokecolor="#92cddc [1944]">
            <v:path arrowok="t"/>
            <w10:wrap type="square"/>
          </v:shape>
        </w:pict>
      </w:r>
      <w:r w:rsidR="008460D9" w:rsidRPr="008460D9">
        <w:rPr>
          <w:rFonts w:ascii="Georgia" w:hAnsi="Georgia"/>
          <w:noProof/>
          <w:sz w:val="48"/>
          <w:szCs w:val="48"/>
          <w:lang w:eastAsia="en-GB"/>
        </w:rPr>
        <w:pict>
          <v:shape id="_x0000_s1031" style="position:absolute;margin-left:-1in;margin-top:348.35pt;width:422.05pt;height:175.4pt;z-index:251661312;mso-position-horizontal-relative:text;mso-position-vertical-relative:text" coordsize="8441,3351" path="m,3334l,,8441,1613r-24,1738l,3334xe" fillcolor="#fdaa03" strokecolor="#fdaa03">
            <v:path arrowok="t"/>
          </v:shape>
        </w:pict>
      </w:r>
      <w:r>
        <w:rPr>
          <w:rFonts w:ascii="Georgia" w:hAnsi="Georgia"/>
          <w:sz w:val="44"/>
          <w:szCs w:val="44"/>
        </w:rPr>
        <w:br w:type="page"/>
      </w:r>
    </w:p>
    <w:p w:rsidR="001403C3" w:rsidRPr="0032574B" w:rsidRDefault="0032574B" w:rsidP="001403C3">
      <w:pPr>
        <w:tabs>
          <w:tab w:val="left" w:pos="5529"/>
        </w:tabs>
        <w:spacing w:after="0" w:line="240" w:lineRule="auto"/>
        <w:jc w:val="center"/>
        <w:rPr>
          <w:rFonts w:ascii="Georgia" w:hAnsi="Georgia"/>
          <w:sz w:val="44"/>
          <w:szCs w:val="44"/>
        </w:rPr>
      </w:pPr>
      <w:r w:rsidRPr="0032574B">
        <w:rPr>
          <w:rFonts w:ascii="Georgia" w:hAnsi="Georgia"/>
          <w:sz w:val="44"/>
          <w:szCs w:val="44"/>
        </w:rPr>
        <w:lastRenderedPageBreak/>
        <w:t>The Tax Dodging Problem</w:t>
      </w:r>
    </w:p>
    <w:p w:rsidR="001403C3" w:rsidRDefault="001403C3" w:rsidP="001403C3">
      <w:pPr>
        <w:spacing w:after="0" w:line="240" w:lineRule="auto"/>
        <w:ind w:left="-426" w:right="-557"/>
        <w:jc w:val="both"/>
        <w:rPr>
          <w:rFonts w:ascii="Century Gothic" w:hAnsi="Century Gothic"/>
          <w:b/>
          <w:sz w:val="20"/>
          <w:szCs w:val="20"/>
        </w:rPr>
      </w:pPr>
    </w:p>
    <w:p w:rsidR="00D96F45" w:rsidRDefault="00D96F45" w:rsidP="001403C3">
      <w:pPr>
        <w:spacing w:after="0" w:line="240" w:lineRule="auto"/>
        <w:ind w:left="-426" w:right="-557"/>
        <w:jc w:val="both"/>
        <w:rPr>
          <w:rFonts w:ascii="Century Gothic" w:hAnsi="Century Gothic"/>
          <w:b/>
          <w:sz w:val="20"/>
          <w:szCs w:val="20"/>
        </w:rPr>
      </w:pPr>
      <w:r w:rsidRPr="002349C2">
        <w:rPr>
          <w:rFonts w:ascii="Century Gothic" w:hAnsi="Century Gothic"/>
          <w:b/>
          <w:sz w:val="20"/>
          <w:szCs w:val="20"/>
        </w:rPr>
        <w:t xml:space="preserve">According to Christian Aid, $160bn a year </w:t>
      </w:r>
      <w:proofErr w:type="gramStart"/>
      <w:r w:rsidRPr="002349C2">
        <w:rPr>
          <w:rFonts w:ascii="Century Gothic" w:hAnsi="Century Gothic"/>
          <w:b/>
          <w:sz w:val="20"/>
          <w:szCs w:val="20"/>
        </w:rPr>
        <w:t>are</w:t>
      </w:r>
      <w:proofErr w:type="gramEnd"/>
      <w:r w:rsidRPr="002349C2">
        <w:rPr>
          <w:rFonts w:ascii="Century Gothic" w:hAnsi="Century Gothic"/>
          <w:b/>
          <w:sz w:val="20"/>
          <w:szCs w:val="20"/>
        </w:rPr>
        <w:t xml:space="preserve"> denied to poor countries through </w:t>
      </w:r>
      <w:r w:rsidR="003E6628">
        <w:rPr>
          <w:rFonts w:ascii="Century Gothic" w:hAnsi="Century Gothic"/>
          <w:b/>
          <w:sz w:val="20"/>
          <w:szCs w:val="20"/>
        </w:rPr>
        <w:t xml:space="preserve">complex </w:t>
      </w:r>
      <w:r w:rsidRPr="002349C2">
        <w:rPr>
          <w:rFonts w:ascii="Century Gothic" w:hAnsi="Century Gothic"/>
          <w:b/>
          <w:sz w:val="20"/>
          <w:szCs w:val="20"/>
        </w:rPr>
        <w:t>tax avoidance strategies.</w:t>
      </w:r>
      <w:r w:rsidR="00E0489E" w:rsidRPr="002349C2">
        <w:rPr>
          <w:rFonts w:ascii="Century Gothic" w:hAnsi="Century Gothic"/>
          <w:b/>
          <w:sz w:val="20"/>
          <w:szCs w:val="20"/>
        </w:rPr>
        <w:t xml:space="preserve"> </w:t>
      </w:r>
    </w:p>
    <w:p w:rsidR="001403C3" w:rsidRPr="002349C2" w:rsidRDefault="001403C3" w:rsidP="001403C3">
      <w:pPr>
        <w:spacing w:after="0" w:line="240" w:lineRule="auto"/>
        <w:ind w:left="-426" w:right="-5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144145</wp:posOffset>
            </wp:positionV>
            <wp:extent cx="2384425" cy="1828800"/>
            <wp:effectExtent l="19050" t="0" r="0" b="0"/>
            <wp:wrapSquare wrapText="bothSides"/>
            <wp:docPr id="2" name="Picture 0" descr="Capital Flight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al Flight Diagr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89E" w:rsidRDefault="00E0489E" w:rsidP="001403C3">
      <w:pPr>
        <w:tabs>
          <w:tab w:val="left" w:pos="6096"/>
        </w:tabs>
        <w:spacing w:after="0" w:line="240" w:lineRule="auto"/>
        <w:ind w:left="-426" w:right="-557"/>
        <w:jc w:val="both"/>
        <w:rPr>
          <w:rFonts w:ascii="Century Gothic" w:hAnsi="Century Gothic"/>
          <w:sz w:val="20"/>
          <w:szCs w:val="20"/>
        </w:rPr>
      </w:pPr>
      <w:r w:rsidRPr="002349C2">
        <w:rPr>
          <w:rFonts w:ascii="Century Gothic" w:hAnsi="Century Gothic"/>
          <w:sz w:val="20"/>
          <w:szCs w:val="20"/>
        </w:rPr>
        <w:t>Corporations</w:t>
      </w:r>
      <w:r w:rsidR="00920F3D" w:rsidRPr="002349C2">
        <w:rPr>
          <w:rFonts w:ascii="Century Gothic" w:hAnsi="Century Gothic"/>
          <w:sz w:val="20"/>
          <w:szCs w:val="20"/>
        </w:rPr>
        <w:t xml:space="preserve"> </w:t>
      </w:r>
      <w:r w:rsidRPr="002349C2">
        <w:rPr>
          <w:rFonts w:ascii="Century Gothic" w:hAnsi="Century Gothic"/>
          <w:sz w:val="20"/>
          <w:szCs w:val="20"/>
        </w:rPr>
        <w:t xml:space="preserve">avoid paying taxes in </w:t>
      </w:r>
      <w:r w:rsidR="00F34EFD" w:rsidRPr="002349C2">
        <w:rPr>
          <w:rFonts w:ascii="Century Gothic" w:hAnsi="Century Gothic"/>
          <w:sz w:val="20"/>
          <w:szCs w:val="20"/>
        </w:rPr>
        <w:t xml:space="preserve">countries where their </w:t>
      </w:r>
      <w:r w:rsidR="00920F3D" w:rsidRPr="002349C2">
        <w:rPr>
          <w:rFonts w:ascii="Century Gothic" w:hAnsi="Century Gothic"/>
          <w:sz w:val="20"/>
          <w:szCs w:val="20"/>
        </w:rPr>
        <w:t>production operations are based</w:t>
      </w:r>
      <w:r w:rsidR="00A1319F">
        <w:rPr>
          <w:rFonts w:ascii="Century Gothic" w:hAnsi="Century Gothic"/>
          <w:sz w:val="20"/>
          <w:szCs w:val="20"/>
        </w:rPr>
        <w:t>,</w:t>
      </w:r>
      <w:r w:rsidR="00F34EFD" w:rsidRPr="002349C2">
        <w:rPr>
          <w:rFonts w:ascii="Century Gothic" w:hAnsi="Century Gothic"/>
          <w:sz w:val="20"/>
          <w:szCs w:val="20"/>
        </w:rPr>
        <w:t xml:space="preserve"> </w:t>
      </w:r>
      <w:r w:rsidRPr="002349C2">
        <w:rPr>
          <w:rFonts w:ascii="Century Gothic" w:hAnsi="Century Gothic"/>
          <w:sz w:val="20"/>
          <w:szCs w:val="20"/>
        </w:rPr>
        <w:t>by artificial</w:t>
      </w:r>
      <w:r w:rsidR="00966BEA">
        <w:rPr>
          <w:rFonts w:ascii="Century Gothic" w:hAnsi="Century Gothic"/>
          <w:sz w:val="20"/>
          <w:szCs w:val="20"/>
        </w:rPr>
        <w:t>ly shifting their profits into</w:t>
      </w:r>
      <w:r w:rsidRPr="002349C2">
        <w:rPr>
          <w:rFonts w:ascii="Century Gothic" w:hAnsi="Century Gothic"/>
          <w:sz w:val="20"/>
          <w:szCs w:val="20"/>
        </w:rPr>
        <w:t xml:space="preserve"> </w:t>
      </w:r>
      <w:r w:rsidRPr="002349C2">
        <w:rPr>
          <w:rFonts w:ascii="Century Gothic" w:hAnsi="Century Gothic"/>
          <w:b/>
          <w:sz w:val="20"/>
          <w:szCs w:val="20"/>
        </w:rPr>
        <w:t>tax havens</w:t>
      </w:r>
      <w:r w:rsidR="00966BEA">
        <w:rPr>
          <w:rFonts w:ascii="Century Gothic" w:hAnsi="Century Gothic"/>
          <w:b/>
          <w:sz w:val="20"/>
          <w:szCs w:val="20"/>
        </w:rPr>
        <w:t xml:space="preserve"> </w:t>
      </w:r>
      <w:r w:rsidR="00966BEA">
        <w:rPr>
          <w:rFonts w:ascii="Century Gothic" w:hAnsi="Century Gothic"/>
          <w:sz w:val="20"/>
          <w:szCs w:val="20"/>
        </w:rPr>
        <w:t>with low tax rates and high financial secrecy</w:t>
      </w:r>
      <w:r w:rsidRPr="002349C2">
        <w:rPr>
          <w:rFonts w:ascii="Century Gothic" w:hAnsi="Century Gothic"/>
          <w:b/>
          <w:sz w:val="20"/>
          <w:szCs w:val="20"/>
        </w:rPr>
        <w:t xml:space="preserve">. </w:t>
      </w:r>
      <w:r w:rsidRPr="002349C2">
        <w:rPr>
          <w:rFonts w:ascii="Century Gothic" w:hAnsi="Century Gothic"/>
          <w:sz w:val="20"/>
          <w:szCs w:val="20"/>
        </w:rPr>
        <w:t xml:space="preserve">The phenomenon of profits and revenues leaving the country where they are made is known as </w:t>
      </w:r>
      <w:r w:rsidRPr="002349C2">
        <w:rPr>
          <w:rFonts w:ascii="Century Gothic" w:hAnsi="Century Gothic"/>
          <w:b/>
          <w:sz w:val="20"/>
          <w:szCs w:val="20"/>
        </w:rPr>
        <w:t>capital flight</w:t>
      </w:r>
      <w:r w:rsidR="007D11F6">
        <w:rPr>
          <w:rFonts w:ascii="Century Gothic" w:hAnsi="Century Gothic"/>
          <w:b/>
          <w:sz w:val="20"/>
          <w:szCs w:val="20"/>
        </w:rPr>
        <w:t xml:space="preserve">. </w:t>
      </w:r>
      <w:r w:rsidR="007D11F6">
        <w:rPr>
          <w:rFonts w:ascii="Century Gothic" w:hAnsi="Century Gothic"/>
          <w:sz w:val="20"/>
          <w:szCs w:val="20"/>
        </w:rPr>
        <w:t>The effects of this phenomenon on Sub-Saharan Africa can be seen above.</w:t>
      </w:r>
    </w:p>
    <w:p w:rsidR="001403C3" w:rsidRPr="007D11F6" w:rsidRDefault="001403C3" w:rsidP="001403C3">
      <w:pPr>
        <w:tabs>
          <w:tab w:val="left" w:pos="6096"/>
        </w:tabs>
        <w:spacing w:after="0" w:line="240" w:lineRule="auto"/>
        <w:ind w:left="-426" w:right="-557"/>
        <w:jc w:val="both"/>
        <w:rPr>
          <w:rFonts w:ascii="Century Gothic" w:hAnsi="Century Gothic"/>
          <w:sz w:val="20"/>
          <w:szCs w:val="20"/>
        </w:rPr>
      </w:pPr>
    </w:p>
    <w:p w:rsidR="007D11F6" w:rsidRDefault="001403C3" w:rsidP="001403C3">
      <w:pPr>
        <w:spacing w:after="0" w:line="240" w:lineRule="auto"/>
        <w:ind w:left="-426" w:right="-5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1746250</wp:posOffset>
            </wp:positionV>
            <wp:extent cx="3800475" cy="1157605"/>
            <wp:effectExtent l="19050" t="0" r="9525" b="0"/>
            <wp:wrapSquare wrapText="bothSides"/>
            <wp:docPr id="9" name="Picture 7" descr="Transfer Mispricing 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Mispricing Illustrati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1F6">
        <w:rPr>
          <w:rFonts w:ascii="Century Gothic" w:hAnsi="Century Gothic"/>
          <w:sz w:val="20"/>
          <w:szCs w:val="20"/>
        </w:rPr>
        <w:t>One of</w:t>
      </w:r>
      <w:r w:rsidR="007D11F6" w:rsidRPr="007D11F6">
        <w:rPr>
          <w:rFonts w:ascii="Century Gothic" w:hAnsi="Century Gothic"/>
          <w:sz w:val="20"/>
          <w:szCs w:val="20"/>
        </w:rPr>
        <w:t xml:space="preserve"> the mo</w:t>
      </w:r>
      <w:r w:rsidR="007D11F6">
        <w:rPr>
          <w:rFonts w:ascii="Century Gothic" w:hAnsi="Century Gothic"/>
          <w:sz w:val="20"/>
          <w:szCs w:val="20"/>
        </w:rPr>
        <w:t>st common ways of shifting profits into tax havens</w:t>
      </w:r>
      <w:r w:rsidR="00966BEA">
        <w:rPr>
          <w:rFonts w:ascii="Century Gothic" w:hAnsi="Century Gothic"/>
          <w:sz w:val="20"/>
          <w:szCs w:val="20"/>
        </w:rPr>
        <w:t xml:space="preserve"> is </w:t>
      </w:r>
      <w:r w:rsidR="00966BEA" w:rsidRPr="003E6628">
        <w:rPr>
          <w:rFonts w:ascii="Century Gothic" w:hAnsi="Century Gothic"/>
          <w:b/>
          <w:sz w:val="20"/>
          <w:szCs w:val="20"/>
        </w:rPr>
        <w:t>‘transfer pricing</w:t>
      </w:r>
      <w:r w:rsidR="003E6628" w:rsidRPr="003E6628">
        <w:rPr>
          <w:rFonts w:ascii="Century Gothic" w:hAnsi="Century Gothic"/>
          <w:b/>
          <w:sz w:val="20"/>
          <w:szCs w:val="20"/>
        </w:rPr>
        <w:t>’</w:t>
      </w:r>
      <w:r w:rsidR="00966BEA">
        <w:rPr>
          <w:rFonts w:ascii="Century Gothic" w:hAnsi="Century Gothic"/>
          <w:sz w:val="20"/>
          <w:szCs w:val="20"/>
        </w:rPr>
        <w:t>.</w:t>
      </w:r>
      <w:r w:rsidR="007D11F6" w:rsidRPr="007D11F6">
        <w:rPr>
          <w:rFonts w:ascii="Century Gothic" w:hAnsi="Century Gothic"/>
          <w:sz w:val="20"/>
          <w:szCs w:val="20"/>
        </w:rPr>
        <w:t xml:space="preserve">  </w:t>
      </w:r>
      <w:r w:rsidR="00966BEA">
        <w:rPr>
          <w:rFonts w:ascii="Century Gothic" w:hAnsi="Century Gothic"/>
          <w:sz w:val="20"/>
          <w:szCs w:val="20"/>
        </w:rPr>
        <w:t>Raw materials are bought cheaply from the producer by a tax-haven based subsidiary</w:t>
      </w:r>
      <w:r w:rsidR="007D11F6" w:rsidRPr="007D11F6">
        <w:rPr>
          <w:rFonts w:ascii="Century Gothic" w:hAnsi="Century Gothic"/>
          <w:sz w:val="20"/>
          <w:szCs w:val="20"/>
        </w:rPr>
        <w:t>, which then sells them on for a much higher figure. This</w:t>
      </w:r>
      <w:r w:rsidR="00966BEA">
        <w:rPr>
          <w:rFonts w:ascii="Century Gothic" w:hAnsi="Century Gothic"/>
          <w:sz w:val="20"/>
          <w:szCs w:val="20"/>
        </w:rPr>
        <w:t xml:space="preserve"> lowers</w:t>
      </w:r>
      <w:r w:rsidR="007D11F6" w:rsidRPr="007D11F6">
        <w:rPr>
          <w:rFonts w:ascii="Century Gothic" w:hAnsi="Century Gothic"/>
          <w:sz w:val="20"/>
          <w:szCs w:val="20"/>
        </w:rPr>
        <w:t xml:space="preserve"> the tax bill in the country of production, and increases profits in the tax haven. </w:t>
      </w:r>
      <w:r w:rsidR="00966BEA">
        <w:rPr>
          <w:rFonts w:ascii="Century Gothic" w:hAnsi="Century Gothic"/>
          <w:sz w:val="20"/>
          <w:szCs w:val="20"/>
        </w:rPr>
        <w:t xml:space="preserve">When </w:t>
      </w:r>
      <w:r w:rsidR="003E6628">
        <w:rPr>
          <w:rFonts w:ascii="Century Gothic" w:hAnsi="Century Gothic"/>
          <w:sz w:val="20"/>
          <w:szCs w:val="20"/>
        </w:rPr>
        <w:t xml:space="preserve">the producer and </w:t>
      </w:r>
      <w:r w:rsidR="00966BEA">
        <w:rPr>
          <w:rFonts w:ascii="Century Gothic" w:hAnsi="Century Gothic"/>
          <w:sz w:val="20"/>
          <w:szCs w:val="20"/>
        </w:rPr>
        <w:t xml:space="preserve">subsidiaries are </w:t>
      </w:r>
      <w:r w:rsidR="007D11F6" w:rsidRPr="007D11F6">
        <w:rPr>
          <w:rFonts w:ascii="Century Gothic" w:hAnsi="Century Gothic"/>
          <w:sz w:val="20"/>
          <w:szCs w:val="20"/>
        </w:rPr>
        <w:t xml:space="preserve">owned by the same parent company, this is known as </w:t>
      </w:r>
      <w:r w:rsidR="007D11F6" w:rsidRPr="007D11F6">
        <w:rPr>
          <w:rFonts w:ascii="Century Gothic" w:hAnsi="Century Gothic"/>
          <w:b/>
          <w:sz w:val="20"/>
          <w:szCs w:val="20"/>
        </w:rPr>
        <w:t>transfer mispricing</w:t>
      </w:r>
      <w:r w:rsidR="007D11F6" w:rsidRPr="007D11F6">
        <w:rPr>
          <w:rFonts w:ascii="Century Gothic" w:hAnsi="Century Gothic"/>
          <w:sz w:val="20"/>
          <w:szCs w:val="20"/>
        </w:rPr>
        <w:t xml:space="preserve">. This is </w:t>
      </w:r>
      <w:r w:rsidR="007D11F6" w:rsidRPr="007D11F6">
        <w:rPr>
          <w:rFonts w:ascii="Century Gothic" w:hAnsi="Century Gothic"/>
          <w:b/>
          <w:sz w:val="20"/>
          <w:szCs w:val="20"/>
        </w:rPr>
        <w:t xml:space="preserve">illegal, </w:t>
      </w:r>
      <w:r w:rsidR="007D11F6" w:rsidRPr="007D11F6">
        <w:rPr>
          <w:rFonts w:ascii="Century Gothic" w:hAnsi="Century Gothic"/>
          <w:sz w:val="20"/>
          <w:szCs w:val="20"/>
        </w:rPr>
        <w:t xml:space="preserve">but almost impossible to </w:t>
      </w:r>
      <w:r w:rsidR="003E6628">
        <w:rPr>
          <w:rFonts w:ascii="Century Gothic" w:hAnsi="Century Gothic"/>
          <w:sz w:val="20"/>
          <w:szCs w:val="20"/>
        </w:rPr>
        <w:t>trace. It is therefore crucial that the veil of secrecy over tax havens is removed, and a fairer system implemented.</w:t>
      </w:r>
    </w:p>
    <w:p w:rsidR="0063245C" w:rsidRPr="0063245C" w:rsidRDefault="005A3F48" w:rsidP="0063245C">
      <w:pPr>
        <w:spacing w:after="0" w:line="240" w:lineRule="auto"/>
        <w:ind w:right="-556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lastRenderedPageBreak/>
        <w:t>MTJN – Our Mission</w:t>
      </w:r>
    </w:p>
    <w:p w:rsidR="0063245C" w:rsidRDefault="0063245C" w:rsidP="0063245C">
      <w:pPr>
        <w:spacing w:after="0" w:line="240" w:lineRule="auto"/>
        <w:ind w:left="-426" w:right="-556"/>
        <w:jc w:val="both"/>
        <w:rPr>
          <w:rFonts w:ascii="Century Gothic" w:hAnsi="Century Gothic"/>
          <w:b/>
          <w:sz w:val="20"/>
          <w:szCs w:val="20"/>
        </w:rPr>
      </w:pPr>
    </w:p>
    <w:p w:rsidR="001403C3" w:rsidRDefault="008C56F2" w:rsidP="0063245C">
      <w:pPr>
        <w:spacing w:after="0" w:line="240" w:lineRule="auto"/>
        <w:ind w:left="-426" w:right="-55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MTJN</w:t>
      </w:r>
      <w:r w:rsidR="00121BD9">
        <w:rPr>
          <w:rFonts w:ascii="Century Gothic" w:hAnsi="Century Gothic"/>
          <w:b/>
          <w:sz w:val="20"/>
          <w:szCs w:val="20"/>
        </w:rPr>
        <w:t xml:space="preserve"> was set up in order </w:t>
      </w:r>
      <w:r w:rsidR="005A3F48">
        <w:rPr>
          <w:rFonts w:ascii="Century Gothic" w:hAnsi="Century Gothic"/>
          <w:b/>
          <w:sz w:val="20"/>
          <w:szCs w:val="20"/>
        </w:rPr>
        <w:t xml:space="preserve">to </w:t>
      </w:r>
      <w:r w:rsidR="00A1319F">
        <w:rPr>
          <w:rFonts w:ascii="Century Gothic" w:hAnsi="Century Gothic"/>
          <w:b/>
          <w:sz w:val="20"/>
          <w:szCs w:val="20"/>
        </w:rPr>
        <w:t>encourage</w:t>
      </w:r>
      <w:r w:rsidR="005A3F48">
        <w:rPr>
          <w:rFonts w:ascii="Century Gothic" w:hAnsi="Century Gothic"/>
          <w:b/>
          <w:sz w:val="20"/>
          <w:szCs w:val="20"/>
        </w:rPr>
        <w:t xml:space="preserve"> </w:t>
      </w:r>
      <w:r w:rsidR="00121BD9">
        <w:rPr>
          <w:rFonts w:ascii="Century Gothic" w:hAnsi="Century Gothic"/>
          <w:b/>
          <w:sz w:val="20"/>
          <w:szCs w:val="20"/>
        </w:rPr>
        <w:t xml:space="preserve">the Methodist Church </w:t>
      </w:r>
      <w:r w:rsidR="00A1319F">
        <w:rPr>
          <w:rFonts w:ascii="Century Gothic" w:hAnsi="Century Gothic"/>
          <w:b/>
          <w:sz w:val="20"/>
          <w:szCs w:val="20"/>
        </w:rPr>
        <w:t xml:space="preserve">to become </w:t>
      </w:r>
      <w:r w:rsidR="00121BD9">
        <w:rPr>
          <w:rFonts w:ascii="Century Gothic" w:hAnsi="Century Gothic"/>
          <w:b/>
          <w:sz w:val="20"/>
          <w:szCs w:val="20"/>
        </w:rPr>
        <w:t>an internationally recognised advocate for tax justice.</w:t>
      </w:r>
    </w:p>
    <w:p w:rsidR="001403C3" w:rsidRPr="001403C3" w:rsidRDefault="001403C3" w:rsidP="001403C3">
      <w:pPr>
        <w:spacing w:after="0"/>
        <w:ind w:left="-426" w:right="-556"/>
        <w:jc w:val="both"/>
        <w:rPr>
          <w:rFonts w:ascii="Century Gothic" w:hAnsi="Century Gothic"/>
          <w:b/>
          <w:sz w:val="20"/>
          <w:szCs w:val="20"/>
        </w:rPr>
      </w:pPr>
    </w:p>
    <w:p w:rsidR="00121BD9" w:rsidRDefault="00121BD9" w:rsidP="001403C3">
      <w:pPr>
        <w:spacing w:after="0"/>
        <w:ind w:left="-426"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MTJN has a global vision of a fairer world economy where:</w:t>
      </w:r>
    </w:p>
    <w:p w:rsidR="00121BD9" w:rsidRDefault="00121BD9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 w:rsidRPr="00121BD9">
        <w:rPr>
          <w:rFonts w:ascii="Century Gothic" w:hAnsi="Century Gothic"/>
          <w:sz w:val="20"/>
          <w:szCs w:val="20"/>
        </w:rPr>
        <w:t xml:space="preserve">Democratically elected governments set the tax system, not </w:t>
      </w:r>
      <w:r w:rsidR="00A1319F">
        <w:rPr>
          <w:rFonts w:ascii="Century Gothic" w:hAnsi="Century Gothic"/>
          <w:sz w:val="20"/>
          <w:szCs w:val="20"/>
        </w:rPr>
        <w:t>transnational</w:t>
      </w:r>
      <w:r w:rsidR="005A3F48">
        <w:rPr>
          <w:rFonts w:ascii="Century Gothic" w:hAnsi="Century Gothic"/>
          <w:sz w:val="20"/>
          <w:szCs w:val="20"/>
        </w:rPr>
        <w:t xml:space="preserve"> corporations.</w:t>
      </w:r>
    </w:p>
    <w:p w:rsidR="00121BD9" w:rsidRDefault="00121BD9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Individuals and companies alike pay their taxes.</w:t>
      </w:r>
    </w:p>
    <w:p w:rsidR="00121BD9" w:rsidRDefault="00A1319F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Automatic information exchange and beneficial ownership</w:t>
      </w:r>
      <w:r w:rsidR="00A3778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create complete transparency, so governments can see where they’re losing out.</w:t>
      </w:r>
    </w:p>
    <w:p w:rsidR="00A3778C" w:rsidRDefault="00A3778C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Country-by-country </w:t>
      </w:r>
      <w:r w:rsidR="00A1319F">
        <w:rPr>
          <w:rFonts w:ascii="Century Gothic" w:hAnsi="Century Gothic"/>
          <w:sz w:val="20"/>
          <w:szCs w:val="20"/>
        </w:rPr>
        <w:t>reporting allows</w:t>
      </w:r>
      <w:r>
        <w:rPr>
          <w:rFonts w:ascii="Century Gothic" w:hAnsi="Century Gothic"/>
          <w:sz w:val="20"/>
          <w:szCs w:val="20"/>
        </w:rPr>
        <w:t xml:space="preserve"> governments</w:t>
      </w:r>
      <w:r w:rsidR="00A1319F">
        <w:rPr>
          <w:rFonts w:ascii="Century Gothic" w:hAnsi="Century Gothic"/>
          <w:sz w:val="20"/>
          <w:szCs w:val="20"/>
        </w:rPr>
        <w:t xml:space="preserve"> to</w:t>
      </w:r>
      <w:r>
        <w:rPr>
          <w:rFonts w:ascii="Century Gothic" w:hAnsi="Century Gothic"/>
          <w:sz w:val="20"/>
          <w:szCs w:val="20"/>
        </w:rPr>
        <w:t xml:space="preserve"> know who is </w:t>
      </w:r>
      <w:r w:rsidR="00861859">
        <w:rPr>
          <w:rFonts w:ascii="Century Gothic" w:hAnsi="Century Gothic"/>
          <w:sz w:val="20"/>
          <w:szCs w:val="20"/>
        </w:rPr>
        <w:t xml:space="preserve">paying tax and where, how much they’re paying and whether that reflects </w:t>
      </w:r>
      <w:r>
        <w:rPr>
          <w:rFonts w:ascii="Century Gothic" w:hAnsi="Century Gothic"/>
          <w:sz w:val="20"/>
          <w:szCs w:val="20"/>
        </w:rPr>
        <w:t>their</w:t>
      </w:r>
      <w:r w:rsidR="00861859">
        <w:rPr>
          <w:rFonts w:ascii="Century Gothic" w:hAnsi="Century Gothic"/>
          <w:sz w:val="20"/>
          <w:szCs w:val="20"/>
        </w:rPr>
        <w:t xml:space="preserve"> scale of operations</w:t>
      </w:r>
      <w:r>
        <w:rPr>
          <w:rFonts w:ascii="Century Gothic" w:hAnsi="Century Gothic"/>
          <w:sz w:val="20"/>
          <w:szCs w:val="20"/>
        </w:rPr>
        <w:t>.</w:t>
      </w:r>
    </w:p>
    <w:p w:rsidR="00A3778C" w:rsidRDefault="00A1319F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Tax havens cease to exist as a result of the above.</w:t>
      </w:r>
    </w:p>
    <w:p w:rsidR="00A3778C" w:rsidRDefault="00A3778C" w:rsidP="001403C3">
      <w:pPr>
        <w:pStyle w:val="ListParagraph"/>
        <w:numPr>
          <w:ilvl w:val="0"/>
          <w:numId w:val="1"/>
        </w:numPr>
        <w:spacing w:after="0"/>
        <w:ind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Methodist Church takes on tax justice as a fundamental mission objective worldwide.</w:t>
      </w:r>
    </w:p>
    <w:p w:rsidR="00A3778C" w:rsidRDefault="00A3778C" w:rsidP="001403C3">
      <w:pPr>
        <w:pStyle w:val="ListParagraph"/>
        <w:spacing w:after="0"/>
        <w:ind w:left="0" w:right="-556"/>
        <w:jc w:val="both"/>
        <w:rPr>
          <w:rFonts w:ascii="Century Gothic" w:hAnsi="Century Gothic"/>
          <w:sz w:val="20"/>
          <w:szCs w:val="20"/>
        </w:rPr>
      </w:pPr>
    </w:p>
    <w:p w:rsidR="008C56F2" w:rsidRDefault="005A3F48" w:rsidP="008C56F2">
      <w:pPr>
        <w:pStyle w:val="ListParagraph"/>
        <w:spacing w:after="0"/>
        <w:ind w:left="-426" w:right="-55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Our network includes ministers, lay staff, international partners and representatives of partner organisations including Christian Aid and the Tax Justice Network – but most importantly, it includes passionate individuals who want to make a difference. </w:t>
      </w:r>
      <w:r w:rsidRPr="001403C3">
        <w:rPr>
          <w:rFonts w:ascii="Century Gothic" w:hAnsi="Century Gothic"/>
          <w:sz w:val="20"/>
          <w:szCs w:val="20"/>
        </w:rPr>
        <w:t>By working within the Methodist Connexion to educate</w:t>
      </w:r>
      <w:r w:rsidR="001403C3" w:rsidRPr="001403C3">
        <w:rPr>
          <w:rFonts w:ascii="Century Gothic" w:hAnsi="Century Gothic"/>
          <w:sz w:val="20"/>
          <w:szCs w:val="20"/>
        </w:rPr>
        <w:t>, communicate</w:t>
      </w:r>
      <w:r w:rsidRPr="001403C3">
        <w:rPr>
          <w:rFonts w:ascii="Century Gothic" w:hAnsi="Century Gothic"/>
          <w:sz w:val="20"/>
          <w:szCs w:val="20"/>
        </w:rPr>
        <w:t xml:space="preserve"> and inspire, </w:t>
      </w:r>
      <w:r w:rsidR="00861859">
        <w:rPr>
          <w:rFonts w:ascii="Century Gothic" w:hAnsi="Century Gothic"/>
          <w:sz w:val="20"/>
          <w:szCs w:val="20"/>
        </w:rPr>
        <w:t>supporting tax justice campaigns</w:t>
      </w:r>
      <w:r w:rsidRPr="001403C3">
        <w:rPr>
          <w:rFonts w:ascii="Century Gothic" w:hAnsi="Century Gothic"/>
          <w:sz w:val="20"/>
          <w:szCs w:val="20"/>
        </w:rPr>
        <w:t xml:space="preserve"> and </w:t>
      </w:r>
      <w:r w:rsidR="001403C3" w:rsidRPr="001403C3">
        <w:rPr>
          <w:rFonts w:ascii="Century Gothic" w:hAnsi="Century Gothic"/>
          <w:sz w:val="20"/>
          <w:szCs w:val="20"/>
        </w:rPr>
        <w:t xml:space="preserve">forming partnerships </w:t>
      </w:r>
      <w:r w:rsidRPr="001403C3">
        <w:rPr>
          <w:rFonts w:ascii="Century Gothic" w:hAnsi="Century Gothic"/>
          <w:sz w:val="20"/>
          <w:szCs w:val="20"/>
        </w:rPr>
        <w:t xml:space="preserve">overseas, we </w:t>
      </w:r>
      <w:r w:rsidR="00A1319F">
        <w:rPr>
          <w:rFonts w:ascii="Century Gothic" w:hAnsi="Century Gothic"/>
          <w:sz w:val="20"/>
          <w:szCs w:val="20"/>
        </w:rPr>
        <w:t>hope to see the</w:t>
      </w:r>
      <w:r w:rsidRPr="001403C3">
        <w:rPr>
          <w:rFonts w:ascii="Century Gothic" w:hAnsi="Century Gothic"/>
          <w:sz w:val="20"/>
          <w:szCs w:val="20"/>
        </w:rPr>
        <w:t xml:space="preserve"> Methodist Church </w:t>
      </w:r>
      <w:r w:rsidR="00A1319F">
        <w:rPr>
          <w:rFonts w:ascii="Century Gothic" w:hAnsi="Century Gothic"/>
          <w:sz w:val="20"/>
          <w:szCs w:val="20"/>
        </w:rPr>
        <w:t xml:space="preserve">become </w:t>
      </w:r>
      <w:r w:rsidRPr="001403C3">
        <w:rPr>
          <w:rFonts w:ascii="Century Gothic" w:hAnsi="Century Gothic"/>
          <w:sz w:val="20"/>
          <w:szCs w:val="20"/>
        </w:rPr>
        <w:t xml:space="preserve">a </w:t>
      </w:r>
      <w:r w:rsidR="00A1319F">
        <w:rPr>
          <w:rFonts w:ascii="Century Gothic" w:hAnsi="Century Gothic"/>
          <w:sz w:val="20"/>
          <w:szCs w:val="20"/>
        </w:rPr>
        <w:t xml:space="preserve">vigorous </w:t>
      </w:r>
      <w:r w:rsidRPr="001403C3">
        <w:rPr>
          <w:rFonts w:ascii="Century Gothic" w:hAnsi="Century Gothic"/>
          <w:sz w:val="20"/>
          <w:szCs w:val="20"/>
        </w:rPr>
        <w:t>voice for change.</w:t>
      </w:r>
    </w:p>
    <w:p w:rsidR="008C56F2" w:rsidRDefault="008C56F2" w:rsidP="008C56F2">
      <w:pPr>
        <w:pStyle w:val="ListParagraph"/>
        <w:spacing w:after="0"/>
        <w:ind w:left="-426" w:right="-556"/>
        <w:jc w:val="both"/>
        <w:rPr>
          <w:rFonts w:ascii="Century Gothic" w:hAnsi="Century Gothic"/>
          <w:sz w:val="20"/>
          <w:szCs w:val="20"/>
        </w:rPr>
      </w:pPr>
    </w:p>
    <w:p w:rsidR="00000F5F" w:rsidRPr="008C56F2" w:rsidRDefault="00000F5F" w:rsidP="0029007E">
      <w:pPr>
        <w:pStyle w:val="ListParagraph"/>
        <w:spacing w:after="0"/>
        <w:ind w:left="-426" w:right="-556"/>
        <w:jc w:val="both"/>
        <w:rPr>
          <w:rFonts w:ascii="Century Gothic" w:hAnsi="Century Gothic"/>
          <w:sz w:val="20"/>
          <w:szCs w:val="20"/>
        </w:rPr>
      </w:pPr>
      <w:r w:rsidRPr="008C56F2">
        <w:rPr>
          <w:rFonts w:ascii="Century Gothic" w:hAnsi="Century Gothic"/>
          <w:b/>
          <w:sz w:val="20"/>
          <w:szCs w:val="20"/>
        </w:rPr>
        <w:t xml:space="preserve">Our Patrons: </w:t>
      </w:r>
      <w:r w:rsidR="0029007E">
        <w:rPr>
          <w:rFonts w:ascii="Century Gothic" w:hAnsi="Century Gothic"/>
          <w:sz w:val="20"/>
          <w:szCs w:val="20"/>
        </w:rPr>
        <w:t>Bishop Ivan Abrahams</w:t>
      </w:r>
      <w:r w:rsidR="0029007E">
        <w:rPr>
          <w:rFonts w:ascii="Century Gothic" w:hAnsi="Century Gothic"/>
          <w:sz w:val="16"/>
          <w:szCs w:val="16"/>
        </w:rPr>
        <w:t xml:space="preserve">; </w:t>
      </w:r>
      <w:r w:rsidR="0029007E">
        <w:rPr>
          <w:rFonts w:ascii="Century Gothic" w:hAnsi="Century Gothic"/>
          <w:sz w:val="20"/>
          <w:szCs w:val="20"/>
        </w:rPr>
        <w:t>Lord</w:t>
      </w:r>
      <w:r w:rsidRPr="008C56F2">
        <w:rPr>
          <w:rFonts w:ascii="Century Gothic" w:hAnsi="Century Gothic"/>
          <w:sz w:val="20"/>
          <w:szCs w:val="20"/>
        </w:rPr>
        <w:t xml:space="preserve"> Paul </w:t>
      </w:r>
      <w:proofErr w:type="spellStart"/>
      <w:r w:rsidRPr="008C56F2">
        <w:rPr>
          <w:rFonts w:ascii="Century Gothic" w:hAnsi="Century Gothic"/>
          <w:sz w:val="20"/>
          <w:szCs w:val="20"/>
        </w:rPr>
        <w:t>Boateng</w:t>
      </w:r>
      <w:proofErr w:type="spellEnd"/>
      <w:r w:rsidRPr="008C56F2">
        <w:rPr>
          <w:rFonts w:ascii="Century Gothic" w:hAnsi="Century Gothic"/>
          <w:sz w:val="20"/>
          <w:szCs w:val="20"/>
        </w:rPr>
        <w:t xml:space="preserve">; Rev Dr. Colin Morris; </w:t>
      </w:r>
      <w:r w:rsidR="0029007E">
        <w:rPr>
          <w:rFonts w:ascii="Century Gothic" w:hAnsi="Century Gothic"/>
          <w:sz w:val="20"/>
          <w:szCs w:val="20"/>
        </w:rPr>
        <w:t xml:space="preserve">Hayley Moss; Baroness </w:t>
      </w:r>
      <w:r w:rsidRPr="008C56F2">
        <w:rPr>
          <w:rFonts w:ascii="Century Gothic" w:hAnsi="Century Gothic"/>
          <w:sz w:val="20"/>
          <w:szCs w:val="20"/>
        </w:rPr>
        <w:t>Kathleen Richardson</w:t>
      </w:r>
      <w:r w:rsidR="0029007E" w:rsidRPr="0029007E">
        <w:rPr>
          <w:rFonts w:ascii="Century Gothic" w:hAnsi="Century Gothic"/>
          <w:sz w:val="20"/>
          <w:szCs w:val="20"/>
        </w:rPr>
        <w:t xml:space="preserve"> OBE</w:t>
      </w:r>
      <w:r w:rsidRPr="008C56F2">
        <w:rPr>
          <w:rFonts w:ascii="Century Gothic" w:hAnsi="Century Gothic"/>
          <w:sz w:val="20"/>
          <w:szCs w:val="20"/>
        </w:rPr>
        <w:t xml:space="preserve">; </w:t>
      </w:r>
      <w:r w:rsidR="0029007E">
        <w:rPr>
          <w:rFonts w:ascii="Century Gothic" w:hAnsi="Century Gothic"/>
          <w:sz w:val="20"/>
          <w:szCs w:val="20"/>
        </w:rPr>
        <w:t xml:space="preserve">Revd Alison Tomlin; </w:t>
      </w:r>
      <w:r w:rsidRPr="008C56F2">
        <w:rPr>
          <w:rFonts w:ascii="Century Gothic" w:hAnsi="Century Gothic"/>
          <w:sz w:val="20"/>
          <w:szCs w:val="20"/>
        </w:rPr>
        <w:t>Dr</w:t>
      </w:r>
      <w:r w:rsidR="008C56F2">
        <w:rPr>
          <w:rFonts w:ascii="Century Gothic" w:hAnsi="Century Gothic"/>
          <w:sz w:val="20"/>
          <w:szCs w:val="20"/>
        </w:rPr>
        <w:t>.</w:t>
      </w:r>
      <w:r w:rsidRPr="008C56F2">
        <w:rPr>
          <w:rFonts w:ascii="Century Gothic" w:hAnsi="Century Gothic"/>
          <w:sz w:val="20"/>
          <w:szCs w:val="20"/>
        </w:rPr>
        <w:t xml:space="preserve"> Pauline Webb</w:t>
      </w:r>
      <w:r w:rsidR="008C56F2">
        <w:rPr>
          <w:rFonts w:ascii="Century Gothic" w:hAnsi="Century Gothic"/>
          <w:sz w:val="20"/>
          <w:szCs w:val="20"/>
        </w:rPr>
        <w:t>.</w:t>
      </w:r>
    </w:p>
    <w:sectPr w:rsidR="00000F5F" w:rsidRPr="008C56F2" w:rsidSect="00966BEA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26" w:rsidRDefault="00530826" w:rsidP="00464995">
      <w:pPr>
        <w:spacing w:after="0" w:line="240" w:lineRule="auto"/>
      </w:pPr>
      <w:r>
        <w:separator/>
      </w:r>
    </w:p>
  </w:endnote>
  <w:endnote w:type="continuationSeparator" w:id="0">
    <w:p w:rsidR="00530826" w:rsidRDefault="00530826" w:rsidP="0046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26" w:rsidRDefault="00530826" w:rsidP="00464995">
      <w:pPr>
        <w:spacing w:after="0" w:line="240" w:lineRule="auto"/>
      </w:pPr>
      <w:r>
        <w:separator/>
      </w:r>
    </w:p>
  </w:footnote>
  <w:footnote w:type="continuationSeparator" w:id="0">
    <w:p w:rsidR="00530826" w:rsidRDefault="00530826" w:rsidP="0046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09"/>
    <w:multiLevelType w:val="hybridMultilevel"/>
    <w:tmpl w:val="1FCC1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2D"/>
    <w:rsid w:val="00000F5F"/>
    <w:rsid w:val="00055723"/>
    <w:rsid w:val="000D56C2"/>
    <w:rsid w:val="00121BD9"/>
    <w:rsid w:val="001403C3"/>
    <w:rsid w:val="00185B69"/>
    <w:rsid w:val="002349C2"/>
    <w:rsid w:val="0024025B"/>
    <w:rsid w:val="0029007E"/>
    <w:rsid w:val="002E3BF9"/>
    <w:rsid w:val="0032574B"/>
    <w:rsid w:val="003665CE"/>
    <w:rsid w:val="003906E8"/>
    <w:rsid w:val="003E6628"/>
    <w:rsid w:val="00464995"/>
    <w:rsid w:val="005024FC"/>
    <w:rsid w:val="00530826"/>
    <w:rsid w:val="005663EA"/>
    <w:rsid w:val="005725FC"/>
    <w:rsid w:val="005A3F48"/>
    <w:rsid w:val="0063245C"/>
    <w:rsid w:val="00641179"/>
    <w:rsid w:val="006D3F73"/>
    <w:rsid w:val="0070120D"/>
    <w:rsid w:val="00775856"/>
    <w:rsid w:val="007915FE"/>
    <w:rsid w:val="007A15BC"/>
    <w:rsid w:val="007D11F6"/>
    <w:rsid w:val="00820DE4"/>
    <w:rsid w:val="008460D9"/>
    <w:rsid w:val="00850BAF"/>
    <w:rsid w:val="00861859"/>
    <w:rsid w:val="008754F4"/>
    <w:rsid w:val="00896D96"/>
    <w:rsid w:val="008C56F2"/>
    <w:rsid w:val="009108CB"/>
    <w:rsid w:val="00920F3D"/>
    <w:rsid w:val="00966BEA"/>
    <w:rsid w:val="009717B3"/>
    <w:rsid w:val="00981E05"/>
    <w:rsid w:val="00A015C5"/>
    <w:rsid w:val="00A1319F"/>
    <w:rsid w:val="00A3778C"/>
    <w:rsid w:val="00A60833"/>
    <w:rsid w:val="00A6495D"/>
    <w:rsid w:val="00B33A39"/>
    <w:rsid w:val="00B86575"/>
    <w:rsid w:val="00D25498"/>
    <w:rsid w:val="00D30ECA"/>
    <w:rsid w:val="00D446A6"/>
    <w:rsid w:val="00D92B38"/>
    <w:rsid w:val="00D96F45"/>
    <w:rsid w:val="00E0489E"/>
    <w:rsid w:val="00E31D5D"/>
    <w:rsid w:val="00E77C33"/>
    <w:rsid w:val="00F11333"/>
    <w:rsid w:val="00F34EFD"/>
    <w:rsid w:val="00F85D2D"/>
    <w:rsid w:val="00FB0E76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0,#fdaa03"/>
      <o:colormenu v:ext="edit" fillcolor="#fdaa03" strokecolor="#fdaa0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995"/>
  </w:style>
  <w:style w:type="paragraph" w:styleId="Footer">
    <w:name w:val="footer"/>
    <w:basedOn w:val="Normal"/>
    <w:link w:val="FooterChar"/>
    <w:uiPriority w:val="99"/>
    <w:semiHidden/>
    <w:unhideWhenUsed/>
    <w:rsid w:val="0046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995"/>
  </w:style>
  <w:style w:type="paragraph" w:styleId="ListParagraph">
    <w:name w:val="List Paragraph"/>
    <w:basedOn w:val="Normal"/>
    <w:uiPriority w:val="34"/>
    <w:qFormat/>
    <w:rsid w:val="00121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tjncoordinat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Jones</dc:creator>
  <cp:lastModifiedBy>Matthew Jones</cp:lastModifiedBy>
  <cp:revision>14</cp:revision>
  <dcterms:created xsi:type="dcterms:W3CDTF">2013-05-29T08:23:00Z</dcterms:created>
  <dcterms:modified xsi:type="dcterms:W3CDTF">2013-06-06T10:52:00Z</dcterms:modified>
</cp:coreProperties>
</file>