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8" w:rsidRPr="00C42F87" w:rsidRDefault="00A37DDD" w:rsidP="008E0C18">
      <w:pPr>
        <w:pStyle w:val="Heading1"/>
        <w:shd w:val="clear" w:color="auto" w:fill="DBE5F1"/>
        <w:rPr>
          <w:rFonts w:asciiTheme="majorHAnsi" w:hAnsiTheme="majorHAnsi"/>
        </w:rPr>
      </w:pPr>
      <w:r>
        <w:rPr>
          <w:rFonts w:asciiTheme="majorHAnsi" w:hAnsiTheme="majorHAnsi"/>
        </w:rPr>
        <w:t>TRANSPARENCY</w:t>
      </w:r>
      <w:r w:rsidR="008E0C18" w:rsidRPr="00C42F87">
        <w:rPr>
          <w:rFonts w:asciiTheme="majorHAnsi" w:hAnsiTheme="majorHAnsi"/>
        </w:rPr>
        <w:t xml:space="preserve"> POLICY </w:t>
      </w: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BE5F1"/>
        <w:tblLook w:val="04A0"/>
      </w:tblPr>
      <w:tblGrid>
        <w:gridCol w:w="2156"/>
        <w:gridCol w:w="2093"/>
        <w:gridCol w:w="2142"/>
        <w:gridCol w:w="2125"/>
      </w:tblGrid>
      <w:tr w:rsidR="008E0C18" w:rsidRPr="00C42F87" w:rsidTr="008E0C18">
        <w:trPr>
          <w:trHeight w:val="253"/>
          <w:jc w:val="center"/>
        </w:trPr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bookmarkStart w:id="0" w:name="_Toc319480714"/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Version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A37DDD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1</w:t>
            </w:r>
            <w:r w:rsidR="00977E87"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.0</w:t>
            </w:r>
            <w:r w:rsidR="008E0C18"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Board approval date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291B25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7</w:t>
            </w:r>
            <w:r w:rsidRPr="00291B25">
              <w:rPr>
                <w:rFonts w:asciiTheme="majorHAnsi" w:eastAsia="Calibri" w:hAnsiTheme="majorHAnsi" w:cs="Arial"/>
                <w:color w:val="1F497D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 Augusts, 2013</w:t>
            </w:r>
          </w:p>
        </w:tc>
      </w:tr>
      <w:tr w:rsidR="008E0C18" w:rsidRPr="00C42F87" w:rsidTr="008E0C18">
        <w:trPr>
          <w:trHeight w:val="253"/>
          <w:jc w:val="center"/>
        </w:trPr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Drafted by 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Chad Irons 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Effective date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291B25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7</w:t>
            </w:r>
            <w:r w:rsidRPr="00291B25">
              <w:rPr>
                <w:rFonts w:asciiTheme="majorHAnsi" w:eastAsia="Calibri" w:hAnsiTheme="majorHAnsi" w:cs="Arial"/>
                <w:color w:val="1F497D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 August, 2013</w:t>
            </w:r>
          </w:p>
        </w:tc>
      </w:tr>
      <w:tr w:rsidR="008E0C18" w:rsidRPr="00C42F87" w:rsidTr="008E0C18">
        <w:trPr>
          <w:trHeight w:val="270"/>
          <w:jc w:val="center"/>
        </w:trPr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Responsible person 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Chad Irons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8E0C18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 xml:space="preserve">Scheduled review date </w:t>
            </w:r>
          </w:p>
        </w:tc>
        <w:tc>
          <w:tcPr>
            <w:tcW w:w="2281" w:type="dxa"/>
            <w:shd w:val="clear" w:color="auto" w:fill="DBE5F1"/>
          </w:tcPr>
          <w:p w:rsidR="008E0C18" w:rsidRPr="00C42F87" w:rsidRDefault="00E92335" w:rsidP="008E0C18">
            <w:pPr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</w:pPr>
            <w:r w:rsidRPr="00C42F87">
              <w:rPr>
                <w:rFonts w:asciiTheme="majorHAnsi" w:eastAsia="Calibri" w:hAnsiTheme="majorHAnsi" w:cs="Arial"/>
                <w:color w:val="1F497D"/>
                <w:sz w:val="20"/>
                <w:szCs w:val="20"/>
              </w:rPr>
              <w:t>n/a</w:t>
            </w:r>
          </w:p>
        </w:tc>
      </w:tr>
    </w:tbl>
    <w:p w:rsidR="008E0C18" w:rsidRPr="00C42F87" w:rsidRDefault="008E0C18" w:rsidP="008E0C18">
      <w:pPr>
        <w:pStyle w:val="Heading2"/>
        <w:rPr>
          <w:rFonts w:asciiTheme="majorHAnsi" w:hAnsiTheme="majorHAnsi"/>
        </w:rPr>
      </w:pPr>
    </w:p>
    <w:bookmarkEnd w:id="0"/>
    <w:p w:rsidR="008E0C18" w:rsidRPr="00BC0C8C" w:rsidRDefault="00E92335" w:rsidP="008E0C18">
      <w:pPr>
        <w:pStyle w:val="Heading2"/>
        <w:rPr>
          <w:rFonts w:asciiTheme="majorHAnsi" w:hAnsiTheme="majorHAnsi"/>
        </w:rPr>
      </w:pPr>
      <w:r w:rsidRPr="00BC0C8C">
        <w:rPr>
          <w:rFonts w:asciiTheme="majorHAnsi" w:hAnsiTheme="majorHAnsi"/>
        </w:rPr>
        <w:t>Preamble</w:t>
      </w:r>
    </w:p>
    <w:p w:rsidR="008E0C18" w:rsidRPr="00BC0C8C" w:rsidRDefault="008E0C18" w:rsidP="008E0C18">
      <w:pPr>
        <w:rPr>
          <w:rFonts w:asciiTheme="majorHAnsi" w:hAnsiTheme="majorHAnsi"/>
          <w:sz w:val="22"/>
          <w:szCs w:val="22"/>
        </w:rPr>
      </w:pPr>
    </w:p>
    <w:p w:rsidR="008E0C18" w:rsidRPr="00BC0C8C" w:rsidRDefault="00E92335" w:rsidP="008E0C18">
      <w:pPr>
        <w:rPr>
          <w:rFonts w:asciiTheme="majorHAnsi" w:hAnsiTheme="majorHAnsi"/>
          <w:i/>
          <w:sz w:val="22"/>
          <w:szCs w:val="22"/>
        </w:rPr>
      </w:pPr>
      <w:r w:rsidRPr="00BC0C8C">
        <w:rPr>
          <w:rFonts w:asciiTheme="majorHAnsi" w:hAnsiTheme="majorHAnsi"/>
          <w:i/>
          <w:sz w:val="22"/>
          <w:szCs w:val="22"/>
        </w:rPr>
        <w:t xml:space="preserve">ACC International </w:t>
      </w:r>
      <w:r w:rsidR="00A37DDD" w:rsidRPr="00BC0C8C">
        <w:rPr>
          <w:rFonts w:asciiTheme="majorHAnsi" w:hAnsiTheme="majorHAnsi"/>
          <w:i/>
          <w:sz w:val="22"/>
          <w:szCs w:val="22"/>
        </w:rPr>
        <w:t>Relief</w:t>
      </w:r>
      <w:r w:rsidR="00EB2F5A">
        <w:rPr>
          <w:rFonts w:asciiTheme="majorHAnsi" w:hAnsiTheme="majorHAnsi"/>
          <w:i/>
          <w:sz w:val="22"/>
          <w:szCs w:val="22"/>
        </w:rPr>
        <w:t xml:space="preserve"> (ACCIR)</w:t>
      </w:r>
      <w:r w:rsidR="00A37DDD" w:rsidRPr="00BC0C8C">
        <w:rPr>
          <w:rFonts w:asciiTheme="majorHAnsi" w:hAnsiTheme="majorHAnsi"/>
          <w:i/>
          <w:sz w:val="22"/>
          <w:szCs w:val="22"/>
        </w:rPr>
        <w:t xml:space="preserve"> </w:t>
      </w:r>
      <w:r w:rsidR="00A00FA7">
        <w:rPr>
          <w:rFonts w:asciiTheme="majorHAnsi" w:hAnsiTheme="majorHAnsi"/>
          <w:i/>
          <w:sz w:val="22"/>
          <w:szCs w:val="22"/>
        </w:rPr>
        <w:t>is</w:t>
      </w:r>
      <w:r w:rsidR="00A37DDD" w:rsidRPr="00BC0C8C">
        <w:rPr>
          <w:rFonts w:asciiTheme="majorHAnsi" w:hAnsiTheme="majorHAnsi"/>
          <w:i/>
          <w:sz w:val="22"/>
          <w:szCs w:val="22"/>
        </w:rPr>
        <w:t xml:space="preserve"> committed to transparency</w:t>
      </w:r>
      <w:r w:rsidR="00A00FA7">
        <w:rPr>
          <w:rFonts w:asciiTheme="majorHAnsi" w:hAnsiTheme="majorHAnsi"/>
          <w:i/>
          <w:sz w:val="22"/>
          <w:szCs w:val="22"/>
        </w:rPr>
        <w:t xml:space="preserve"> in reporting to stakeholders. </w:t>
      </w:r>
    </w:p>
    <w:p w:rsidR="008E0C18" w:rsidRPr="00BC0C8C" w:rsidRDefault="008E0C18" w:rsidP="008E0C18">
      <w:pPr>
        <w:rPr>
          <w:rFonts w:asciiTheme="majorHAnsi" w:hAnsiTheme="majorHAnsi"/>
          <w:sz w:val="22"/>
          <w:szCs w:val="22"/>
        </w:rPr>
      </w:pPr>
    </w:p>
    <w:p w:rsidR="00E92335" w:rsidRPr="00BC0C8C" w:rsidRDefault="00E92335" w:rsidP="00E92335">
      <w:pPr>
        <w:pStyle w:val="Heading2"/>
        <w:rPr>
          <w:rFonts w:asciiTheme="majorHAnsi" w:hAnsiTheme="majorHAnsi"/>
        </w:rPr>
      </w:pPr>
      <w:r w:rsidRPr="00BC0C8C">
        <w:rPr>
          <w:rFonts w:asciiTheme="majorHAnsi" w:hAnsiTheme="majorHAnsi"/>
        </w:rPr>
        <w:t>Policy</w:t>
      </w:r>
    </w:p>
    <w:p w:rsidR="00E92335" w:rsidRPr="00BC0C8C" w:rsidRDefault="00E92335" w:rsidP="008E0C18">
      <w:pPr>
        <w:rPr>
          <w:rFonts w:asciiTheme="majorHAnsi" w:hAnsiTheme="majorHAnsi"/>
          <w:sz w:val="22"/>
          <w:szCs w:val="22"/>
        </w:rPr>
      </w:pPr>
    </w:p>
    <w:p w:rsidR="00CE5251" w:rsidRPr="00BC0C8C" w:rsidRDefault="00A37DDD" w:rsidP="00CE5251">
      <w:pPr>
        <w:rPr>
          <w:rFonts w:asciiTheme="majorHAnsi" w:hAnsiTheme="majorHAnsi"/>
          <w:sz w:val="22"/>
          <w:szCs w:val="22"/>
        </w:rPr>
      </w:pPr>
      <w:r w:rsidRPr="00BC0C8C">
        <w:rPr>
          <w:rFonts w:asciiTheme="majorHAnsi" w:hAnsiTheme="majorHAnsi"/>
          <w:sz w:val="22"/>
          <w:szCs w:val="22"/>
        </w:rPr>
        <w:t xml:space="preserve">ACCIR should be </w:t>
      </w:r>
      <w:r w:rsidR="00CE5251" w:rsidRPr="00BC0C8C">
        <w:rPr>
          <w:rFonts w:asciiTheme="majorHAnsi" w:hAnsiTheme="majorHAnsi"/>
          <w:sz w:val="22"/>
          <w:szCs w:val="22"/>
        </w:rPr>
        <w:t>demonstrably independent and transparent</w:t>
      </w:r>
      <w:r w:rsidR="00866C54">
        <w:rPr>
          <w:rFonts w:asciiTheme="majorHAnsi" w:hAnsiTheme="majorHAnsi"/>
          <w:sz w:val="22"/>
          <w:szCs w:val="22"/>
        </w:rPr>
        <w:t xml:space="preserve"> in its reporting</w:t>
      </w:r>
      <w:r w:rsidR="00D16490">
        <w:rPr>
          <w:rFonts w:asciiTheme="majorHAnsi" w:hAnsiTheme="majorHAnsi"/>
          <w:sz w:val="22"/>
          <w:szCs w:val="22"/>
        </w:rPr>
        <w:t xml:space="preserve"> to stakeholders</w:t>
      </w:r>
      <w:r w:rsidR="00866C54">
        <w:rPr>
          <w:rFonts w:asciiTheme="majorHAnsi" w:hAnsiTheme="majorHAnsi"/>
          <w:sz w:val="22"/>
          <w:szCs w:val="22"/>
        </w:rPr>
        <w:t xml:space="preserve"> and i</w:t>
      </w:r>
      <w:r w:rsidR="00CE5251" w:rsidRPr="00BC0C8C">
        <w:rPr>
          <w:rFonts w:asciiTheme="majorHAnsi" w:hAnsiTheme="majorHAnsi"/>
          <w:sz w:val="22"/>
          <w:szCs w:val="22"/>
        </w:rPr>
        <w:t xml:space="preserve">n order to </w:t>
      </w:r>
      <w:r w:rsidR="00BC0C8C" w:rsidRPr="00BC0C8C">
        <w:rPr>
          <w:rFonts w:asciiTheme="majorHAnsi" w:hAnsiTheme="majorHAnsi"/>
          <w:sz w:val="22"/>
          <w:szCs w:val="22"/>
        </w:rPr>
        <w:t>fulfil</w:t>
      </w:r>
      <w:r w:rsidR="00CE5251" w:rsidRPr="00BC0C8C">
        <w:rPr>
          <w:rFonts w:asciiTheme="majorHAnsi" w:hAnsiTheme="majorHAnsi"/>
          <w:sz w:val="22"/>
          <w:szCs w:val="22"/>
        </w:rPr>
        <w:t xml:space="preserve"> this: </w:t>
      </w:r>
    </w:p>
    <w:p w:rsidR="00CE5251" w:rsidRPr="00BC0C8C" w:rsidRDefault="00CE5251" w:rsidP="00BC0C8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C0C8C">
        <w:rPr>
          <w:rFonts w:asciiTheme="majorHAnsi" w:hAnsiTheme="majorHAnsi"/>
          <w:sz w:val="22"/>
          <w:szCs w:val="22"/>
        </w:rPr>
        <w:t>Any conflicts of int</w:t>
      </w:r>
      <w:r w:rsidR="00BC0C8C" w:rsidRPr="00BC0C8C">
        <w:rPr>
          <w:rFonts w:asciiTheme="majorHAnsi" w:hAnsiTheme="majorHAnsi"/>
          <w:sz w:val="22"/>
          <w:szCs w:val="22"/>
        </w:rPr>
        <w:t>erest should be fully declared;</w:t>
      </w:r>
    </w:p>
    <w:p w:rsidR="008B7C8D" w:rsidRPr="00BC0C8C" w:rsidRDefault="008B7C8D" w:rsidP="008B7C8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Relevant and up to date information about the organisations activities should be publically available (the ACCIR Annual Report is posted on the website);</w:t>
      </w:r>
    </w:p>
    <w:p w:rsidR="00CE5251" w:rsidRDefault="00CE5251" w:rsidP="00BC0C8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C0C8C">
        <w:rPr>
          <w:rFonts w:asciiTheme="majorHAnsi" w:hAnsiTheme="majorHAnsi"/>
          <w:sz w:val="22"/>
          <w:szCs w:val="22"/>
        </w:rPr>
        <w:t xml:space="preserve">Relevant and up to date financial </w:t>
      </w:r>
      <w:r w:rsidR="00BC0C8C" w:rsidRPr="00BC0C8C">
        <w:rPr>
          <w:rFonts w:asciiTheme="majorHAnsi" w:hAnsiTheme="majorHAnsi"/>
          <w:sz w:val="22"/>
          <w:szCs w:val="22"/>
        </w:rPr>
        <w:t xml:space="preserve">information </w:t>
      </w:r>
      <w:r w:rsidR="00D16490">
        <w:rPr>
          <w:rFonts w:asciiTheme="majorHAnsi" w:hAnsiTheme="majorHAnsi"/>
          <w:sz w:val="22"/>
          <w:szCs w:val="22"/>
        </w:rPr>
        <w:t xml:space="preserve">about the organisation </w:t>
      </w:r>
      <w:r w:rsidR="00A00FA7">
        <w:rPr>
          <w:rFonts w:asciiTheme="majorHAnsi" w:hAnsiTheme="majorHAnsi"/>
          <w:sz w:val="22"/>
          <w:szCs w:val="22"/>
        </w:rPr>
        <w:t xml:space="preserve">should be publicly available </w:t>
      </w:r>
      <w:r w:rsidR="008B7C8D">
        <w:rPr>
          <w:rFonts w:asciiTheme="majorHAnsi" w:hAnsiTheme="majorHAnsi"/>
          <w:sz w:val="22"/>
          <w:szCs w:val="22"/>
        </w:rPr>
        <w:t>(the ACCIR Summary Financial Statements are included in the Annual Report and the</w:t>
      </w:r>
      <w:r w:rsidR="00A00FA7">
        <w:rPr>
          <w:rFonts w:asciiTheme="majorHAnsi" w:hAnsiTheme="majorHAnsi"/>
          <w:sz w:val="22"/>
          <w:szCs w:val="22"/>
        </w:rPr>
        <w:t xml:space="preserve"> </w:t>
      </w:r>
      <w:r w:rsidR="008B7C8D">
        <w:rPr>
          <w:rFonts w:asciiTheme="majorHAnsi" w:hAnsiTheme="majorHAnsi"/>
          <w:sz w:val="22"/>
          <w:szCs w:val="22"/>
        </w:rPr>
        <w:t>full Audited F</w:t>
      </w:r>
      <w:r w:rsidR="00A00FA7">
        <w:rPr>
          <w:rFonts w:asciiTheme="majorHAnsi" w:hAnsiTheme="majorHAnsi"/>
          <w:sz w:val="22"/>
          <w:szCs w:val="22"/>
        </w:rPr>
        <w:t>inanci</w:t>
      </w:r>
      <w:r w:rsidR="008B7C8D">
        <w:rPr>
          <w:rFonts w:asciiTheme="majorHAnsi" w:hAnsiTheme="majorHAnsi"/>
          <w:sz w:val="22"/>
          <w:szCs w:val="22"/>
        </w:rPr>
        <w:t>al S</w:t>
      </w:r>
      <w:r w:rsidR="00A00FA7">
        <w:rPr>
          <w:rFonts w:asciiTheme="majorHAnsi" w:hAnsiTheme="majorHAnsi"/>
          <w:sz w:val="22"/>
          <w:szCs w:val="22"/>
        </w:rPr>
        <w:t>tatements are available upon request</w:t>
      </w:r>
      <w:r w:rsidR="008B7C8D">
        <w:rPr>
          <w:rFonts w:asciiTheme="majorHAnsi" w:hAnsiTheme="majorHAnsi"/>
          <w:sz w:val="22"/>
          <w:szCs w:val="22"/>
        </w:rPr>
        <w:t>)</w:t>
      </w:r>
      <w:r w:rsidR="00A00FA7">
        <w:rPr>
          <w:rFonts w:asciiTheme="majorHAnsi" w:hAnsiTheme="majorHAnsi"/>
          <w:sz w:val="22"/>
          <w:szCs w:val="22"/>
        </w:rPr>
        <w:t>;</w:t>
      </w:r>
    </w:p>
    <w:p w:rsidR="008B7C8D" w:rsidRDefault="008B7C8D" w:rsidP="00BC0C8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primary governance document should be publically available (ACCIR Constitution will be publically available through the ACNC and a copy is currently available upon request);</w:t>
      </w:r>
    </w:p>
    <w:p w:rsidR="008B7C8D" w:rsidRDefault="00D16490" w:rsidP="00BC0C8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Names of the governing B</w:t>
      </w:r>
      <w:r w:rsidR="008B7C8D">
        <w:rPr>
          <w:rFonts w:asciiTheme="majorHAnsi" w:hAnsiTheme="majorHAnsi"/>
          <w:sz w:val="22"/>
          <w:szCs w:val="22"/>
        </w:rPr>
        <w:t xml:space="preserve">oard should </w:t>
      </w:r>
      <w:r>
        <w:rPr>
          <w:rFonts w:asciiTheme="majorHAnsi" w:hAnsiTheme="majorHAnsi"/>
          <w:sz w:val="22"/>
          <w:szCs w:val="22"/>
        </w:rPr>
        <w:t>be publically available (ACCIR B</w:t>
      </w:r>
      <w:r w:rsidR="008B7C8D">
        <w:rPr>
          <w:rFonts w:asciiTheme="majorHAnsi" w:hAnsiTheme="majorHAnsi"/>
          <w:sz w:val="22"/>
          <w:szCs w:val="22"/>
        </w:rPr>
        <w:t>oard members names are listed in our Annual Report); and</w:t>
      </w:r>
    </w:p>
    <w:p w:rsidR="00CE5251" w:rsidRPr="00BC0C8C" w:rsidRDefault="00BC0C8C" w:rsidP="00BC0C8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BC0C8C">
        <w:rPr>
          <w:rFonts w:asciiTheme="majorHAnsi" w:hAnsiTheme="majorHAnsi"/>
          <w:sz w:val="22"/>
          <w:szCs w:val="22"/>
        </w:rPr>
        <w:t>Donors should have access to their personal information in accordance with our Donor Policy (MOPP – Policy 4.1: Donor Policy)</w:t>
      </w:r>
      <w:r w:rsidR="008B7C8D">
        <w:rPr>
          <w:rFonts w:asciiTheme="majorHAnsi" w:hAnsiTheme="majorHAnsi"/>
          <w:sz w:val="22"/>
          <w:szCs w:val="22"/>
        </w:rPr>
        <w:t xml:space="preserve">. </w:t>
      </w:r>
    </w:p>
    <w:p w:rsidR="00C11253" w:rsidRDefault="00C11253" w:rsidP="008E0C18">
      <w:pPr>
        <w:rPr>
          <w:rFonts w:asciiTheme="majorHAnsi" w:hAnsiTheme="majorHAnsi"/>
          <w:sz w:val="22"/>
          <w:szCs w:val="22"/>
        </w:rPr>
      </w:pPr>
    </w:p>
    <w:p w:rsidR="00A00FA7" w:rsidRDefault="00A00FA7" w:rsidP="008E0C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 that will not be disclosed to stakeholders:</w:t>
      </w:r>
    </w:p>
    <w:p w:rsidR="00A00FA7" w:rsidRDefault="001550AD" w:rsidP="00A00FA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 information that is deemed by the organisation to be confidential, including but not limited to </w:t>
      </w:r>
      <w:r w:rsidR="00D16490">
        <w:rPr>
          <w:rFonts w:asciiTheme="majorHAnsi" w:hAnsiTheme="majorHAnsi"/>
          <w:sz w:val="22"/>
          <w:szCs w:val="22"/>
        </w:rPr>
        <w:t xml:space="preserve">private and confidential information regarding </w:t>
      </w:r>
      <w:r>
        <w:rPr>
          <w:rFonts w:asciiTheme="majorHAnsi" w:hAnsiTheme="majorHAnsi"/>
          <w:sz w:val="22"/>
          <w:szCs w:val="22"/>
        </w:rPr>
        <w:t>staff, field workers, donors, s</w:t>
      </w:r>
      <w:r w:rsidR="00D16490">
        <w:rPr>
          <w:rFonts w:asciiTheme="majorHAnsi" w:hAnsiTheme="majorHAnsi"/>
          <w:sz w:val="22"/>
          <w:szCs w:val="22"/>
        </w:rPr>
        <w:t>trategic partners, volunteers, B</w:t>
      </w:r>
      <w:r>
        <w:rPr>
          <w:rFonts w:asciiTheme="majorHAnsi" w:hAnsiTheme="majorHAnsi"/>
          <w:sz w:val="22"/>
          <w:szCs w:val="22"/>
        </w:rPr>
        <w:t xml:space="preserve">oard and members; </w:t>
      </w:r>
    </w:p>
    <w:p w:rsidR="00A00FA7" w:rsidRDefault="001550AD" w:rsidP="00A00FA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information that would result in a breach of privacy</w:t>
      </w:r>
      <w:r w:rsidR="00D16490">
        <w:rPr>
          <w:rFonts w:asciiTheme="majorHAnsi" w:hAnsiTheme="majorHAnsi"/>
          <w:sz w:val="22"/>
          <w:szCs w:val="22"/>
        </w:rPr>
        <w:t xml:space="preserve"> laws, contract laws or any other legally binding regulations; </w:t>
      </w:r>
    </w:p>
    <w:p w:rsidR="001550AD" w:rsidRDefault="001550AD" w:rsidP="00A00FA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information regarding legal matters or ongoing litigation;</w:t>
      </w:r>
      <w:r w:rsidR="00D16490">
        <w:rPr>
          <w:rFonts w:asciiTheme="majorHAnsi" w:hAnsiTheme="majorHAnsi"/>
          <w:sz w:val="22"/>
          <w:szCs w:val="22"/>
        </w:rPr>
        <w:t xml:space="preserve"> and </w:t>
      </w:r>
    </w:p>
    <w:p w:rsidR="00D16490" w:rsidRPr="00A00FA7" w:rsidRDefault="00D16490" w:rsidP="00A00FA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 information deemed by the Board to be confidential. </w:t>
      </w:r>
    </w:p>
    <w:p w:rsidR="00C11253" w:rsidRPr="00BC0C8C" w:rsidRDefault="00C11253" w:rsidP="008E0C18">
      <w:pPr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:rsidR="00681D01" w:rsidRDefault="001550AD" w:rsidP="008E0C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 is the responsibility of the ACCIR General Manager to apply this policy</w:t>
      </w:r>
      <w:r w:rsidR="008B7C8D">
        <w:rPr>
          <w:rFonts w:asciiTheme="majorHAnsi" w:hAnsiTheme="majorHAnsi"/>
          <w:sz w:val="22"/>
          <w:szCs w:val="22"/>
        </w:rPr>
        <w:t xml:space="preserve"> and decide whether or not to disclose</w:t>
      </w:r>
      <w:r w:rsidR="00D16490">
        <w:rPr>
          <w:rFonts w:asciiTheme="majorHAnsi" w:hAnsiTheme="majorHAnsi"/>
          <w:sz w:val="22"/>
          <w:szCs w:val="22"/>
        </w:rPr>
        <w:t xml:space="preserve"> specific information.  Where there is any uncertainty, the General Manager will advise the Board who will then be responsible for making a disclosure determination. </w:t>
      </w:r>
    </w:p>
    <w:p w:rsidR="00D16490" w:rsidRPr="00BC0C8C" w:rsidRDefault="00D16490" w:rsidP="008E0C18">
      <w:pPr>
        <w:rPr>
          <w:rFonts w:asciiTheme="majorHAnsi" w:hAnsiTheme="majorHAnsi"/>
          <w:sz w:val="22"/>
          <w:szCs w:val="22"/>
        </w:rPr>
      </w:pPr>
    </w:p>
    <w:sectPr w:rsidR="00D16490" w:rsidRPr="00BC0C8C" w:rsidSect="000F2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61052"/>
    <w:multiLevelType w:val="hybridMultilevel"/>
    <w:tmpl w:val="0670352A"/>
    <w:lvl w:ilvl="0" w:tplc="98989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190DAD0">
      <w:start w:val="1"/>
      <w:numFmt w:val="lowerLetter"/>
      <w:lvlText w:val="(%2)"/>
      <w:lvlJc w:val="left"/>
      <w:pPr>
        <w:ind w:left="110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52BCD"/>
    <w:multiLevelType w:val="hybridMultilevel"/>
    <w:tmpl w:val="388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91137"/>
    <w:multiLevelType w:val="hybridMultilevel"/>
    <w:tmpl w:val="D5D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B91"/>
    <w:multiLevelType w:val="hybridMultilevel"/>
    <w:tmpl w:val="ED5E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5C9F"/>
    <w:multiLevelType w:val="hybridMultilevel"/>
    <w:tmpl w:val="3840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5F53"/>
    <w:multiLevelType w:val="hybridMultilevel"/>
    <w:tmpl w:val="688C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72BA"/>
    <w:multiLevelType w:val="hybridMultilevel"/>
    <w:tmpl w:val="45B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8E0C18"/>
    <w:rsid w:val="000F221E"/>
    <w:rsid w:val="001550AD"/>
    <w:rsid w:val="00231076"/>
    <w:rsid w:val="002546BC"/>
    <w:rsid w:val="00280733"/>
    <w:rsid w:val="00291B25"/>
    <w:rsid w:val="00295EF1"/>
    <w:rsid w:val="00524C95"/>
    <w:rsid w:val="005F084E"/>
    <w:rsid w:val="00616903"/>
    <w:rsid w:val="00681D01"/>
    <w:rsid w:val="006821D6"/>
    <w:rsid w:val="00866C54"/>
    <w:rsid w:val="008B7C8D"/>
    <w:rsid w:val="008E0C18"/>
    <w:rsid w:val="00977E87"/>
    <w:rsid w:val="00A00FA7"/>
    <w:rsid w:val="00A37DDD"/>
    <w:rsid w:val="00BC0C8C"/>
    <w:rsid w:val="00C11253"/>
    <w:rsid w:val="00C42F87"/>
    <w:rsid w:val="00C734E1"/>
    <w:rsid w:val="00CE5251"/>
    <w:rsid w:val="00D16490"/>
    <w:rsid w:val="00E92335"/>
    <w:rsid w:val="00EB2F5A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BC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E0C18"/>
    <w:pPr>
      <w:widowControl w:val="0"/>
      <w:tabs>
        <w:tab w:val="left" w:pos="567"/>
      </w:tabs>
      <w:spacing w:after="120"/>
      <w:ind w:left="567" w:hanging="567"/>
      <w:jc w:val="center"/>
      <w:outlineLvl w:val="0"/>
    </w:pPr>
    <w:rPr>
      <w:rFonts w:ascii="Arial" w:eastAsia="SimSun" w:hAnsi="Arial" w:cs="Times New Roman"/>
      <w:b/>
      <w:color w:val="1F497D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8E0C18"/>
    <w:pPr>
      <w:keepNext/>
      <w:outlineLvl w:val="1"/>
    </w:pPr>
    <w:rPr>
      <w:rFonts w:ascii="Arial" w:eastAsia="SimSun" w:hAnsi="Arial" w:cs="Arial"/>
      <w:b/>
      <w:bCs/>
      <w:iCs/>
      <w:color w:val="1F497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C18"/>
    <w:rPr>
      <w:rFonts w:ascii="Arial" w:eastAsia="SimSun" w:hAnsi="Arial" w:cs="Times New Roman"/>
      <w:b/>
      <w:color w:val="1F497D"/>
      <w:kern w:val="28"/>
      <w:sz w:val="3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E0C18"/>
    <w:rPr>
      <w:rFonts w:ascii="Arial" w:eastAsia="SimSun" w:hAnsi="Arial" w:cs="Arial"/>
      <w:b/>
      <w:bCs/>
      <w:iCs/>
      <w:color w:val="1F497D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C4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E0C18"/>
    <w:pPr>
      <w:widowControl w:val="0"/>
      <w:tabs>
        <w:tab w:val="left" w:pos="567"/>
      </w:tabs>
      <w:spacing w:after="120"/>
      <w:ind w:left="567" w:hanging="567"/>
      <w:jc w:val="center"/>
      <w:outlineLvl w:val="0"/>
    </w:pPr>
    <w:rPr>
      <w:rFonts w:ascii="Arial" w:eastAsia="SimSun" w:hAnsi="Arial" w:cs="Times New Roman"/>
      <w:b/>
      <w:color w:val="1F497D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8E0C18"/>
    <w:pPr>
      <w:keepNext/>
      <w:outlineLvl w:val="1"/>
    </w:pPr>
    <w:rPr>
      <w:rFonts w:ascii="Arial" w:eastAsia="SimSun" w:hAnsi="Arial" w:cs="Arial"/>
      <w:b/>
      <w:bCs/>
      <w:iCs/>
      <w:color w:val="1F497D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C18"/>
    <w:rPr>
      <w:rFonts w:ascii="Arial" w:eastAsia="SimSun" w:hAnsi="Arial" w:cs="Times New Roman"/>
      <w:b/>
      <w:color w:val="1F497D"/>
      <w:kern w:val="28"/>
      <w:sz w:val="3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E0C18"/>
    <w:rPr>
      <w:rFonts w:ascii="Arial" w:eastAsia="SimSun" w:hAnsi="Arial" w:cs="Arial"/>
      <w:b/>
      <w:bCs/>
      <w:iCs/>
      <w:color w:val="1F497D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C4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Irons</dc:creator>
  <cp:keywords/>
  <dc:description/>
  <cp:lastModifiedBy>nicolette</cp:lastModifiedBy>
  <cp:revision>9</cp:revision>
  <dcterms:created xsi:type="dcterms:W3CDTF">2013-05-07T03:31:00Z</dcterms:created>
  <dcterms:modified xsi:type="dcterms:W3CDTF">2014-01-08T05:38:00Z</dcterms:modified>
</cp:coreProperties>
</file>