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E4" w:rsidRDefault="00DA34E4" w:rsidP="005979D8">
      <w:pPr>
        <w:spacing w:after="0" w:line="240" w:lineRule="auto"/>
      </w:pPr>
    </w:p>
    <w:p w:rsidR="00DA34E4" w:rsidRDefault="00DA34E4" w:rsidP="005979D8">
      <w:pPr>
        <w:spacing w:after="0" w:line="240" w:lineRule="auto"/>
      </w:pPr>
    </w:p>
    <w:p w:rsidR="00DA34E4" w:rsidRDefault="00DA34E4" w:rsidP="005979D8">
      <w:pPr>
        <w:spacing w:after="0" w:line="240" w:lineRule="auto"/>
      </w:pPr>
    </w:p>
    <w:p w:rsidR="00DA34E4" w:rsidRDefault="00DA34E4" w:rsidP="005979D8">
      <w:pPr>
        <w:spacing w:after="0" w:line="240" w:lineRule="auto"/>
      </w:pPr>
    </w:p>
    <w:p w:rsidR="00DA34E4" w:rsidRDefault="00816025" w:rsidP="005979D8">
      <w:pPr>
        <w:spacing w:after="0" w:line="240" w:lineRule="auto"/>
      </w:pPr>
      <w:r>
        <w:rPr>
          <w:noProof/>
          <w:lang w:eastAsia="en-AU"/>
        </w:rPr>
        <w:drawing>
          <wp:inline distT="0" distB="0" distL="0" distR="0">
            <wp:extent cx="2622550" cy="2317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25643" cy="2320483"/>
                    </a:xfrm>
                    <a:prstGeom prst="rect">
                      <a:avLst/>
                    </a:prstGeom>
                  </pic:spPr>
                </pic:pic>
              </a:graphicData>
            </a:graphic>
          </wp:inline>
        </w:drawing>
      </w:r>
      <w:r w:rsidR="00DA7D00">
        <w:tab/>
      </w:r>
      <w:r w:rsidR="00DA7D00">
        <w:tab/>
      </w:r>
      <w:r w:rsidR="00DA7D00">
        <w:tab/>
      </w:r>
      <w:r>
        <w:rPr>
          <w:noProof/>
          <w:lang w:eastAsia="en-AU"/>
        </w:rPr>
        <w:drawing>
          <wp:anchor distT="0" distB="0" distL="114300" distR="114300" simplePos="0" relativeHeight="251659264" behindDoc="0" locked="0" layoutInCell="1" allowOverlap="1">
            <wp:simplePos x="0" y="0"/>
            <wp:positionH relativeFrom="margin">
              <wp:posOffset>3213100</wp:posOffset>
            </wp:positionH>
            <wp:positionV relativeFrom="margin">
              <wp:posOffset>1612900</wp:posOffset>
            </wp:positionV>
            <wp:extent cx="2697480" cy="8191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7480" cy="819150"/>
                    </a:xfrm>
                    <a:prstGeom prst="rect">
                      <a:avLst/>
                    </a:prstGeom>
                  </pic:spPr>
                </pic:pic>
              </a:graphicData>
            </a:graphic>
          </wp:anchor>
        </w:drawing>
      </w:r>
      <w:r w:rsidR="00DA7D00">
        <w:tab/>
      </w:r>
      <w:r w:rsidR="00DA7D00">
        <w:tab/>
      </w:r>
      <w:r w:rsidR="00DA7D00">
        <w:tab/>
      </w:r>
      <w:r w:rsidR="00B97DC9">
        <w:tab/>
      </w:r>
      <w:r w:rsidR="00B97DC9">
        <w:tab/>
      </w:r>
      <w:r w:rsidR="00B97DC9">
        <w:tab/>
      </w:r>
      <w:r w:rsidR="00B97DC9">
        <w:tab/>
      </w:r>
      <w:r w:rsidR="00B97DC9">
        <w:tab/>
      </w:r>
    </w:p>
    <w:p w:rsidR="00DA34E4" w:rsidRDefault="00DA34E4" w:rsidP="005979D8">
      <w:pPr>
        <w:spacing w:after="0" w:line="240" w:lineRule="auto"/>
      </w:pPr>
    </w:p>
    <w:p w:rsidR="00DA34E4" w:rsidRDefault="00DA34E4" w:rsidP="005979D8">
      <w:pPr>
        <w:spacing w:after="0" w:line="240" w:lineRule="auto"/>
      </w:pPr>
    </w:p>
    <w:p w:rsidR="005979D8" w:rsidRDefault="00B97DC9" w:rsidP="005979D8">
      <w:pPr>
        <w:spacing w:after="0" w:line="240" w:lineRule="auto"/>
      </w:pPr>
      <w:r>
        <w:tab/>
      </w:r>
    </w:p>
    <w:p w:rsidR="00DD5BB7" w:rsidRPr="008324A2" w:rsidRDefault="00DA7D00" w:rsidP="00DC0785">
      <w:pPr>
        <w:rPr>
          <w:rFonts w:ascii="Gotham Book" w:hAnsi="Gotham Book"/>
          <w:b/>
          <w:sz w:val="36"/>
          <w:szCs w:val="36"/>
        </w:rPr>
      </w:pPr>
      <w:r w:rsidRPr="00DA7D00">
        <w:rPr>
          <w:rFonts w:ascii="Gotham Book" w:hAnsi="Gotham Book"/>
          <w:b/>
          <w:sz w:val="36"/>
          <w:szCs w:val="36"/>
        </w:rPr>
        <w:t>Shareholder briefing: forthcoming AGM resolutions</w:t>
      </w:r>
      <w:r w:rsidR="008324A2">
        <w:rPr>
          <w:rFonts w:ascii="Gotham Book" w:hAnsi="Gotham Book"/>
          <w:b/>
          <w:sz w:val="36"/>
          <w:szCs w:val="36"/>
        </w:rPr>
        <w:t xml:space="preserve"> - </w:t>
      </w:r>
      <w:r w:rsidR="00C10E05">
        <w:rPr>
          <w:rFonts w:ascii="Gotham Book" w:hAnsi="Gotham Book"/>
          <w:b/>
          <w:sz w:val="36"/>
          <w:szCs w:val="36"/>
        </w:rPr>
        <w:t xml:space="preserve">adopt </w:t>
      </w:r>
      <w:r w:rsidR="008324A2" w:rsidRPr="008324A2">
        <w:rPr>
          <w:rFonts w:ascii="Gotham Book" w:eastAsia="Times New Roman" w:hAnsi="Gotham Book"/>
          <w:b/>
          <w:sz w:val="36"/>
          <w:szCs w:val="36"/>
        </w:rPr>
        <w:t>'</w:t>
      </w:r>
      <w:r w:rsidR="00C10E05">
        <w:rPr>
          <w:rFonts w:ascii="Gotham Book" w:eastAsia="Times New Roman" w:hAnsi="Gotham Book"/>
          <w:b/>
          <w:sz w:val="36"/>
          <w:szCs w:val="36"/>
        </w:rPr>
        <w:t xml:space="preserve">transition to </w:t>
      </w:r>
      <w:r w:rsidR="008324A2" w:rsidRPr="008324A2">
        <w:rPr>
          <w:rFonts w:ascii="Gotham Book" w:eastAsia="Times New Roman" w:hAnsi="Gotham Book"/>
          <w:b/>
          <w:sz w:val="36"/>
          <w:szCs w:val="36"/>
        </w:rPr>
        <w:t>low</w:t>
      </w:r>
      <w:r w:rsidR="008324A2">
        <w:rPr>
          <w:rFonts w:ascii="Gotham Book" w:eastAsia="Times New Roman" w:hAnsi="Gotham Book"/>
          <w:b/>
          <w:sz w:val="36"/>
          <w:szCs w:val="36"/>
        </w:rPr>
        <w:t>er</w:t>
      </w:r>
      <w:r w:rsidR="008324A2" w:rsidRPr="008324A2">
        <w:rPr>
          <w:rFonts w:ascii="Gotham Book" w:eastAsia="Times New Roman" w:hAnsi="Gotham Book"/>
          <w:b/>
          <w:sz w:val="36"/>
          <w:szCs w:val="36"/>
        </w:rPr>
        <w:t xml:space="preserve"> carbon </w:t>
      </w:r>
      <w:r w:rsidR="008324A2">
        <w:rPr>
          <w:rFonts w:ascii="Gotham Book" w:eastAsia="Times New Roman" w:hAnsi="Gotham Book"/>
          <w:b/>
          <w:sz w:val="36"/>
          <w:szCs w:val="36"/>
        </w:rPr>
        <w:t>intensity</w:t>
      </w:r>
      <w:r w:rsidR="00C10E05">
        <w:rPr>
          <w:rFonts w:ascii="Gotham Book" w:eastAsia="Times New Roman" w:hAnsi="Gotham Book"/>
          <w:b/>
          <w:sz w:val="36"/>
          <w:szCs w:val="36"/>
        </w:rPr>
        <w:t>’ business model</w:t>
      </w:r>
    </w:p>
    <w:p w:rsidR="00DA7D00" w:rsidRPr="00C10E05" w:rsidRDefault="008324A2" w:rsidP="00DC0785">
      <w:pPr>
        <w:rPr>
          <w:rFonts w:ascii="Gotham Book" w:hAnsi="Gotham Book"/>
          <w:b/>
          <w:sz w:val="32"/>
          <w:szCs w:val="32"/>
        </w:rPr>
      </w:pPr>
      <w:r w:rsidRPr="00C10E05">
        <w:rPr>
          <w:rFonts w:ascii="Gotham Book" w:hAnsi="Gotham Book"/>
          <w:b/>
          <w:sz w:val="32"/>
          <w:szCs w:val="32"/>
        </w:rPr>
        <w:t>Tickers: AGL, ORG</w:t>
      </w:r>
    </w:p>
    <w:p w:rsidR="00F62AAA" w:rsidRDefault="00F62AAA" w:rsidP="00DA7D00">
      <w:pPr>
        <w:rPr>
          <w:rFonts w:ascii="Gotham Book" w:hAnsi="Gotham Book"/>
          <w:sz w:val="24"/>
          <w:szCs w:val="24"/>
        </w:rPr>
      </w:pPr>
      <w:r>
        <w:rPr>
          <w:rFonts w:ascii="Gotham Book" w:hAnsi="Gotham Book"/>
          <w:sz w:val="24"/>
          <w:szCs w:val="24"/>
        </w:rPr>
        <w:t xml:space="preserve">The ACCR and the AODP have recently released a </w:t>
      </w:r>
      <w:r w:rsidR="00F704C9">
        <w:rPr>
          <w:rFonts w:ascii="Gotham Book" w:hAnsi="Gotham Book"/>
          <w:sz w:val="24"/>
          <w:szCs w:val="24"/>
        </w:rPr>
        <w:t xml:space="preserve">research </w:t>
      </w:r>
      <w:r w:rsidR="008324A2">
        <w:rPr>
          <w:rFonts w:ascii="Gotham Book" w:hAnsi="Gotham Book"/>
          <w:sz w:val="24"/>
          <w:szCs w:val="24"/>
        </w:rPr>
        <w:t>paper “ ‘</w:t>
      </w:r>
      <w:proofErr w:type="spellStart"/>
      <w:r w:rsidR="008324A2">
        <w:rPr>
          <w:rFonts w:ascii="Gotham Book" w:hAnsi="Gotham Book"/>
          <w:sz w:val="24"/>
          <w:szCs w:val="24"/>
        </w:rPr>
        <w:t>Unburnable</w:t>
      </w:r>
      <w:proofErr w:type="spellEnd"/>
      <w:r w:rsidR="008324A2">
        <w:rPr>
          <w:rFonts w:ascii="Gotham Book" w:hAnsi="Gotham Book"/>
          <w:sz w:val="24"/>
          <w:szCs w:val="24"/>
        </w:rPr>
        <w:t xml:space="preserve"> carbon’ risk and the Australasian – listed </w:t>
      </w:r>
      <w:proofErr w:type="spellStart"/>
      <w:r w:rsidR="008324A2">
        <w:rPr>
          <w:rFonts w:ascii="Gotham Book" w:hAnsi="Gotham Book"/>
          <w:sz w:val="24"/>
          <w:szCs w:val="24"/>
        </w:rPr>
        <w:t>gentailers</w:t>
      </w:r>
      <w:proofErr w:type="spellEnd"/>
      <w:r>
        <w:rPr>
          <w:rFonts w:ascii="Gotham Book" w:hAnsi="Gotham Book"/>
          <w:sz w:val="24"/>
          <w:szCs w:val="24"/>
        </w:rPr>
        <w:t>’</w:t>
      </w:r>
      <w:r w:rsidR="008324A2">
        <w:rPr>
          <w:rFonts w:ascii="Gotham Book" w:hAnsi="Gotham Book"/>
          <w:sz w:val="24"/>
          <w:szCs w:val="24"/>
        </w:rPr>
        <w:t xml:space="preserve"> </w:t>
      </w:r>
      <w:r>
        <w:rPr>
          <w:rStyle w:val="FootnoteReference"/>
          <w:rFonts w:ascii="Gotham Book" w:hAnsi="Gotham Book"/>
          <w:sz w:val="24"/>
          <w:szCs w:val="24"/>
        </w:rPr>
        <w:footnoteReference w:id="1"/>
      </w:r>
      <w:r>
        <w:rPr>
          <w:rFonts w:ascii="Gotham Book" w:hAnsi="Gotham Book"/>
          <w:sz w:val="24"/>
          <w:szCs w:val="24"/>
        </w:rPr>
        <w:t xml:space="preserve">. </w:t>
      </w:r>
    </w:p>
    <w:p w:rsidR="008324A2" w:rsidRDefault="00383E73" w:rsidP="008324A2">
      <w:pPr>
        <w:rPr>
          <w:rFonts w:ascii="Gotham Book" w:hAnsi="Gotham Book" w:cs="Times New Roman"/>
          <w:sz w:val="24"/>
          <w:szCs w:val="24"/>
        </w:rPr>
      </w:pPr>
      <w:r>
        <w:rPr>
          <w:rFonts w:ascii="Gotham Book" w:hAnsi="Gotham Book" w:cs="Times New Roman"/>
          <w:sz w:val="24"/>
          <w:szCs w:val="24"/>
        </w:rPr>
        <w:t>The</w:t>
      </w:r>
      <w:r w:rsidR="008324A2">
        <w:rPr>
          <w:rFonts w:ascii="Gotham Book" w:hAnsi="Gotham Book" w:cs="Times New Roman"/>
          <w:sz w:val="24"/>
          <w:szCs w:val="24"/>
        </w:rPr>
        <w:t xml:space="preserve"> paper deals</w:t>
      </w:r>
      <w:r w:rsidR="008324A2" w:rsidRPr="009739ED">
        <w:rPr>
          <w:rFonts w:ascii="Gotham Book" w:hAnsi="Gotham Book" w:cs="Times New Roman"/>
          <w:sz w:val="24"/>
          <w:szCs w:val="24"/>
        </w:rPr>
        <w:t xml:space="preserve"> with the exposure to </w:t>
      </w:r>
      <w:r>
        <w:rPr>
          <w:rFonts w:ascii="Gotham Book" w:hAnsi="Gotham Book" w:cs="Times New Roman"/>
          <w:sz w:val="24"/>
          <w:szCs w:val="24"/>
        </w:rPr>
        <w:t>‘</w:t>
      </w:r>
      <w:r w:rsidR="003D0C0C">
        <w:rPr>
          <w:rFonts w:ascii="Gotham Book" w:hAnsi="Gotham Book" w:cs="Times New Roman"/>
          <w:sz w:val="24"/>
          <w:szCs w:val="24"/>
        </w:rPr>
        <w:t>climate change related</w:t>
      </w:r>
      <w:r>
        <w:rPr>
          <w:rFonts w:ascii="Gotham Book" w:hAnsi="Gotham Book" w:cs="Times New Roman"/>
          <w:sz w:val="24"/>
          <w:szCs w:val="24"/>
        </w:rPr>
        <w:t>’</w:t>
      </w:r>
      <w:r w:rsidR="008324A2" w:rsidRPr="009739ED">
        <w:rPr>
          <w:rFonts w:ascii="Gotham Book" w:hAnsi="Gotham Book" w:cs="Times New Roman"/>
          <w:sz w:val="24"/>
          <w:szCs w:val="24"/>
        </w:rPr>
        <w:t xml:space="preserve"> risk of five Australian and New Zealand listed </w:t>
      </w:r>
      <w:proofErr w:type="spellStart"/>
      <w:r w:rsidR="008324A2" w:rsidRPr="009739ED">
        <w:rPr>
          <w:rFonts w:ascii="Gotham Book" w:hAnsi="Gotham Book" w:cs="Times New Roman"/>
          <w:sz w:val="24"/>
          <w:szCs w:val="24"/>
        </w:rPr>
        <w:t>gentailers</w:t>
      </w:r>
      <w:proofErr w:type="spellEnd"/>
      <w:r w:rsidR="008324A2">
        <w:rPr>
          <w:rFonts w:ascii="Gotham Book" w:hAnsi="Gotham Book" w:cs="Times New Roman"/>
          <w:sz w:val="24"/>
          <w:szCs w:val="24"/>
        </w:rPr>
        <w:t xml:space="preserve"> – AGL, Contact Energy</w:t>
      </w:r>
      <w:r>
        <w:rPr>
          <w:rFonts w:ascii="Gotham Book" w:hAnsi="Gotham Book" w:cs="Times New Roman"/>
          <w:sz w:val="24"/>
          <w:szCs w:val="24"/>
        </w:rPr>
        <w:t xml:space="preserve"> (majority owned by Origin)</w:t>
      </w:r>
      <w:r w:rsidR="008324A2">
        <w:rPr>
          <w:rFonts w:ascii="Gotham Book" w:hAnsi="Gotham Book" w:cs="Times New Roman"/>
          <w:sz w:val="24"/>
          <w:szCs w:val="24"/>
        </w:rPr>
        <w:t xml:space="preserve">, </w:t>
      </w:r>
      <w:proofErr w:type="spellStart"/>
      <w:r w:rsidR="008324A2">
        <w:rPr>
          <w:rFonts w:ascii="Gotham Book" w:hAnsi="Gotham Book" w:cs="Times New Roman"/>
          <w:sz w:val="24"/>
          <w:szCs w:val="24"/>
        </w:rPr>
        <w:t>Infratil</w:t>
      </w:r>
      <w:proofErr w:type="spellEnd"/>
      <w:r w:rsidR="008324A2">
        <w:rPr>
          <w:rFonts w:ascii="Gotham Book" w:hAnsi="Gotham Book" w:cs="Times New Roman"/>
          <w:sz w:val="24"/>
          <w:szCs w:val="24"/>
        </w:rPr>
        <w:t xml:space="preserve">, Origin and </w:t>
      </w:r>
      <w:proofErr w:type="spellStart"/>
      <w:r w:rsidR="008324A2">
        <w:rPr>
          <w:rFonts w:ascii="Gotham Book" w:hAnsi="Gotham Book" w:cs="Times New Roman"/>
          <w:sz w:val="24"/>
          <w:szCs w:val="24"/>
        </w:rPr>
        <w:t>Trustpower</w:t>
      </w:r>
      <w:proofErr w:type="spellEnd"/>
      <w:r w:rsidR="008324A2" w:rsidRPr="009739ED">
        <w:rPr>
          <w:rFonts w:ascii="Gotham Book" w:hAnsi="Gotham Book" w:cs="Times New Roman"/>
          <w:sz w:val="24"/>
          <w:szCs w:val="24"/>
        </w:rPr>
        <w:t>.</w:t>
      </w:r>
    </w:p>
    <w:p w:rsidR="008324A2" w:rsidRDefault="008324A2" w:rsidP="008324A2">
      <w:pPr>
        <w:rPr>
          <w:rFonts w:ascii="Gotham Book" w:hAnsi="Gotham Book" w:cs="Times New Roman"/>
          <w:sz w:val="24"/>
          <w:szCs w:val="24"/>
        </w:rPr>
      </w:pPr>
      <w:r>
        <w:rPr>
          <w:rFonts w:ascii="Gotham Book" w:hAnsi="Gotham Book" w:cs="Times New Roman"/>
          <w:sz w:val="24"/>
          <w:szCs w:val="24"/>
        </w:rPr>
        <w:t xml:space="preserve">As nations Australia and New Zealand stand at polar ends of the spectrum in regards </w:t>
      </w:r>
      <w:r w:rsidR="003D0C0C">
        <w:rPr>
          <w:rFonts w:ascii="Gotham Book" w:hAnsi="Gotham Book" w:cs="Times New Roman"/>
          <w:sz w:val="24"/>
          <w:szCs w:val="24"/>
        </w:rPr>
        <w:t xml:space="preserve">the </w:t>
      </w:r>
      <w:r>
        <w:rPr>
          <w:rFonts w:ascii="Gotham Book" w:hAnsi="Gotham Book" w:cs="Times New Roman"/>
          <w:sz w:val="24"/>
          <w:szCs w:val="24"/>
        </w:rPr>
        <w:t>carbon intensity of their economies. Carbon intensity of energy supply is 35% above the world average in Australia and 30% below in New Zealand. Globally carbon intensity needs to decline very significantly to hold global warming to the agreed 2° C threshold.</w:t>
      </w:r>
    </w:p>
    <w:p w:rsidR="008324A2" w:rsidRDefault="008324A2" w:rsidP="008324A2">
      <w:pPr>
        <w:rPr>
          <w:rFonts w:ascii="Gotham Book" w:hAnsi="Gotham Book" w:cs="Times New Roman"/>
          <w:sz w:val="24"/>
          <w:szCs w:val="24"/>
        </w:rPr>
      </w:pPr>
      <w:r>
        <w:rPr>
          <w:rFonts w:ascii="Gotham Book" w:hAnsi="Gotham Book" w:cs="Times New Roman"/>
          <w:sz w:val="24"/>
          <w:szCs w:val="24"/>
        </w:rPr>
        <w:t>It seems almost inevitable viewed over a time period of the next decade</w:t>
      </w:r>
      <w:r w:rsidR="00383E73">
        <w:rPr>
          <w:rFonts w:ascii="Gotham Book" w:hAnsi="Gotham Book" w:cs="Times New Roman"/>
          <w:sz w:val="24"/>
          <w:szCs w:val="24"/>
        </w:rPr>
        <w:t xml:space="preserve"> or so</w:t>
      </w:r>
      <w:r>
        <w:rPr>
          <w:rFonts w:ascii="Gotham Book" w:hAnsi="Gotham Book" w:cs="Times New Roman"/>
          <w:sz w:val="24"/>
          <w:szCs w:val="24"/>
        </w:rPr>
        <w:t xml:space="preserve"> Australia will choose to reduce the carbon intensity of its economy significantly. If, say, Australia chose to ‘be a world average citizen’ it would need to reduce carbon intensity by </w:t>
      </w:r>
      <w:r w:rsidR="00816025">
        <w:rPr>
          <w:rFonts w:ascii="Gotham Book" w:hAnsi="Gotham Book" w:cs="Times New Roman"/>
          <w:sz w:val="24"/>
          <w:szCs w:val="24"/>
        </w:rPr>
        <w:t>59%</w:t>
      </w:r>
      <w:r>
        <w:rPr>
          <w:rFonts w:ascii="Gotham Book" w:hAnsi="Gotham Book" w:cs="Times New Roman"/>
          <w:sz w:val="24"/>
          <w:szCs w:val="24"/>
        </w:rPr>
        <w:t xml:space="preserve"> by 2035. Any similar pressure on New Zealand will be significantly muted by its current position.</w:t>
      </w:r>
    </w:p>
    <w:p w:rsidR="00074821" w:rsidRDefault="00074821" w:rsidP="008324A2">
      <w:pPr>
        <w:rPr>
          <w:rFonts w:ascii="Gotham Book" w:hAnsi="Gotham Book" w:cs="Times New Roman"/>
          <w:sz w:val="24"/>
          <w:szCs w:val="24"/>
        </w:rPr>
      </w:pPr>
      <w:r>
        <w:rPr>
          <w:rFonts w:ascii="Gotham Book" w:hAnsi="Gotham Book" w:cs="Times New Roman"/>
          <w:sz w:val="24"/>
          <w:szCs w:val="24"/>
        </w:rPr>
        <w:t>The Investor Group on Climate Change Australia and New Zealand recommends Australia adopts a target of reducing emissions 25% below 2005 levels by 2025 and 58% by 2030. They note “Urgent attention to emissions reductions in the energy sector is needed”.</w:t>
      </w:r>
      <w:r>
        <w:rPr>
          <w:rStyle w:val="FootnoteReference"/>
          <w:rFonts w:ascii="Gotham Book" w:hAnsi="Gotham Book" w:cs="Times New Roman"/>
          <w:sz w:val="24"/>
          <w:szCs w:val="24"/>
        </w:rPr>
        <w:footnoteReference w:id="2"/>
      </w:r>
    </w:p>
    <w:p w:rsidR="00383E73" w:rsidRPr="00C10E05" w:rsidRDefault="003D0C0C" w:rsidP="008324A2">
      <w:pPr>
        <w:rPr>
          <w:rFonts w:ascii="Gotham Book" w:hAnsi="Gotham Book" w:cs="Times New Roman"/>
          <w:sz w:val="24"/>
          <w:szCs w:val="24"/>
        </w:rPr>
      </w:pPr>
      <w:r>
        <w:rPr>
          <w:rFonts w:ascii="Gotham Book" w:hAnsi="Gotham Book" w:cs="Times New Roman"/>
          <w:sz w:val="24"/>
          <w:szCs w:val="24"/>
        </w:rPr>
        <w:lastRenderedPageBreak/>
        <w:t>Both globally and within Australia</w:t>
      </w:r>
      <w:r w:rsidR="00161F27">
        <w:rPr>
          <w:rFonts w:ascii="Gotham Book" w:hAnsi="Gotham Book" w:cs="Times New Roman"/>
          <w:sz w:val="24"/>
          <w:szCs w:val="24"/>
        </w:rPr>
        <w:t xml:space="preserve"> fossil fuel usage is heavily protected.</w:t>
      </w:r>
      <w:r w:rsidR="00161F27">
        <w:rPr>
          <w:rStyle w:val="FootnoteReference"/>
          <w:rFonts w:ascii="Gotham Book" w:hAnsi="Gotham Book" w:cs="Times New Roman"/>
          <w:sz w:val="24"/>
          <w:szCs w:val="24"/>
        </w:rPr>
        <w:footnoteReference w:id="3"/>
      </w:r>
      <w:r w:rsidR="00161F27">
        <w:rPr>
          <w:rFonts w:ascii="Gotham Book" w:hAnsi="Gotham Book" w:cs="Times New Roman"/>
          <w:sz w:val="24"/>
          <w:szCs w:val="24"/>
        </w:rPr>
        <w:t xml:space="preserve"> </w:t>
      </w:r>
      <w:r w:rsidR="001B3572">
        <w:rPr>
          <w:rFonts w:ascii="Gotham Book" w:hAnsi="Gotham Book" w:cs="Times New Roman"/>
          <w:sz w:val="24"/>
          <w:szCs w:val="24"/>
        </w:rPr>
        <w:t>T</w:t>
      </w:r>
      <w:r w:rsidR="008324A2">
        <w:rPr>
          <w:rFonts w:ascii="Gotham Book" w:hAnsi="Gotham Book" w:cs="Times New Roman"/>
          <w:sz w:val="24"/>
          <w:szCs w:val="24"/>
        </w:rPr>
        <w:t>he</w:t>
      </w:r>
      <w:r w:rsidR="001B3572">
        <w:rPr>
          <w:rFonts w:ascii="Gotham Book" w:hAnsi="Gotham Book" w:cs="Times New Roman"/>
          <w:sz w:val="24"/>
          <w:szCs w:val="24"/>
        </w:rPr>
        <w:t xml:space="preserve"> current</w:t>
      </w:r>
      <w:r w:rsidR="008324A2">
        <w:rPr>
          <w:rFonts w:ascii="Gotham Book" w:hAnsi="Gotham Book" w:cs="Times New Roman"/>
          <w:sz w:val="24"/>
          <w:szCs w:val="24"/>
        </w:rPr>
        <w:t xml:space="preserve"> </w:t>
      </w:r>
      <w:r w:rsidR="001B3572">
        <w:rPr>
          <w:rFonts w:ascii="Gotham Book" w:hAnsi="Gotham Book" w:cs="Times New Roman"/>
          <w:sz w:val="24"/>
          <w:szCs w:val="24"/>
        </w:rPr>
        <w:t xml:space="preserve">‘business models’ of the </w:t>
      </w:r>
      <w:r w:rsidR="008324A2">
        <w:rPr>
          <w:rFonts w:ascii="Gotham Book" w:hAnsi="Gotham Book" w:cs="Times New Roman"/>
          <w:sz w:val="24"/>
          <w:szCs w:val="24"/>
        </w:rPr>
        <w:t>2 Australia</w:t>
      </w:r>
      <w:r w:rsidR="001B3572">
        <w:rPr>
          <w:rFonts w:ascii="Gotham Book" w:hAnsi="Gotham Book" w:cs="Times New Roman"/>
          <w:sz w:val="24"/>
          <w:szCs w:val="24"/>
        </w:rPr>
        <w:t xml:space="preserve">n </w:t>
      </w:r>
      <w:proofErr w:type="spellStart"/>
      <w:r w:rsidR="001B3572">
        <w:rPr>
          <w:rFonts w:ascii="Gotham Book" w:hAnsi="Gotham Book" w:cs="Times New Roman"/>
          <w:sz w:val="24"/>
          <w:szCs w:val="24"/>
        </w:rPr>
        <w:t>gentailers</w:t>
      </w:r>
      <w:proofErr w:type="spellEnd"/>
      <w:r w:rsidR="001B3572">
        <w:rPr>
          <w:rFonts w:ascii="Gotham Book" w:hAnsi="Gotham Book" w:cs="Times New Roman"/>
          <w:sz w:val="24"/>
          <w:szCs w:val="24"/>
        </w:rPr>
        <w:t xml:space="preserve"> AGL and Origin are dominated by coal-fired power generation. </w:t>
      </w:r>
      <w:r w:rsidR="00161F27">
        <w:rPr>
          <w:rFonts w:ascii="Gotham Book" w:hAnsi="Gotham Book" w:cs="Times New Roman"/>
          <w:sz w:val="24"/>
          <w:szCs w:val="24"/>
        </w:rPr>
        <w:t>AGL is the largest Australian emitter.</w:t>
      </w:r>
      <w:r w:rsidR="00161F27">
        <w:rPr>
          <w:rStyle w:val="FootnoteReference"/>
          <w:rFonts w:ascii="Gotham Book" w:hAnsi="Gotham Book" w:cs="Times New Roman"/>
          <w:sz w:val="24"/>
          <w:szCs w:val="24"/>
        </w:rPr>
        <w:footnoteReference w:id="4"/>
      </w:r>
      <w:r w:rsidR="00161F27">
        <w:rPr>
          <w:rFonts w:ascii="Gotham Book" w:hAnsi="Gotham Book" w:cs="Times New Roman"/>
          <w:sz w:val="24"/>
          <w:szCs w:val="24"/>
        </w:rPr>
        <w:t xml:space="preserve"> Given </w:t>
      </w:r>
      <w:r w:rsidR="00C10E05">
        <w:rPr>
          <w:rFonts w:ascii="Gotham Book" w:hAnsi="Gotham Book" w:cs="Times New Roman"/>
          <w:sz w:val="24"/>
          <w:szCs w:val="24"/>
        </w:rPr>
        <w:t>the high likelihood of future pressure to reduce Australia’s</w:t>
      </w:r>
      <w:r w:rsidR="00161F27">
        <w:rPr>
          <w:rFonts w:ascii="Gotham Book" w:hAnsi="Gotham Book" w:cs="Times New Roman"/>
          <w:sz w:val="24"/>
          <w:szCs w:val="24"/>
        </w:rPr>
        <w:t xml:space="preserve"> carbon footprint, the longevity of this business model is dubious.</w:t>
      </w:r>
      <w:r w:rsidR="00C10E05">
        <w:rPr>
          <w:rFonts w:ascii="Gotham Book" w:hAnsi="Gotham Book" w:cs="Times New Roman"/>
          <w:sz w:val="24"/>
          <w:szCs w:val="24"/>
        </w:rPr>
        <w:t xml:space="preserve"> More detail about the targets, policies and performance of AGL and Origin are attached.</w:t>
      </w:r>
      <w:r w:rsidR="001B3572">
        <w:rPr>
          <w:rFonts w:ascii="Gotham Book" w:hAnsi="Gotham Book" w:cs="Times New Roman"/>
          <w:sz w:val="24"/>
          <w:szCs w:val="24"/>
        </w:rPr>
        <w:t xml:space="preserve"> </w:t>
      </w:r>
      <w:r w:rsidR="008324A2">
        <w:rPr>
          <w:rFonts w:ascii="Gotham Book" w:hAnsi="Gotham Book" w:cs="Times New Roman"/>
          <w:sz w:val="24"/>
          <w:szCs w:val="24"/>
        </w:rPr>
        <w:t>The New Zealand companies (</w:t>
      </w:r>
      <w:proofErr w:type="spellStart"/>
      <w:r w:rsidR="008324A2">
        <w:rPr>
          <w:rFonts w:ascii="Gotham Book" w:hAnsi="Gotham Book" w:cs="Times New Roman"/>
          <w:sz w:val="24"/>
          <w:szCs w:val="24"/>
        </w:rPr>
        <w:t>Infratil</w:t>
      </w:r>
      <w:proofErr w:type="spellEnd"/>
      <w:r w:rsidR="008324A2">
        <w:rPr>
          <w:rFonts w:ascii="Gotham Book" w:hAnsi="Gotham Book" w:cs="Times New Roman"/>
          <w:sz w:val="24"/>
          <w:szCs w:val="24"/>
        </w:rPr>
        <w:t xml:space="preserve">, </w:t>
      </w:r>
      <w:proofErr w:type="spellStart"/>
      <w:r w:rsidR="008324A2">
        <w:rPr>
          <w:rFonts w:ascii="Gotham Book" w:hAnsi="Gotham Book" w:cs="Times New Roman"/>
          <w:sz w:val="24"/>
          <w:szCs w:val="24"/>
        </w:rPr>
        <w:t>Trustpower</w:t>
      </w:r>
      <w:proofErr w:type="spellEnd"/>
      <w:r w:rsidR="008324A2">
        <w:rPr>
          <w:rFonts w:ascii="Gotham Book" w:hAnsi="Gotham Book" w:cs="Times New Roman"/>
          <w:sz w:val="24"/>
          <w:szCs w:val="24"/>
        </w:rPr>
        <w:t xml:space="preserve"> and Contact Energy) are significantly less exposed.</w:t>
      </w:r>
    </w:p>
    <w:p w:rsidR="008324A2" w:rsidRDefault="00C10E05" w:rsidP="008324A2">
      <w:pPr>
        <w:rPr>
          <w:rFonts w:ascii="Gotham Book" w:hAnsi="Gotham Book" w:cs="Times New Roman"/>
          <w:sz w:val="24"/>
          <w:szCs w:val="24"/>
        </w:rPr>
      </w:pPr>
      <w:r>
        <w:rPr>
          <w:rFonts w:ascii="Gotham Book" w:hAnsi="Gotham Book" w:cs="Times New Roman"/>
          <w:sz w:val="24"/>
          <w:szCs w:val="24"/>
        </w:rPr>
        <w:t>Resolutions have been lodged for consideration at the 2015 AGMs of both</w:t>
      </w:r>
      <w:r w:rsidR="00383E73">
        <w:rPr>
          <w:rFonts w:ascii="Gotham Book" w:hAnsi="Gotham Book" w:cs="Times New Roman"/>
          <w:sz w:val="24"/>
          <w:szCs w:val="24"/>
        </w:rPr>
        <w:t xml:space="preserve"> AGL and Origin</w:t>
      </w:r>
      <w:r w:rsidR="00A96852">
        <w:rPr>
          <w:rFonts w:ascii="Gotham Book" w:hAnsi="Gotham Book" w:cs="Times New Roman"/>
          <w:sz w:val="24"/>
          <w:szCs w:val="24"/>
        </w:rPr>
        <w:t xml:space="preserve"> which seek to address this long-term risk to shareholder value.</w:t>
      </w:r>
    </w:p>
    <w:p w:rsidR="00F62AAA" w:rsidRDefault="00813C41" w:rsidP="00DC0785">
      <w:pPr>
        <w:rPr>
          <w:rFonts w:ascii="Gotham Book" w:hAnsi="Gotham Book"/>
          <w:sz w:val="24"/>
          <w:szCs w:val="24"/>
        </w:rPr>
      </w:pPr>
      <w:r>
        <w:rPr>
          <w:rFonts w:ascii="Gotham Book" w:hAnsi="Gotham Book"/>
          <w:sz w:val="24"/>
          <w:szCs w:val="24"/>
        </w:rPr>
        <w:t>The</w:t>
      </w:r>
      <w:r w:rsidR="008324A2">
        <w:rPr>
          <w:rFonts w:ascii="Gotham Book" w:hAnsi="Gotham Book"/>
          <w:sz w:val="24"/>
          <w:szCs w:val="24"/>
        </w:rPr>
        <w:t xml:space="preserve"> ACCR and the AODP urge all AGL and Origin</w:t>
      </w:r>
      <w:r>
        <w:rPr>
          <w:rFonts w:ascii="Gotham Book" w:hAnsi="Gotham Book"/>
          <w:sz w:val="24"/>
          <w:szCs w:val="24"/>
        </w:rPr>
        <w:t xml:space="preserve"> shareholders to support the resolutions lo</w:t>
      </w:r>
      <w:r w:rsidR="008324A2">
        <w:rPr>
          <w:rFonts w:ascii="Gotham Book" w:hAnsi="Gotham Book"/>
          <w:sz w:val="24"/>
          <w:szCs w:val="24"/>
        </w:rPr>
        <w:t>dged for this year’s</w:t>
      </w:r>
      <w:r w:rsidR="00DA34E4">
        <w:rPr>
          <w:rFonts w:ascii="Gotham Book" w:hAnsi="Gotham Book"/>
          <w:sz w:val="24"/>
          <w:szCs w:val="24"/>
        </w:rPr>
        <w:t xml:space="preserve"> AGMs seeking adoption by each of these companies of a business model that demonstrates sufficient diversification of power generation and supply activities to ensure profitability under pathways that limit the world</w:t>
      </w:r>
      <w:r w:rsidR="00A96852">
        <w:rPr>
          <w:rFonts w:ascii="Gotham Book" w:hAnsi="Gotham Book"/>
          <w:sz w:val="24"/>
          <w:szCs w:val="24"/>
        </w:rPr>
        <w:t xml:space="preserve"> to</w:t>
      </w:r>
      <w:r w:rsidR="00DA34E4">
        <w:rPr>
          <w:rFonts w:ascii="Gotham Book" w:hAnsi="Gotham Book"/>
          <w:sz w:val="24"/>
          <w:szCs w:val="24"/>
        </w:rPr>
        <w:t xml:space="preserve"> 2° C global warming</w:t>
      </w:r>
      <w:r>
        <w:rPr>
          <w:rFonts w:ascii="Gotham Book" w:hAnsi="Gotham Book"/>
          <w:sz w:val="24"/>
          <w:szCs w:val="24"/>
        </w:rPr>
        <w:t>.</w:t>
      </w:r>
      <w:r w:rsidR="00853AF0">
        <w:rPr>
          <w:rFonts w:ascii="Gotham Book" w:hAnsi="Gotham Book"/>
          <w:sz w:val="24"/>
          <w:szCs w:val="24"/>
        </w:rPr>
        <w:t xml:space="preserve"> </w:t>
      </w:r>
    </w:p>
    <w:p w:rsidR="0034332C" w:rsidRDefault="0034332C" w:rsidP="00DC0785">
      <w:pPr>
        <w:rPr>
          <w:rFonts w:ascii="Gotham Book" w:hAnsi="Gotham Book"/>
          <w:sz w:val="24"/>
          <w:szCs w:val="24"/>
        </w:rPr>
      </w:pPr>
      <w:r>
        <w:rPr>
          <w:rFonts w:ascii="Gotham Book" w:hAnsi="Gotham Book"/>
          <w:sz w:val="24"/>
          <w:szCs w:val="24"/>
        </w:rPr>
        <w:t>F</w:t>
      </w:r>
      <w:r w:rsidR="00A96852">
        <w:rPr>
          <w:rFonts w:ascii="Gotham Book" w:hAnsi="Gotham Book"/>
          <w:sz w:val="24"/>
          <w:szCs w:val="24"/>
        </w:rPr>
        <w:t>or f</w:t>
      </w:r>
      <w:r>
        <w:rPr>
          <w:rFonts w:ascii="Gotham Book" w:hAnsi="Gotham Book"/>
          <w:sz w:val="24"/>
          <w:szCs w:val="24"/>
        </w:rPr>
        <w:t xml:space="preserve">urther information please see: </w:t>
      </w:r>
      <w:hyperlink r:id="rId10" w:history="1">
        <w:r w:rsidR="008324A2" w:rsidRPr="00645D5B">
          <w:rPr>
            <w:rStyle w:val="Hyperlink"/>
            <w:rFonts w:ascii="Gotham Book" w:hAnsi="Gotham Book"/>
            <w:sz w:val="24"/>
            <w:szCs w:val="24"/>
          </w:rPr>
          <w:t>www.accr.org.au/power</w:t>
        </w:r>
      </w:hyperlink>
      <w:r w:rsidR="008324A2">
        <w:rPr>
          <w:rFonts w:ascii="Gotham Book" w:hAnsi="Gotham Book"/>
          <w:sz w:val="24"/>
          <w:szCs w:val="24"/>
        </w:rPr>
        <w:t xml:space="preserve"> </w:t>
      </w:r>
      <w:r>
        <w:rPr>
          <w:rFonts w:ascii="Gotham Book" w:hAnsi="Gotham Book"/>
          <w:sz w:val="24"/>
          <w:szCs w:val="24"/>
        </w:rPr>
        <w:t>.</w:t>
      </w:r>
    </w:p>
    <w:p w:rsidR="0034332C" w:rsidRDefault="0034332C" w:rsidP="00DC0785">
      <w:pPr>
        <w:rPr>
          <w:rFonts w:ascii="Gotham Book" w:hAnsi="Gotham Book"/>
          <w:sz w:val="24"/>
          <w:szCs w:val="24"/>
        </w:rPr>
      </w:pPr>
    </w:p>
    <w:p w:rsidR="0034332C" w:rsidRDefault="0034332C" w:rsidP="0034332C">
      <w:pPr>
        <w:rPr>
          <w:rFonts w:ascii="Gotham Book" w:hAnsi="Gotham Book"/>
          <w:b/>
          <w:sz w:val="24"/>
          <w:szCs w:val="24"/>
        </w:rPr>
      </w:pPr>
      <w:r>
        <w:rPr>
          <w:rFonts w:ascii="Gotham Book" w:hAnsi="Gotham Book"/>
          <w:b/>
          <w:sz w:val="24"/>
          <w:szCs w:val="24"/>
        </w:rPr>
        <w:t xml:space="preserve">Contact: </w:t>
      </w:r>
    </w:p>
    <w:p w:rsidR="0034332C" w:rsidRPr="00AF011D" w:rsidRDefault="0034332C" w:rsidP="0034332C">
      <w:pPr>
        <w:rPr>
          <w:rFonts w:ascii="Gotham Book" w:hAnsi="Gotham Book"/>
          <w:sz w:val="24"/>
          <w:szCs w:val="24"/>
        </w:rPr>
      </w:pPr>
      <w:r>
        <w:rPr>
          <w:rFonts w:ascii="Gotham Book" w:hAnsi="Gotham Book"/>
          <w:b/>
          <w:sz w:val="24"/>
          <w:szCs w:val="24"/>
        </w:rPr>
        <w:t xml:space="preserve">Caroline Le Couteur, ACCR, </w:t>
      </w:r>
      <w:r>
        <w:rPr>
          <w:rFonts w:ascii="Gotham Book" w:hAnsi="Gotham Book"/>
          <w:sz w:val="24"/>
          <w:szCs w:val="24"/>
        </w:rPr>
        <w:t xml:space="preserve">+ 61 (0) 405 221 </w:t>
      </w:r>
      <w:r w:rsidRPr="00AF011D">
        <w:rPr>
          <w:rFonts w:ascii="Gotham Book" w:hAnsi="Gotham Book"/>
          <w:sz w:val="24"/>
          <w:szCs w:val="24"/>
        </w:rPr>
        <w:t xml:space="preserve">587 </w:t>
      </w:r>
    </w:p>
    <w:p w:rsidR="001B3572" w:rsidRPr="008A3DB1" w:rsidRDefault="0034332C" w:rsidP="0034332C">
      <w:pPr>
        <w:rPr>
          <w:rFonts w:ascii="Gotham Book" w:hAnsi="Gotham Book" w:cs="Arial"/>
          <w:color w:val="000000"/>
          <w:sz w:val="24"/>
          <w:szCs w:val="24"/>
          <w:lang w:eastAsia="en-AU"/>
        </w:rPr>
      </w:pPr>
      <w:r>
        <w:rPr>
          <w:rFonts w:ascii="Gotham Book" w:hAnsi="Gotham Book"/>
          <w:b/>
          <w:sz w:val="24"/>
          <w:szCs w:val="24"/>
        </w:rPr>
        <w:t xml:space="preserve">Julian Poulter, AODP,  </w:t>
      </w:r>
      <w:r w:rsidRPr="00AF011D">
        <w:rPr>
          <w:rFonts w:ascii="Gotham Book" w:hAnsi="Gotham Book" w:cs="Arial"/>
          <w:color w:val="000000"/>
          <w:sz w:val="24"/>
          <w:szCs w:val="24"/>
          <w:lang w:eastAsia="en-AU"/>
        </w:rPr>
        <w:t>+44 7518 410496</w:t>
      </w:r>
      <w:r>
        <w:rPr>
          <w:rFonts w:ascii="Arial" w:hAnsi="Arial" w:cs="Arial"/>
          <w:color w:val="000000"/>
          <w:sz w:val="20"/>
          <w:szCs w:val="20"/>
          <w:lang w:eastAsia="en-AU"/>
        </w:rPr>
        <w:t> </w:t>
      </w:r>
      <w:r w:rsidR="00E942C8">
        <w:rPr>
          <w:rFonts w:ascii="Arial" w:hAnsi="Arial" w:cs="Arial"/>
          <w:color w:val="000000"/>
          <w:sz w:val="20"/>
          <w:szCs w:val="20"/>
          <w:lang w:eastAsia="en-AU"/>
        </w:rPr>
        <w:br w:type="page"/>
      </w:r>
      <w:r w:rsidR="00383E73" w:rsidRPr="00383E73">
        <w:rPr>
          <w:rFonts w:ascii="Arial" w:hAnsi="Arial" w:cs="Arial"/>
          <w:color w:val="000000"/>
          <w:sz w:val="32"/>
          <w:szCs w:val="32"/>
          <w:lang w:eastAsia="en-AU"/>
        </w:rPr>
        <w:lastRenderedPageBreak/>
        <w:t xml:space="preserve"> </w:t>
      </w:r>
      <w:r w:rsidR="00383E73" w:rsidRPr="00383E73">
        <w:rPr>
          <w:rFonts w:ascii="Gotham Book" w:hAnsi="Gotham Book" w:cs="Arial"/>
          <w:color w:val="000000"/>
          <w:sz w:val="32"/>
          <w:szCs w:val="32"/>
          <w:lang w:eastAsia="en-AU"/>
        </w:rPr>
        <w:t>Attachment A:</w:t>
      </w:r>
      <w:r w:rsidR="00383E73" w:rsidRPr="00383E73">
        <w:rPr>
          <w:rFonts w:ascii="Arial" w:hAnsi="Arial" w:cs="Arial"/>
          <w:color w:val="000000"/>
          <w:sz w:val="32"/>
          <w:szCs w:val="32"/>
          <w:lang w:eastAsia="en-AU"/>
        </w:rPr>
        <w:t xml:space="preserve"> </w:t>
      </w:r>
      <w:r w:rsidR="00383E73" w:rsidRPr="00383E73">
        <w:rPr>
          <w:rFonts w:ascii="Gotham Book" w:hAnsi="Gotham Book" w:cs="Arial"/>
          <w:color w:val="000000"/>
          <w:sz w:val="32"/>
          <w:szCs w:val="32"/>
          <w:lang w:eastAsia="en-AU"/>
        </w:rPr>
        <w:t>AGL</w:t>
      </w:r>
      <w:r w:rsidR="008A3DB1">
        <w:rPr>
          <w:rFonts w:ascii="Gotham Book" w:hAnsi="Gotham Book" w:cs="Arial"/>
          <w:color w:val="000000"/>
          <w:sz w:val="32"/>
          <w:szCs w:val="32"/>
          <w:lang w:eastAsia="en-AU"/>
        </w:rPr>
        <w:t xml:space="preserve"> </w:t>
      </w:r>
      <w:r w:rsidR="008A3DB1">
        <w:rPr>
          <w:rFonts w:ascii="Gotham Book" w:hAnsi="Gotham Book" w:cs="Arial"/>
          <w:color w:val="000000"/>
          <w:sz w:val="32"/>
          <w:szCs w:val="32"/>
          <w:lang w:eastAsia="en-AU"/>
        </w:rPr>
        <w:tab/>
      </w:r>
      <w:r w:rsidR="008A3DB1" w:rsidRPr="008A3DB1">
        <w:rPr>
          <w:rFonts w:ascii="Gotham Book" w:hAnsi="Gotham Book" w:cs="Arial"/>
          <w:color w:val="000000"/>
          <w:sz w:val="24"/>
          <w:szCs w:val="24"/>
          <w:lang w:eastAsia="en-AU"/>
        </w:rPr>
        <w:t>AGM date: 30 September</w:t>
      </w:r>
    </w:p>
    <w:p w:rsidR="008A3DB1" w:rsidRPr="008A3DB1" w:rsidRDefault="008A3DB1" w:rsidP="008A3DB1">
      <w:pPr>
        <w:spacing w:after="0" w:line="240" w:lineRule="auto"/>
        <w:rPr>
          <w:rFonts w:ascii="Gotham Book" w:hAnsi="Gotham Book"/>
          <w:i/>
          <w:sz w:val="24"/>
          <w:szCs w:val="24"/>
        </w:rPr>
      </w:pPr>
      <w:r w:rsidRPr="008A3DB1">
        <w:rPr>
          <w:rFonts w:ascii="Gotham Book" w:hAnsi="Gotham Book"/>
          <w:i/>
          <w:sz w:val="24"/>
          <w:szCs w:val="24"/>
        </w:rPr>
        <w:t xml:space="preserve">Special Resolution to amend the constitution: That, at the end of Clause 31 ‘Notice’ the following new sub-clause 31.5 is inserted: “That, (a) the board must </w:t>
      </w:r>
      <w:r w:rsidRPr="008A3DB1">
        <w:rPr>
          <w:rFonts w:ascii="Gotham Book" w:hAnsi="Gotham Book"/>
          <w:i/>
          <w:sz w:val="24"/>
          <w:szCs w:val="24"/>
          <w:lang w:val="en-US"/>
        </w:rPr>
        <w:t xml:space="preserve">prepare a business model that </w:t>
      </w:r>
      <w:r w:rsidRPr="008A3DB1">
        <w:rPr>
          <w:rFonts w:ascii="Gotham Book" w:hAnsi="Gotham Book"/>
          <w:i/>
          <w:sz w:val="24"/>
          <w:szCs w:val="24"/>
        </w:rPr>
        <w:t xml:space="preserve">demonstrates sufficient diversification of the power generation and supply activities of the company to ensure continued profitability under pathways that limit the world to 2° C warming; </w:t>
      </w:r>
      <w:r w:rsidRPr="008A3DB1">
        <w:rPr>
          <w:rFonts w:ascii="Gotham Book" w:hAnsi="Gotham Book"/>
          <w:i/>
          <w:sz w:val="24"/>
          <w:szCs w:val="24"/>
          <w:lang w:val="en-US"/>
        </w:rPr>
        <w:t xml:space="preserve">and </w:t>
      </w:r>
      <w:r w:rsidRPr="008A3DB1">
        <w:rPr>
          <w:rFonts w:ascii="Gotham Book" w:hAnsi="Gotham Book"/>
          <w:i/>
          <w:sz w:val="24"/>
          <w:szCs w:val="24"/>
        </w:rPr>
        <w:t xml:space="preserve">(b) include in future annual reporting to shareholders,  at reasonable cost and omitting any proprietary information, </w:t>
      </w:r>
      <w:r w:rsidRPr="008A3DB1">
        <w:rPr>
          <w:rFonts w:ascii="Gotham Book" w:eastAsia="Times New Roman" w:hAnsi="Gotham Book" w:cs="Times New Roman"/>
          <w:i/>
          <w:sz w:val="24"/>
          <w:szCs w:val="24"/>
          <w:lang w:eastAsia="en-AU"/>
        </w:rPr>
        <w:t>information about ongoing power generation and supply chain emissions management benchmarked against  that</w:t>
      </w:r>
      <w:r w:rsidRPr="008A3DB1">
        <w:rPr>
          <w:rFonts w:ascii="Gotham Book" w:hAnsi="Gotham Book"/>
          <w:i/>
          <w:sz w:val="24"/>
          <w:szCs w:val="24"/>
        </w:rPr>
        <w:t xml:space="preserve">  model. ”.</w:t>
      </w:r>
    </w:p>
    <w:p w:rsidR="008A3DB1" w:rsidRPr="008A3DB1" w:rsidRDefault="008A3DB1" w:rsidP="0034332C">
      <w:pPr>
        <w:rPr>
          <w:rFonts w:ascii="Gotham Book" w:hAnsi="Gotham Book" w:cs="Arial"/>
          <w:color w:val="000000"/>
          <w:sz w:val="24"/>
          <w:szCs w:val="24"/>
          <w:lang w:eastAsia="en-AU"/>
        </w:rPr>
      </w:pPr>
    </w:p>
    <w:p w:rsidR="00DA34E4" w:rsidRDefault="00DA34E4" w:rsidP="00DA34E4">
      <w:pPr>
        <w:spacing w:line="240" w:lineRule="auto"/>
        <w:rPr>
          <w:rFonts w:ascii="Gotham Book" w:hAnsi="Gotham Book"/>
          <w:sz w:val="24"/>
          <w:szCs w:val="24"/>
        </w:rPr>
      </w:pPr>
      <w:r>
        <w:rPr>
          <w:rFonts w:ascii="Gotham Book" w:hAnsi="Gotham Book"/>
          <w:sz w:val="24"/>
          <w:szCs w:val="24"/>
        </w:rPr>
        <w:t>In September 2014 AGL purchased Macquarie Generation - operator of the Liddell and Bayswater coal fired power stations. On the basis of figures for 13/14, but allowing for this purchase, AGL is best understood as:</w:t>
      </w:r>
    </w:p>
    <w:p w:rsidR="00DA34E4" w:rsidRDefault="00DA34E4" w:rsidP="00DA34E4">
      <w:pPr>
        <w:pStyle w:val="ListParagraph"/>
        <w:numPr>
          <w:ilvl w:val="0"/>
          <w:numId w:val="4"/>
        </w:numPr>
        <w:spacing w:line="240" w:lineRule="auto"/>
        <w:rPr>
          <w:rFonts w:ascii="Gotham Book" w:hAnsi="Gotham Book"/>
          <w:sz w:val="24"/>
          <w:szCs w:val="24"/>
        </w:rPr>
      </w:pPr>
      <w:r>
        <w:rPr>
          <w:rFonts w:ascii="Gotham Book" w:hAnsi="Gotham Book"/>
          <w:sz w:val="24"/>
          <w:szCs w:val="24"/>
        </w:rPr>
        <w:t>roughly 80% an electricity generator and vendor by revenue;</w:t>
      </w:r>
    </w:p>
    <w:p w:rsidR="00DA34E4" w:rsidRDefault="00DA34E4" w:rsidP="00DA34E4">
      <w:pPr>
        <w:pStyle w:val="ListParagraph"/>
        <w:numPr>
          <w:ilvl w:val="0"/>
          <w:numId w:val="4"/>
        </w:numPr>
        <w:spacing w:line="240" w:lineRule="auto"/>
        <w:rPr>
          <w:rFonts w:ascii="Gotham Book" w:hAnsi="Gotham Book"/>
          <w:sz w:val="24"/>
          <w:szCs w:val="24"/>
        </w:rPr>
      </w:pPr>
      <w:r>
        <w:rPr>
          <w:rFonts w:ascii="Gotham Book" w:hAnsi="Gotham Book"/>
          <w:sz w:val="24"/>
          <w:szCs w:val="24"/>
        </w:rPr>
        <w:t xml:space="preserve">roughly 86% a coal-fired power electricity generator (by </w:t>
      </w:r>
      <w:proofErr w:type="spellStart"/>
      <w:r>
        <w:rPr>
          <w:rFonts w:ascii="Gotham Book" w:hAnsi="Gotham Book"/>
          <w:sz w:val="24"/>
          <w:szCs w:val="24"/>
        </w:rPr>
        <w:t>GWh</w:t>
      </w:r>
      <w:proofErr w:type="spellEnd"/>
      <w:r>
        <w:rPr>
          <w:rFonts w:ascii="Gotham Book" w:hAnsi="Gotham Book"/>
          <w:sz w:val="24"/>
          <w:szCs w:val="24"/>
        </w:rPr>
        <w:t>);</w:t>
      </w:r>
    </w:p>
    <w:p w:rsidR="00DA34E4" w:rsidRDefault="00DA34E4" w:rsidP="00DA34E4">
      <w:pPr>
        <w:pStyle w:val="ListParagraph"/>
        <w:numPr>
          <w:ilvl w:val="0"/>
          <w:numId w:val="4"/>
        </w:numPr>
        <w:spacing w:line="240" w:lineRule="auto"/>
        <w:rPr>
          <w:rFonts w:ascii="Gotham Book" w:hAnsi="Gotham Book"/>
          <w:sz w:val="24"/>
          <w:szCs w:val="24"/>
        </w:rPr>
      </w:pPr>
      <w:r>
        <w:rPr>
          <w:rFonts w:ascii="Gotham Book" w:hAnsi="Gotham Book"/>
          <w:sz w:val="24"/>
          <w:szCs w:val="24"/>
        </w:rPr>
        <w:t>a retail vendor of only about two thirds the power it generates.</w:t>
      </w:r>
      <w:r>
        <w:rPr>
          <w:rStyle w:val="FootnoteReference"/>
          <w:rFonts w:ascii="Gotham Book" w:hAnsi="Gotham Book"/>
          <w:sz w:val="24"/>
          <w:szCs w:val="24"/>
        </w:rPr>
        <w:footnoteReference w:id="5"/>
      </w:r>
    </w:p>
    <w:p w:rsidR="00DA34E4" w:rsidRPr="00DA34E4" w:rsidRDefault="00DA34E4" w:rsidP="00DA34E4">
      <w:pPr>
        <w:spacing w:line="240" w:lineRule="auto"/>
        <w:rPr>
          <w:rFonts w:ascii="Gotham Book" w:hAnsi="Gotham Book"/>
          <w:sz w:val="24"/>
          <w:szCs w:val="24"/>
        </w:rPr>
      </w:pPr>
      <w:r>
        <w:rPr>
          <w:rFonts w:ascii="Gotham Book" w:hAnsi="Gotham Book"/>
          <w:sz w:val="24"/>
          <w:szCs w:val="24"/>
        </w:rPr>
        <w:t>AGL is the largest carbon emitter in Australia.</w:t>
      </w:r>
    </w:p>
    <w:p w:rsidR="00383E73" w:rsidRDefault="00383E73" w:rsidP="00383E73">
      <w:pPr>
        <w:rPr>
          <w:rFonts w:ascii="Gotham Book" w:eastAsia="Times New Roman" w:hAnsi="Gotham Book" w:cs="Times New Roman"/>
          <w:sz w:val="24"/>
          <w:szCs w:val="24"/>
          <w:lang w:eastAsia="en-AU"/>
        </w:rPr>
      </w:pPr>
      <w:r w:rsidRPr="00022144">
        <w:rPr>
          <w:rFonts w:ascii="Gotham Book" w:hAnsi="Gotham Book"/>
          <w:sz w:val="24"/>
          <w:szCs w:val="24"/>
        </w:rPr>
        <w:t xml:space="preserve">AGL </w:t>
      </w:r>
      <w:r w:rsidR="00DA34E4">
        <w:rPr>
          <w:rFonts w:ascii="Gotham Book" w:hAnsi="Gotham Book"/>
          <w:sz w:val="24"/>
          <w:szCs w:val="24"/>
        </w:rPr>
        <w:t xml:space="preserve">has </w:t>
      </w:r>
      <w:r>
        <w:rPr>
          <w:rFonts w:ascii="Gotham Book" w:hAnsi="Gotham Book"/>
          <w:sz w:val="24"/>
          <w:szCs w:val="24"/>
        </w:rPr>
        <w:t>‘had</w:t>
      </w:r>
      <w:r w:rsidRPr="00022144">
        <w:rPr>
          <w:rFonts w:ascii="Gotham Book" w:hAnsi="Gotham Book"/>
          <w:sz w:val="24"/>
          <w:szCs w:val="24"/>
        </w:rPr>
        <w:t xml:space="preserve"> a policy’ on </w:t>
      </w:r>
      <w:r>
        <w:rPr>
          <w:rFonts w:ascii="Gotham Book" w:hAnsi="Gotham Book"/>
          <w:sz w:val="24"/>
          <w:szCs w:val="24"/>
        </w:rPr>
        <w:t>carbon emissions dating</w:t>
      </w:r>
      <w:r w:rsidRPr="00022144">
        <w:rPr>
          <w:rFonts w:ascii="Gotham Book" w:hAnsi="Gotham Book"/>
          <w:sz w:val="24"/>
          <w:szCs w:val="24"/>
        </w:rPr>
        <w:t xml:space="preserve"> back to 2010.</w:t>
      </w:r>
      <w:r w:rsidRPr="00022144">
        <w:rPr>
          <w:rStyle w:val="FootnoteReference"/>
          <w:rFonts w:ascii="Gotham Book" w:hAnsi="Gotham Book"/>
          <w:sz w:val="24"/>
          <w:szCs w:val="24"/>
        </w:rPr>
        <w:footnoteReference w:id="6"/>
      </w:r>
      <w:r>
        <w:rPr>
          <w:rFonts w:ascii="Gotham Book" w:hAnsi="Gotham Book"/>
          <w:sz w:val="24"/>
          <w:szCs w:val="24"/>
        </w:rPr>
        <w:t xml:space="preserve"> It contained</w:t>
      </w:r>
      <w:r w:rsidRPr="00022144">
        <w:rPr>
          <w:rFonts w:ascii="Gotham Book" w:hAnsi="Gotham Book"/>
          <w:sz w:val="24"/>
          <w:szCs w:val="24"/>
        </w:rPr>
        <w:t xml:space="preserve"> 7 commitment</w:t>
      </w:r>
      <w:r w:rsidR="00DA34E4">
        <w:rPr>
          <w:rFonts w:ascii="Gotham Book" w:hAnsi="Gotham Book"/>
          <w:sz w:val="24"/>
          <w:szCs w:val="24"/>
        </w:rPr>
        <w:t>s</w:t>
      </w:r>
      <w:r>
        <w:rPr>
          <w:rFonts w:ascii="Gotham Book" w:hAnsi="Gotham Book"/>
          <w:sz w:val="24"/>
          <w:szCs w:val="24"/>
        </w:rPr>
        <w:t>, none of which involved</w:t>
      </w:r>
      <w:r w:rsidRPr="00022144">
        <w:rPr>
          <w:rFonts w:ascii="Gotham Book" w:hAnsi="Gotham Book"/>
          <w:sz w:val="24"/>
          <w:szCs w:val="24"/>
        </w:rPr>
        <w:t xml:space="preserve"> any quantitative target</w:t>
      </w:r>
      <w:r>
        <w:rPr>
          <w:rFonts w:ascii="Gotham Book" w:hAnsi="Gotham Book"/>
          <w:sz w:val="24"/>
          <w:szCs w:val="24"/>
        </w:rPr>
        <w:t xml:space="preserve"> for emissions or emissions intensity</w:t>
      </w:r>
      <w:r w:rsidRPr="00022144">
        <w:rPr>
          <w:rFonts w:ascii="Gotham Book" w:hAnsi="Gotham Book"/>
          <w:sz w:val="24"/>
          <w:szCs w:val="24"/>
        </w:rPr>
        <w:t xml:space="preserve">. In 2012 AGL </w:t>
      </w:r>
      <w:r>
        <w:rPr>
          <w:rFonts w:ascii="Gotham Book" w:hAnsi="Gotham Book"/>
          <w:sz w:val="24"/>
          <w:szCs w:val="24"/>
        </w:rPr>
        <w:t xml:space="preserve">did </w:t>
      </w:r>
      <w:r w:rsidRPr="00022144">
        <w:rPr>
          <w:rFonts w:ascii="Gotham Book" w:hAnsi="Gotham Book"/>
          <w:sz w:val="24"/>
          <w:szCs w:val="24"/>
        </w:rPr>
        <w:t xml:space="preserve">set a </w:t>
      </w:r>
      <w:r>
        <w:rPr>
          <w:rFonts w:ascii="Gotham Book" w:hAnsi="Gotham Book"/>
          <w:sz w:val="24"/>
          <w:szCs w:val="24"/>
        </w:rPr>
        <w:t xml:space="preserve">quantitative </w:t>
      </w:r>
      <w:r w:rsidRPr="00022144">
        <w:rPr>
          <w:rFonts w:ascii="Gotham Book" w:hAnsi="Gotham Book"/>
          <w:sz w:val="24"/>
          <w:szCs w:val="24"/>
        </w:rPr>
        <w:t>target “</w:t>
      </w:r>
      <w:r w:rsidRPr="00022144">
        <w:rPr>
          <w:rFonts w:ascii="Gotham Book" w:eastAsia="Times New Roman" w:hAnsi="Gotham Book" w:cs="Times New Roman"/>
          <w:sz w:val="24"/>
          <w:szCs w:val="24"/>
          <w:lang w:eastAsia="en-AU"/>
        </w:rPr>
        <w:t>From next year, AGL’s target will be for investments in new generation capacity to have a combined intensity lower than 0.7 </w:t>
      </w:r>
      <w:proofErr w:type="spellStart"/>
      <w:r w:rsidRPr="00022144">
        <w:rPr>
          <w:rFonts w:ascii="Gotham Book" w:eastAsia="Times New Roman" w:hAnsi="Gotham Book" w:cs="Times New Roman"/>
          <w:sz w:val="24"/>
          <w:szCs w:val="24"/>
          <w:lang w:eastAsia="en-AU"/>
        </w:rPr>
        <w:t>tCOe</w:t>
      </w:r>
      <w:proofErr w:type="spellEnd"/>
      <w:r w:rsidRPr="00022144">
        <w:rPr>
          <w:rFonts w:ascii="Gotham Book" w:eastAsia="Times New Roman" w:hAnsi="Gotham Book" w:cs="Times New Roman"/>
          <w:sz w:val="24"/>
          <w:szCs w:val="24"/>
          <w:lang w:eastAsia="en-AU"/>
        </w:rPr>
        <w:t>/</w:t>
      </w:r>
      <w:proofErr w:type="spellStart"/>
      <w:r w:rsidRPr="00022144">
        <w:rPr>
          <w:rFonts w:ascii="Gotham Book" w:eastAsia="Times New Roman" w:hAnsi="Gotham Book" w:cs="Times New Roman"/>
          <w:sz w:val="24"/>
          <w:szCs w:val="24"/>
          <w:lang w:eastAsia="en-AU"/>
        </w:rPr>
        <w:t>MWh</w:t>
      </w:r>
      <w:proofErr w:type="spellEnd"/>
      <w:r w:rsidRPr="00022144">
        <w:rPr>
          <w:rFonts w:ascii="Gotham Book" w:eastAsia="Times New Roman" w:hAnsi="Gotham Book" w:cs="Times New Roman"/>
          <w:sz w:val="24"/>
          <w:szCs w:val="24"/>
          <w:lang w:eastAsia="en-AU"/>
        </w:rPr>
        <w:t>.</w:t>
      </w:r>
      <w:r>
        <w:rPr>
          <w:rFonts w:ascii="Gotham Book" w:eastAsia="Times New Roman" w:hAnsi="Gotham Book" w:cs="Times New Roman"/>
          <w:sz w:val="24"/>
          <w:szCs w:val="24"/>
          <w:lang w:eastAsia="en-AU"/>
        </w:rPr>
        <w:t xml:space="preserve">” </w:t>
      </w:r>
      <w:r>
        <w:rPr>
          <w:rStyle w:val="FootnoteReference"/>
          <w:rFonts w:ascii="Gotham Book" w:hAnsi="Gotham Book"/>
          <w:sz w:val="24"/>
          <w:szCs w:val="24"/>
        </w:rPr>
        <w:footnoteReference w:id="7"/>
      </w:r>
      <w:r>
        <w:rPr>
          <w:rFonts w:ascii="Gotham Book" w:eastAsia="Times New Roman" w:hAnsi="Gotham Book" w:cs="Times New Roman"/>
          <w:sz w:val="24"/>
          <w:szCs w:val="24"/>
          <w:lang w:eastAsia="en-AU"/>
        </w:rPr>
        <w:t xml:space="preserve"> There is no mention of this target on the ‘Greenhouse and Energy’ page of the 2014 Sustainability Performance Review.</w:t>
      </w:r>
      <w:r>
        <w:rPr>
          <w:rStyle w:val="FootnoteReference"/>
          <w:rFonts w:ascii="Gotham Book" w:hAnsi="Gotham Book"/>
          <w:sz w:val="24"/>
          <w:szCs w:val="24"/>
        </w:rPr>
        <w:footnoteReference w:id="8"/>
      </w:r>
      <w:r>
        <w:rPr>
          <w:rFonts w:ascii="Gotham Book" w:eastAsia="Times New Roman" w:hAnsi="Gotham Book" w:cs="Times New Roman"/>
          <w:sz w:val="24"/>
          <w:szCs w:val="24"/>
          <w:lang w:eastAsia="en-AU"/>
        </w:rPr>
        <w:t xml:space="preserve"> </w:t>
      </w:r>
    </w:p>
    <w:p w:rsidR="00383E73" w:rsidRDefault="00383E73" w:rsidP="00383E73">
      <w:pPr>
        <w:rPr>
          <w:rFonts w:ascii="Gotham Book" w:eastAsia="Times New Roman" w:hAnsi="Gotham Book" w:cs="Times New Roman"/>
          <w:sz w:val="24"/>
          <w:szCs w:val="24"/>
          <w:lang w:eastAsia="en-AU"/>
        </w:rPr>
      </w:pPr>
      <w:r>
        <w:rPr>
          <w:rFonts w:ascii="Gotham Book" w:eastAsia="Times New Roman" w:hAnsi="Gotham Book" w:cs="Times New Roman"/>
          <w:sz w:val="24"/>
          <w:szCs w:val="24"/>
          <w:lang w:eastAsia="en-AU"/>
        </w:rPr>
        <w:t>In stark contrast to this target, during the period 2011 to 2014 AGL’s generation intensity actually tripled from 0.32 to 0.97.</w:t>
      </w:r>
      <w:r>
        <w:rPr>
          <w:rStyle w:val="FootnoteReference"/>
          <w:rFonts w:ascii="Gotham Book" w:hAnsi="Gotham Book"/>
          <w:sz w:val="24"/>
          <w:szCs w:val="24"/>
        </w:rPr>
        <w:footnoteReference w:id="9"/>
      </w:r>
      <w:r>
        <w:rPr>
          <w:rFonts w:ascii="Gotham Book" w:eastAsia="Times New Roman" w:hAnsi="Gotham Book" w:cs="Times New Roman"/>
          <w:sz w:val="24"/>
          <w:szCs w:val="24"/>
          <w:lang w:eastAsia="en-AU"/>
        </w:rPr>
        <w:t xml:space="preserve"> Macquarie Generation </w:t>
      </w:r>
      <w:r w:rsidR="00DA34E4">
        <w:rPr>
          <w:rFonts w:ascii="Gotham Book" w:eastAsia="Times New Roman" w:hAnsi="Gotham Book" w:cs="Times New Roman"/>
          <w:sz w:val="24"/>
          <w:szCs w:val="24"/>
          <w:lang w:eastAsia="en-AU"/>
        </w:rPr>
        <w:t>had an</w:t>
      </w:r>
      <w:r>
        <w:rPr>
          <w:rFonts w:ascii="Gotham Book" w:eastAsia="Times New Roman" w:hAnsi="Gotham Book" w:cs="Times New Roman"/>
          <w:sz w:val="24"/>
          <w:szCs w:val="24"/>
          <w:lang w:eastAsia="en-AU"/>
        </w:rPr>
        <w:t xml:space="preserve"> estimated </w:t>
      </w:r>
      <w:r w:rsidR="00DA34E4">
        <w:rPr>
          <w:rFonts w:ascii="Gotham Book" w:eastAsia="Times New Roman" w:hAnsi="Gotham Book" w:cs="Times New Roman"/>
          <w:sz w:val="24"/>
          <w:szCs w:val="24"/>
          <w:lang w:eastAsia="en-AU"/>
        </w:rPr>
        <w:t>emissions intensity of</w:t>
      </w:r>
      <w:r>
        <w:rPr>
          <w:rFonts w:ascii="Gotham Book" w:eastAsia="Times New Roman" w:hAnsi="Gotham Book" w:cs="Times New Roman"/>
          <w:sz w:val="24"/>
          <w:szCs w:val="24"/>
          <w:lang w:eastAsia="en-AU"/>
        </w:rPr>
        <w:t xml:space="preserve"> 1.02 further, slightly increasing AGL’s overall intensity.</w:t>
      </w:r>
      <w:r>
        <w:rPr>
          <w:rStyle w:val="FootnoteReference"/>
          <w:rFonts w:ascii="Gotham Book" w:hAnsi="Gotham Book"/>
          <w:sz w:val="24"/>
          <w:szCs w:val="24"/>
        </w:rPr>
        <w:footnoteReference w:id="10"/>
      </w:r>
      <w:r>
        <w:rPr>
          <w:rFonts w:ascii="Gotham Book" w:eastAsia="Times New Roman" w:hAnsi="Gotham Book" w:cs="Times New Roman"/>
          <w:sz w:val="24"/>
          <w:szCs w:val="24"/>
          <w:lang w:eastAsia="en-AU"/>
        </w:rPr>
        <w:t xml:space="preserve"> </w:t>
      </w:r>
    </w:p>
    <w:p w:rsidR="00DA34E4" w:rsidRDefault="00383E73" w:rsidP="00DA34E4">
      <w:pPr>
        <w:rPr>
          <w:rFonts w:ascii="Arial" w:eastAsia="Times New Roman" w:hAnsi="Arial" w:cs="Arial"/>
          <w:sz w:val="24"/>
          <w:szCs w:val="24"/>
          <w:lang w:eastAsia="en-AU"/>
        </w:rPr>
      </w:pPr>
      <w:r>
        <w:rPr>
          <w:rFonts w:ascii="Gotham Book" w:eastAsia="Times New Roman" w:hAnsi="Gotham Book" w:cs="Times New Roman"/>
          <w:sz w:val="24"/>
          <w:szCs w:val="24"/>
          <w:lang w:eastAsia="en-AU"/>
        </w:rPr>
        <w:t>In April 2015 AGL revised its Greenhouse Gas Policy.</w:t>
      </w:r>
      <w:r>
        <w:rPr>
          <w:rStyle w:val="FootnoteReference"/>
          <w:rFonts w:ascii="Gotham Book" w:hAnsi="Gotham Book"/>
          <w:sz w:val="24"/>
          <w:szCs w:val="24"/>
        </w:rPr>
        <w:footnoteReference w:id="11"/>
      </w:r>
      <w:r>
        <w:rPr>
          <w:rFonts w:ascii="Gotham Book" w:eastAsia="Times New Roman" w:hAnsi="Gotham Book" w:cs="Times New Roman"/>
          <w:sz w:val="24"/>
          <w:szCs w:val="24"/>
          <w:lang w:eastAsia="en-AU"/>
        </w:rPr>
        <w:t xml:space="preserve"> It now contains nine commitments but, again, none of them involve any </w:t>
      </w:r>
      <w:r w:rsidR="000B264E">
        <w:rPr>
          <w:rFonts w:ascii="Gotham Book" w:eastAsia="Times New Roman" w:hAnsi="Gotham Book" w:cs="Times New Roman"/>
          <w:sz w:val="24"/>
          <w:szCs w:val="24"/>
          <w:lang w:eastAsia="en-AU"/>
        </w:rPr>
        <w:t xml:space="preserve">explicit, </w:t>
      </w:r>
      <w:r>
        <w:rPr>
          <w:rFonts w:ascii="Gotham Book" w:eastAsia="Times New Roman" w:hAnsi="Gotham Book" w:cs="Times New Roman"/>
          <w:sz w:val="24"/>
          <w:szCs w:val="24"/>
          <w:lang w:eastAsia="en-AU"/>
        </w:rPr>
        <w:t xml:space="preserve">quantitative targets for emissions or emissions intensity reductions. </w:t>
      </w:r>
      <w:r w:rsidR="008A3DB1">
        <w:rPr>
          <w:rFonts w:ascii="Gotham Book" w:eastAsia="Times New Roman" w:hAnsi="Gotham Book" w:cs="Times New Roman"/>
          <w:sz w:val="24"/>
          <w:szCs w:val="24"/>
          <w:lang w:eastAsia="en-AU"/>
        </w:rPr>
        <w:t xml:space="preserve">It does contain commitments with likely, similar impact to quantitative reduction targets. For example, coal-fired power station closure by 2050. </w:t>
      </w:r>
      <w:r>
        <w:rPr>
          <w:rFonts w:ascii="Gotham Book" w:eastAsia="Times New Roman" w:hAnsi="Gotham Book" w:cs="Times New Roman"/>
          <w:sz w:val="24"/>
          <w:szCs w:val="24"/>
          <w:lang w:eastAsia="en-AU"/>
        </w:rPr>
        <w:t xml:space="preserve">It also contains no </w:t>
      </w:r>
      <w:r>
        <w:rPr>
          <w:rFonts w:ascii="Gotham Book" w:eastAsia="Times New Roman" w:hAnsi="Gotham Book" w:cs="Times New Roman"/>
          <w:sz w:val="24"/>
          <w:szCs w:val="24"/>
          <w:lang w:eastAsia="en-AU"/>
        </w:rPr>
        <w:lastRenderedPageBreak/>
        <w:t xml:space="preserve">reference to the 2012 emissions intensity target. In place of the previous numeric intensity target AGL now commits to </w:t>
      </w:r>
      <w:r w:rsidRPr="001208BB">
        <w:rPr>
          <w:rFonts w:ascii="Gotham Book" w:eastAsia="Times New Roman" w:hAnsi="Gotham Book" w:cs="Times New Roman"/>
          <w:sz w:val="24"/>
          <w:szCs w:val="24"/>
          <w:lang w:eastAsia="en-AU"/>
        </w:rPr>
        <w:t>“i</w:t>
      </w:r>
      <w:r w:rsidRPr="000C340A">
        <w:rPr>
          <w:rFonts w:ascii="Gotham Book" w:eastAsia="Times New Roman" w:hAnsi="Gotham Book" w:cs="Arial"/>
          <w:sz w:val="24"/>
          <w:szCs w:val="24"/>
          <w:lang w:eastAsia="en-AU"/>
        </w:rPr>
        <w:t>mprove the greenhouse gas efficiency of our operations, and those in which we have an influence”.</w:t>
      </w:r>
    </w:p>
    <w:p w:rsidR="00DA34E4" w:rsidRDefault="00DA34E4" w:rsidP="00DA34E4">
      <w:pPr>
        <w:rPr>
          <w:rFonts w:ascii="Arial" w:eastAsia="Times New Roman" w:hAnsi="Arial" w:cs="Arial"/>
          <w:sz w:val="24"/>
          <w:szCs w:val="24"/>
          <w:lang w:eastAsia="en-AU"/>
        </w:rPr>
      </w:pPr>
    </w:p>
    <w:p w:rsidR="00DA34E4" w:rsidRPr="00DA34E4" w:rsidRDefault="00DA34E4" w:rsidP="00DA34E4">
      <w:pPr>
        <w:rPr>
          <w:rFonts w:ascii="Gotham Book" w:eastAsia="Times New Roman" w:hAnsi="Gotham Book" w:cs="Arial"/>
          <w:b/>
          <w:sz w:val="24"/>
          <w:szCs w:val="24"/>
          <w:lang w:eastAsia="en-AU"/>
        </w:rPr>
      </w:pPr>
      <w:r>
        <w:rPr>
          <w:rFonts w:ascii="Gotham Book" w:eastAsia="Times New Roman" w:hAnsi="Gotham Book" w:cs="Arial"/>
          <w:b/>
          <w:sz w:val="24"/>
          <w:szCs w:val="24"/>
          <w:lang w:eastAsia="en-AU"/>
        </w:rPr>
        <w:br w:type="page"/>
      </w:r>
      <w:r w:rsidR="00A96852">
        <w:rPr>
          <w:rFonts w:ascii="Gotham Book" w:eastAsia="Times New Roman" w:hAnsi="Gotham Book" w:cs="Arial"/>
          <w:b/>
          <w:sz w:val="24"/>
          <w:szCs w:val="24"/>
          <w:lang w:eastAsia="en-AU"/>
        </w:rPr>
        <w:lastRenderedPageBreak/>
        <w:t xml:space="preserve">Table A1: </w:t>
      </w:r>
      <w:r w:rsidRPr="00DA34E4">
        <w:rPr>
          <w:rFonts w:ascii="Gotham Book" w:eastAsia="Times New Roman" w:hAnsi="Gotham Book" w:cs="Arial"/>
          <w:b/>
          <w:sz w:val="24"/>
          <w:szCs w:val="24"/>
          <w:lang w:eastAsia="en-AU"/>
        </w:rPr>
        <w:t xml:space="preserve">Comment on AGL’s </w:t>
      </w:r>
      <w:r w:rsidR="00A96852">
        <w:rPr>
          <w:rFonts w:ascii="Gotham Book" w:eastAsia="Times New Roman" w:hAnsi="Gotham Book" w:cs="Arial"/>
          <w:b/>
          <w:sz w:val="24"/>
          <w:szCs w:val="24"/>
          <w:lang w:eastAsia="en-AU"/>
        </w:rPr>
        <w:t>April 2015 Greenhouse gas</w:t>
      </w:r>
      <w:r w:rsidRPr="00DA34E4">
        <w:rPr>
          <w:rFonts w:ascii="Gotham Book" w:eastAsia="Times New Roman" w:hAnsi="Gotham Book" w:cs="Arial"/>
          <w:b/>
          <w:sz w:val="24"/>
          <w:szCs w:val="24"/>
          <w:lang w:eastAsia="en-AU"/>
        </w:rPr>
        <w:t xml:space="preserve"> policy commitments</w:t>
      </w:r>
    </w:p>
    <w:tbl>
      <w:tblPr>
        <w:tblStyle w:val="TableGrid"/>
        <w:tblW w:w="10359" w:type="dxa"/>
        <w:tblCellMar>
          <w:right w:w="255" w:type="dxa"/>
        </w:tblCellMar>
        <w:tblLook w:val="04A0"/>
      </w:tblPr>
      <w:tblGrid>
        <w:gridCol w:w="565"/>
        <w:gridCol w:w="3229"/>
        <w:gridCol w:w="6565"/>
      </w:tblGrid>
      <w:tr w:rsidR="00DA34E4" w:rsidTr="00DA34E4">
        <w:tc>
          <w:tcPr>
            <w:tcW w:w="565" w:type="dxa"/>
          </w:tcPr>
          <w:p w:rsidR="00DA34E4" w:rsidRPr="00DA34E4" w:rsidRDefault="00DA34E4" w:rsidP="00DA34E4">
            <w:pPr>
              <w:rPr>
                <w:rFonts w:ascii="Arial" w:eastAsia="Times New Roman" w:hAnsi="Arial" w:cs="Arial"/>
                <w:b/>
                <w:sz w:val="24"/>
                <w:szCs w:val="24"/>
                <w:lang w:eastAsia="en-AU"/>
              </w:rPr>
            </w:pPr>
          </w:p>
        </w:tc>
        <w:tc>
          <w:tcPr>
            <w:tcW w:w="3229" w:type="dxa"/>
          </w:tcPr>
          <w:p w:rsidR="00DA34E4" w:rsidRPr="00DA34E4" w:rsidRDefault="00DA34E4" w:rsidP="00DA34E4">
            <w:pPr>
              <w:rPr>
                <w:rFonts w:ascii="Arial" w:eastAsia="Times New Roman" w:hAnsi="Arial" w:cs="Arial"/>
                <w:b/>
                <w:sz w:val="24"/>
                <w:szCs w:val="24"/>
                <w:lang w:eastAsia="en-AU"/>
              </w:rPr>
            </w:pPr>
            <w:r w:rsidRPr="00DA34E4">
              <w:rPr>
                <w:rFonts w:ascii="Arial" w:eastAsia="Times New Roman" w:hAnsi="Arial" w:cs="Arial"/>
                <w:b/>
                <w:sz w:val="24"/>
                <w:szCs w:val="24"/>
                <w:lang w:eastAsia="en-AU"/>
              </w:rPr>
              <w:t>2015 Commitments</w:t>
            </w:r>
          </w:p>
        </w:tc>
        <w:tc>
          <w:tcPr>
            <w:tcW w:w="6565" w:type="dxa"/>
          </w:tcPr>
          <w:p w:rsidR="00DA34E4" w:rsidRPr="00DA34E4" w:rsidRDefault="00DA34E4" w:rsidP="00DA34E4">
            <w:pPr>
              <w:rPr>
                <w:rFonts w:ascii="Arial" w:eastAsia="Times New Roman" w:hAnsi="Arial" w:cs="Arial"/>
                <w:b/>
                <w:sz w:val="24"/>
                <w:szCs w:val="24"/>
                <w:lang w:eastAsia="en-AU"/>
              </w:rPr>
            </w:pPr>
            <w:r w:rsidRPr="00DA34E4">
              <w:rPr>
                <w:rFonts w:ascii="Arial" w:eastAsia="Times New Roman" w:hAnsi="Arial" w:cs="Arial"/>
                <w:b/>
                <w:sz w:val="24"/>
                <w:szCs w:val="24"/>
                <w:lang w:eastAsia="en-AU"/>
              </w:rPr>
              <w:t>Comment</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1.</w:t>
            </w:r>
          </w:p>
        </w:tc>
        <w:tc>
          <w:tcPr>
            <w:tcW w:w="3229"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AGL will continue to provide the market with safe, reliable, affordable and sustainable energy options. </w:t>
            </w:r>
          </w:p>
        </w:tc>
        <w:tc>
          <w:tcPr>
            <w:tcW w:w="6565"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Lacks credibility in regard ‘sustainability’ given recent tripling of generation intensity</w:t>
            </w:r>
            <w:r>
              <w:rPr>
                <w:rFonts w:ascii="Gotham Book" w:eastAsia="Times New Roman" w:hAnsi="Gotham Book" w:cs="Arial"/>
                <w:lang w:eastAsia="en-AU"/>
              </w:rPr>
              <w:t>.</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2.</w:t>
            </w:r>
          </w:p>
        </w:tc>
        <w:tc>
          <w:tcPr>
            <w:tcW w:w="3229"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AGL will not build, finance or acquire new </w:t>
            </w:r>
          </w:p>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conventional coal-fired power stations in </w:t>
            </w:r>
          </w:p>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Australia (i.e. without CCS)</w:t>
            </w:r>
          </w:p>
        </w:tc>
        <w:tc>
          <w:tcPr>
            <w:tcW w:w="6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Lacks credibility, in 2007 AGL set a target for the emissions intensity of new generation capacity which it subsequently exceeded.</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3.</w:t>
            </w:r>
          </w:p>
        </w:tc>
        <w:tc>
          <w:tcPr>
            <w:tcW w:w="3229"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AGL will not extend the operating life of any of its existing coal-fired power stations</w:t>
            </w:r>
          </w:p>
        </w:tc>
        <w:tc>
          <w:tcPr>
            <w:tcW w:w="6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To be commended.</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4.</w:t>
            </w:r>
          </w:p>
        </w:tc>
        <w:tc>
          <w:tcPr>
            <w:tcW w:w="3229"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By 2050, AGL will close all existing coal-fired power stations in its portfolio. </w:t>
            </w:r>
          </w:p>
        </w:tc>
        <w:tc>
          <w:tcPr>
            <w:tcW w:w="6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 xml:space="preserve">Inconsistent with Australia’s situation, just to be a “world average citizen” Australia needs to reduce the carbon intensity of its economy by </w:t>
            </w:r>
            <w:r w:rsidR="00816025">
              <w:rPr>
                <w:rFonts w:ascii="Gotham Book" w:eastAsia="Times New Roman" w:hAnsi="Gotham Book" w:cs="Arial"/>
                <w:lang w:eastAsia="en-AU"/>
              </w:rPr>
              <w:t>59%</w:t>
            </w:r>
            <w:r>
              <w:rPr>
                <w:rFonts w:ascii="Gotham Book" w:eastAsia="Times New Roman" w:hAnsi="Gotham Book" w:cs="Arial"/>
                <w:lang w:eastAsia="en-AU"/>
              </w:rPr>
              <w:t xml:space="preserve"> by 2035.</w:t>
            </w:r>
          </w:p>
        </w:tc>
      </w:tr>
      <w:tr w:rsidR="003D0C0C" w:rsidTr="00DA34E4">
        <w:tc>
          <w:tcPr>
            <w:tcW w:w="565" w:type="dxa"/>
          </w:tcPr>
          <w:p w:rsidR="003D0C0C" w:rsidRPr="00DA34E4" w:rsidRDefault="003D0C0C" w:rsidP="00DA34E4">
            <w:pPr>
              <w:rPr>
                <w:rFonts w:ascii="Gotham Book" w:eastAsia="Times New Roman" w:hAnsi="Gotham Book" w:cs="Arial"/>
                <w:lang w:eastAsia="en-AU"/>
              </w:rPr>
            </w:pPr>
          </w:p>
        </w:tc>
        <w:tc>
          <w:tcPr>
            <w:tcW w:w="3229" w:type="dxa"/>
          </w:tcPr>
          <w:p w:rsidR="003D0C0C" w:rsidRPr="00DA34E4" w:rsidRDefault="003D0C0C" w:rsidP="00DA34E4">
            <w:pPr>
              <w:rPr>
                <w:rFonts w:ascii="Gotham Book" w:eastAsia="Times New Roman" w:hAnsi="Gotham Book" w:cs="Arial"/>
                <w:lang w:eastAsia="en-AU"/>
              </w:rPr>
            </w:pPr>
          </w:p>
        </w:tc>
        <w:tc>
          <w:tcPr>
            <w:tcW w:w="6565" w:type="dxa"/>
          </w:tcPr>
          <w:p w:rsidR="003D0C0C" w:rsidRDefault="003D0C0C" w:rsidP="00DA34E4">
            <w:pPr>
              <w:rPr>
                <w:rFonts w:ascii="Gotham Book" w:eastAsia="Times New Roman" w:hAnsi="Gotham Book" w:cs="Arial"/>
                <w:lang w:eastAsia="en-AU"/>
              </w:rPr>
            </w:pPr>
            <w:r>
              <w:rPr>
                <w:rFonts w:ascii="Gotham Book" w:eastAsia="Times New Roman" w:hAnsi="Gotham Book" w:cs="Arial"/>
                <w:lang w:eastAsia="en-AU"/>
              </w:rPr>
              <w:t xml:space="preserve">Commitments 2,3 &amp; 4 should be strengthened to reflect quantitative, monotonic decreasing annual targets for emissions </w:t>
            </w:r>
            <w:r w:rsidR="00D65ECF">
              <w:rPr>
                <w:rFonts w:ascii="Gotham Book" w:eastAsia="Times New Roman" w:hAnsi="Gotham Book" w:cs="Arial"/>
                <w:lang w:eastAsia="en-AU"/>
              </w:rPr>
              <w:t>or emission intensity</w:t>
            </w:r>
            <w:r>
              <w:rPr>
                <w:rFonts w:ascii="Gotham Book" w:eastAsia="Times New Roman" w:hAnsi="Gotham Book" w:cs="Arial"/>
                <w:lang w:eastAsia="en-AU"/>
              </w:rPr>
              <w:t xml:space="preserve"> over the next decade.</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5.</w:t>
            </w:r>
          </w:p>
        </w:tc>
        <w:tc>
          <w:tcPr>
            <w:tcW w:w="3229"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AGL will improve the greenhouse gas efficiency of our operations, and those in which </w:t>
            </w:r>
          </w:p>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we have an influence. </w:t>
            </w:r>
          </w:p>
        </w:tc>
        <w:tc>
          <w:tcPr>
            <w:tcW w:w="6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Lacks credibility given recent tripling of generation intensity.</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6.</w:t>
            </w:r>
          </w:p>
        </w:tc>
        <w:tc>
          <w:tcPr>
            <w:tcW w:w="3229"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AGL will continue to invest in new renewable and near-zero emission technologies. </w:t>
            </w:r>
          </w:p>
        </w:tc>
        <w:tc>
          <w:tcPr>
            <w:tcW w:w="6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To be commended. But note that investment is starting from a very low base, less than 10% of pro forma 13/14 generation was due to renewables (allowing for the purchase of Macquarie Generation.)</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7.</w:t>
            </w:r>
          </w:p>
        </w:tc>
        <w:tc>
          <w:tcPr>
            <w:tcW w:w="3229" w:type="dxa"/>
          </w:tcPr>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AGL will make available innovative and cost-effective solutions for our customers </w:t>
            </w:r>
          </w:p>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such as distributed renewable generation, battery storage, and demand </w:t>
            </w:r>
          </w:p>
          <w:p w:rsidR="00DA34E4" w:rsidRPr="00DA34E4" w:rsidRDefault="00DA34E4" w:rsidP="00DA34E4">
            <w:pPr>
              <w:rPr>
                <w:rFonts w:ascii="Gotham Book" w:eastAsia="Times New Roman" w:hAnsi="Gotham Book" w:cs="Arial"/>
                <w:lang w:eastAsia="en-AU"/>
              </w:rPr>
            </w:pPr>
            <w:r w:rsidRPr="00DA34E4">
              <w:rPr>
                <w:rFonts w:ascii="Gotham Book" w:eastAsia="Times New Roman" w:hAnsi="Gotham Book" w:cs="Arial"/>
                <w:lang w:eastAsia="en-AU"/>
              </w:rPr>
              <w:t xml:space="preserve">management solutions. </w:t>
            </w:r>
          </w:p>
        </w:tc>
        <w:tc>
          <w:tcPr>
            <w:tcW w:w="6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To be commended.</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8.</w:t>
            </w:r>
          </w:p>
        </w:tc>
        <w:tc>
          <w:tcPr>
            <w:tcW w:w="3229" w:type="dxa"/>
          </w:tcPr>
          <w:p w:rsidR="00DA34E4" w:rsidRPr="00DA34E4" w:rsidRDefault="00DA34E4" w:rsidP="00DA34E4">
            <w:pPr>
              <w:rPr>
                <w:rFonts w:ascii="Gotham Book" w:eastAsia="Times New Roman" w:hAnsi="Gotham Book" w:cs="Arial"/>
                <w:sz w:val="24"/>
                <w:szCs w:val="24"/>
                <w:lang w:eastAsia="en-AU"/>
              </w:rPr>
            </w:pPr>
            <w:r w:rsidRPr="00DA34E4">
              <w:rPr>
                <w:rFonts w:ascii="Gotham Book" w:eastAsia="Times New Roman" w:hAnsi="Gotham Book" w:cs="Arial"/>
                <w:sz w:val="24"/>
                <w:szCs w:val="24"/>
                <w:lang w:eastAsia="en-AU"/>
              </w:rPr>
              <w:t xml:space="preserve">AGL will incorporate a forecast of future </w:t>
            </w:r>
          </w:p>
          <w:p w:rsidR="00DA34E4" w:rsidRPr="00DA34E4" w:rsidRDefault="00DA34E4" w:rsidP="00DA34E4">
            <w:pPr>
              <w:rPr>
                <w:rFonts w:ascii="Gotham Book" w:eastAsia="Times New Roman" w:hAnsi="Gotham Book" w:cs="Arial"/>
                <w:sz w:val="24"/>
                <w:szCs w:val="24"/>
                <w:lang w:eastAsia="en-AU"/>
              </w:rPr>
            </w:pPr>
            <w:r w:rsidRPr="00DA34E4">
              <w:rPr>
                <w:rFonts w:ascii="Gotham Book" w:eastAsia="Times New Roman" w:hAnsi="Gotham Book" w:cs="Arial"/>
                <w:sz w:val="24"/>
                <w:szCs w:val="24"/>
                <w:lang w:eastAsia="en-AU"/>
              </w:rPr>
              <w:t xml:space="preserve">carbon pricing into all generation capital </w:t>
            </w:r>
          </w:p>
          <w:p w:rsidR="00DA34E4" w:rsidRPr="00DA34E4" w:rsidRDefault="00DA34E4" w:rsidP="00DA34E4">
            <w:pPr>
              <w:rPr>
                <w:rFonts w:ascii="Arial" w:eastAsia="Times New Roman" w:hAnsi="Arial" w:cs="Arial"/>
                <w:sz w:val="21"/>
                <w:szCs w:val="21"/>
                <w:lang w:eastAsia="en-AU"/>
              </w:rPr>
            </w:pPr>
            <w:r w:rsidRPr="00DA34E4">
              <w:rPr>
                <w:rFonts w:ascii="Gotham Book" w:eastAsia="Times New Roman" w:hAnsi="Gotham Book" w:cs="Arial"/>
                <w:sz w:val="24"/>
                <w:szCs w:val="24"/>
                <w:lang w:eastAsia="en-AU"/>
              </w:rPr>
              <w:t>expenditure decisions.</w:t>
            </w:r>
            <w:r w:rsidRPr="00DA34E4">
              <w:rPr>
                <w:rFonts w:ascii="Arial" w:eastAsia="Times New Roman" w:hAnsi="Arial" w:cs="Arial"/>
                <w:sz w:val="21"/>
                <w:szCs w:val="21"/>
                <w:lang w:eastAsia="en-AU"/>
              </w:rPr>
              <w:t xml:space="preserve"> </w:t>
            </w:r>
          </w:p>
        </w:tc>
        <w:tc>
          <w:tcPr>
            <w:tcW w:w="6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This price should be disclosed to shareholders.</w:t>
            </w:r>
          </w:p>
        </w:tc>
      </w:tr>
      <w:tr w:rsidR="00DA34E4" w:rsidTr="00DA34E4">
        <w:tc>
          <w:tcPr>
            <w:tcW w:w="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9</w:t>
            </w:r>
            <w:r w:rsidRPr="00DA34E4">
              <w:rPr>
                <w:rFonts w:ascii="Gotham Book" w:eastAsia="Times New Roman" w:hAnsi="Gotham Book" w:cs="Arial"/>
                <w:lang w:eastAsia="en-AU"/>
              </w:rPr>
              <w:t>.</w:t>
            </w:r>
          </w:p>
        </w:tc>
        <w:tc>
          <w:tcPr>
            <w:tcW w:w="3229" w:type="dxa"/>
          </w:tcPr>
          <w:p w:rsidR="00DA34E4" w:rsidRPr="00DA34E4" w:rsidRDefault="00DA34E4" w:rsidP="00DA34E4">
            <w:pPr>
              <w:rPr>
                <w:rFonts w:ascii="Gotham Book" w:eastAsia="Times New Roman" w:hAnsi="Gotham Book" w:cs="Times New Roman"/>
                <w:b/>
                <w:lang w:eastAsia="en-AU"/>
              </w:rPr>
            </w:pPr>
            <w:r w:rsidRPr="00DA34E4">
              <w:rPr>
                <w:rFonts w:ascii="Gotham Book" w:eastAsia="Times New Roman" w:hAnsi="Gotham Book" w:cs="Arial"/>
                <w:lang w:eastAsia="en-AU"/>
              </w:rPr>
              <w:t xml:space="preserve">AGL will continue to be an advocate for effective long-term government policy to reduce Australia’s emissions </w:t>
            </w:r>
            <w:r>
              <w:rPr>
                <w:rFonts w:ascii="Gotham Book" w:eastAsia="Times New Roman" w:hAnsi="Gotham Book" w:cs="Arial"/>
                <w:lang w:eastAsia="en-AU"/>
              </w:rPr>
              <w:t>… .</w:t>
            </w:r>
            <w:r>
              <w:rPr>
                <w:rFonts w:ascii="Gotham Book" w:eastAsia="Times New Roman" w:hAnsi="Gotham Book" w:cs="Times New Roman"/>
                <w:b/>
                <w:lang w:eastAsia="en-AU"/>
              </w:rPr>
              <w:br w:type="page"/>
            </w:r>
          </w:p>
        </w:tc>
        <w:tc>
          <w:tcPr>
            <w:tcW w:w="6565" w:type="dxa"/>
          </w:tcPr>
          <w:p w:rsidR="00DA34E4" w:rsidRPr="00DA34E4" w:rsidRDefault="00DA34E4" w:rsidP="00DA34E4">
            <w:pPr>
              <w:rPr>
                <w:rFonts w:ascii="Gotham Book" w:eastAsia="Times New Roman" w:hAnsi="Gotham Book" w:cs="Arial"/>
                <w:lang w:eastAsia="en-AU"/>
              </w:rPr>
            </w:pPr>
            <w:r>
              <w:rPr>
                <w:rFonts w:ascii="Gotham Book" w:eastAsia="Times New Roman" w:hAnsi="Gotham Book" w:cs="Arial"/>
                <w:lang w:eastAsia="en-AU"/>
              </w:rPr>
              <w:t>Lacks credibility given membership of Minerals Council of Australia whose attitude to Australia’s contribution to global efforts to constrain global warming is that Australia should bludge as much as it can get away with.</w:t>
            </w:r>
          </w:p>
        </w:tc>
      </w:tr>
    </w:tbl>
    <w:p w:rsidR="00DA34E4" w:rsidRPr="00DA34E4" w:rsidRDefault="00DA34E4" w:rsidP="00DA34E4">
      <w:pPr>
        <w:rPr>
          <w:rFonts w:ascii="Arial" w:eastAsia="Times New Roman" w:hAnsi="Arial" w:cs="Arial"/>
          <w:sz w:val="24"/>
          <w:szCs w:val="24"/>
          <w:lang w:eastAsia="en-AU"/>
        </w:rPr>
      </w:pPr>
    </w:p>
    <w:p w:rsidR="00DA34E4" w:rsidRDefault="00DA34E4" w:rsidP="00383E73">
      <w:pPr>
        <w:rPr>
          <w:rFonts w:ascii="Gotham Book" w:eastAsia="Times New Roman" w:hAnsi="Gotham Book" w:cs="Times New Roman"/>
          <w:b/>
          <w:sz w:val="24"/>
          <w:szCs w:val="24"/>
          <w:lang w:eastAsia="en-AU"/>
        </w:rPr>
      </w:pPr>
      <w:r>
        <w:rPr>
          <w:rFonts w:ascii="Gotham Book" w:eastAsia="Times New Roman" w:hAnsi="Gotham Book" w:cs="Times New Roman"/>
          <w:b/>
          <w:sz w:val="32"/>
          <w:szCs w:val="32"/>
          <w:lang w:eastAsia="en-AU"/>
        </w:rPr>
        <w:br w:type="page"/>
      </w:r>
      <w:r w:rsidR="00383E73" w:rsidRPr="00383E73">
        <w:rPr>
          <w:rFonts w:ascii="Gotham Book" w:eastAsia="Times New Roman" w:hAnsi="Gotham Book" w:cs="Times New Roman"/>
          <w:b/>
          <w:sz w:val="32"/>
          <w:szCs w:val="32"/>
          <w:lang w:eastAsia="en-AU"/>
        </w:rPr>
        <w:lastRenderedPageBreak/>
        <w:t>Attachment B: Origin</w:t>
      </w:r>
      <w:r w:rsidR="008A3DB1">
        <w:rPr>
          <w:rFonts w:ascii="Gotham Book" w:eastAsia="Times New Roman" w:hAnsi="Gotham Book" w:cs="Times New Roman"/>
          <w:b/>
          <w:sz w:val="32"/>
          <w:szCs w:val="32"/>
          <w:lang w:eastAsia="en-AU"/>
        </w:rPr>
        <w:tab/>
      </w:r>
      <w:r w:rsidR="008A3DB1">
        <w:rPr>
          <w:rFonts w:ascii="Gotham Book" w:eastAsia="Times New Roman" w:hAnsi="Gotham Book" w:cs="Times New Roman"/>
          <w:b/>
          <w:sz w:val="32"/>
          <w:szCs w:val="32"/>
          <w:lang w:eastAsia="en-AU"/>
        </w:rPr>
        <w:tab/>
      </w:r>
      <w:r w:rsidR="008A3DB1">
        <w:rPr>
          <w:rFonts w:ascii="Gotham Book" w:eastAsia="Times New Roman" w:hAnsi="Gotham Book" w:cs="Times New Roman"/>
          <w:b/>
          <w:sz w:val="32"/>
          <w:szCs w:val="32"/>
          <w:lang w:eastAsia="en-AU"/>
        </w:rPr>
        <w:tab/>
      </w:r>
      <w:r w:rsidR="008A3DB1">
        <w:rPr>
          <w:rFonts w:ascii="Gotham Book" w:eastAsia="Times New Roman" w:hAnsi="Gotham Book" w:cs="Times New Roman"/>
          <w:b/>
          <w:sz w:val="32"/>
          <w:szCs w:val="32"/>
          <w:lang w:eastAsia="en-AU"/>
        </w:rPr>
        <w:tab/>
      </w:r>
      <w:r w:rsidR="008A3DB1" w:rsidRPr="008A3DB1">
        <w:rPr>
          <w:rFonts w:ascii="Gotham Book" w:eastAsia="Times New Roman" w:hAnsi="Gotham Book" w:cs="Times New Roman"/>
          <w:b/>
          <w:sz w:val="24"/>
          <w:szCs w:val="24"/>
          <w:lang w:eastAsia="en-AU"/>
        </w:rPr>
        <w:t>AGM date:</w:t>
      </w:r>
      <w:r w:rsidR="008A3DB1">
        <w:rPr>
          <w:rFonts w:ascii="Gotham Book" w:eastAsia="Times New Roman" w:hAnsi="Gotham Book" w:cs="Times New Roman"/>
          <w:b/>
          <w:sz w:val="24"/>
          <w:szCs w:val="24"/>
          <w:lang w:eastAsia="en-AU"/>
        </w:rPr>
        <w:t xml:space="preserve"> </w:t>
      </w:r>
      <w:r w:rsidR="008A3DB1">
        <w:rPr>
          <w:sz w:val="24"/>
          <w:szCs w:val="24"/>
        </w:rPr>
        <w:t>21 October</w:t>
      </w:r>
      <w:bookmarkStart w:id="0" w:name="_GoBack"/>
      <w:bookmarkEnd w:id="0"/>
    </w:p>
    <w:p w:rsidR="008A3DB1" w:rsidRPr="008A3DB1" w:rsidRDefault="008A3DB1" w:rsidP="008A3DB1">
      <w:pPr>
        <w:spacing w:after="0" w:line="240" w:lineRule="auto"/>
        <w:rPr>
          <w:rFonts w:ascii="Gotham Book" w:eastAsia="Times New Roman" w:hAnsi="Gotham Book" w:cs="Times New Roman"/>
          <w:i/>
          <w:sz w:val="24"/>
          <w:szCs w:val="24"/>
          <w:lang w:eastAsia="en-AU"/>
        </w:rPr>
      </w:pPr>
      <w:r w:rsidRPr="008A3DB1">
        <w:rPr>
          <w:rFonts w:ascii="Gotham Book" w:hAnsi="Gotham Book" w:cs="Helvetica"/>
          <w:i/>
          <w:sz w:val="24"/>
          <w:szCs w:val="24"/>
        </w:rPr>
        <w:t>Special Resolution to amend the constitution: That, at the end of Clause 8.3 ‘Notice of general meetings’ the following new sub-clause 8.3 (e) is inserted: “</w:t>
      </w:r>
      <w:r w:rsidRPr="008A3DB1">
        <w:rPr>
          <w:rFonts w:ascii="Gotham Book" w:hAnsi="Gotham Book"/>
          <w:i/>
          <w:sz w:val="24"/>
          <w:szCs w:val="24"/>
        </w:rPr>
        <w:t xml:space="preserve">Each year from 2016, at reasonable cost and omitting any proprietary information, </w:t>
      </w:r>
      <w:r w:rsidRPr="008A3DB1">
        <w:rPr>
          <w:rFonts w:ascii="Gotham Book" w:eastAsia="Times New Roman" w:hAnsi="Gotham Book" w:cs="Times New Roman"/>
          <w:i/>
          <w:sz w:val="24"/>
          <w:szCs w:val="24"/>
          <w:lang w:eastAsia="en-AU"/>
        </w:rPr>
        <w:t>routine annual reporting will include further information about ongoing power generation and supply chain emissions management, generation portfolio resilience to the International Energy Agency’s (IEA’s) scenarios; relevant strategic key performance indicators (KPI’s) and executive incentives; and our public policy positions relating to climate change.”.</w:t>
      </w:r>
    </w:p>
    <w:p w:rsidR="008A3DB1" w:rsidRPr="008A3DB1" w:rsidRDefault="008A3DB1" w:rsidP="00383E73">
      <w:pPr>
        <w:rPr>
          <w:rFonts w:ascii="Gotham Book" w:eastAsia="Times New Roman" w:hAnsi="Gotham Book" w:cs="Times New Roman"/>
          <w:b/>
          <w:sz w:val="24"/>
          <w:szCs w:val="24"/>
          <w:lang w:eastAsia="en-AU"/>
        </w:rPr>
      </w:pPr>
    </w:p>
    <w:p w:rsidR="00DA34E4" w:rsidRDefault="00383E73" w:rsidP="00DA34E4">
      <w:pPr>
        <w:spacing w:line="240" w:lineRule="auto"/>
        <w:rPr>
          <w:rFonts w:ascii="Gotham Book" w:hAnsi="Gotham Book"/>
          <w:sz w:val="24"/>
          <w:szCs w:val="24"/>
        </w:rPr>
      </w:pPr>
      <w:r w:rsidRPr="00383E73">
        <w:rPr>
          <w:rFonts w:ascii="Gotham Book" w:eastAsia="Times New Roman" w:hAnsi="Gotham Book" w:cs="Times New Roman"/>
          <w:b/>
          <w:sz w:val="32"/>
          <w:szCs w:val="32"/>
          <w:lang w:eastAsia="en-AU"/>
        </w:rPr>
        <w:t xml:space="preserve"> </w:t>
      </w:r>
      <w:r w:rsidR="00DA34E4">
        <w:rPr>
          <w:rFonts w:ascii="Gotham Book" w:hAnsi="Gotham Book"/>
          <w:sz w:val="24"/>
          <w:szCs w:val="24"/>
        </w:rPr>
        <w:t>On the basis of figures for 13/14 Origin is best understood as:</w:t>
      </w:r>
    </w:p>
    <w:p w:rsidR="00DA34E4" w:rsidRDefault="00DA34E4" w:rsidP="00DA34E4">
      <w:pPr>
        <w:pStyle w:val="ListParagraph"/>
        <w:numPr>
          <w:ilvl w:val="0"/>
          <w:numId w:val="4"/>
        </w:numPr>
        <w:spacing w:line="240" w:lineRule="auto"/>
        <w:rPr>
          <w:rFonts w:ascii="Gotham Book" w:hAnsi="Gotham Book"/>
          <w:sz w:val="24"/>
          <w:szCs w:val="24"/>
        </w:rPr>
      </w:pPr>
      <w:r>
        <w:rPr>
          <w:rFonts w:ascii="Gotham Book" w:hAnsi="Gotham Book"/>
          <w:sz w:val="24"/>
          <w:szCs w:val="24"/>
        </w:rPr>
        <w:t>roughly three quarters an electricity generator and vendor by revenue;</w:t>
      </w:r>
    </w:p>
    <w:p w:rsidR="00DA34E4" w:rsidRDefault="00DA34E4" w:rsidP="00DA34E4">
      <w:pPr>
        <w:pStyle w:val="ListParagraph"/>
        <w:numPr>
          <w:ilvl w:val="0"/>
          <w:numId w:val="4"/>
        </w:numPr>
        <w:spacing w:line="240" w:lineRule="auto"/>
        <w:rPr>
          <w:rFonts w:ascii="Gotham Book" w:hAnsi="Gotham Book"/>
          <w:sz w:val="24"/>
          <w:szCs w:val="24"/>
        </w:rPr>
      </w:pPr>
      <w:r>
        <w:rPr>
          <w:rFonts w:ascii="Gotham Book" w:hAnsi="Gotham Book"/>
          <w:sz w:val="24"/>
          <w:szCs w:val="24"/>
        </w:rPr>
        <w:t xml:space="preserve">roughly two thirds a coal-fired power electricity generator (by </w:t>
      </w:r>
      <w:proofErr w:type="spellStart"/>
      <w:r>
        <w:rPr>
          <w:rFonts w:ascii="Gotham Book" w:hAnsi="Gotham Book"/>
          <w:sz w:val="24"/>
          <w:szCs w:val="24"/>
        </w:rPr>
        <w:t>GWh</w:t>
      </w:r>
      <w:proofErr w:type="spellEnd"/>
      <w:r>
        <w:rPr>
          <w:rFonts w:ascii="Gotham Book" w:hAnsi="Gotham Book"/>
          <w:sz w:val="24"/>
          <w:szCs w:val="24"/>
        </w:rPr>
        <w:t>);</w:t>
      </w:r>
    </w:p>
    <w:p w:rsidR="00DA34E4" w:rsidRDefault="00DA34E4" w:rsidP="00DA34E4">
      <w:pPr>
        <w:pStyle w:val="ListParagraph"/>
        <w:numPr>
          <w:ilvl w:val="0"/>
          <w:numId w:val="4"/>
        </w:numPr>
        <w:spacing w:line="240" w:lineRule="auto"/>
        <w:rPr>
          <w:rFonts w:ascii="Gotham Book" w:hAnsi="Gotham Book"/>
          <w:sz w:val="24"/>
          <w:szCs w:val="24"/>
        </w:rPr>
      </w:pPr>
      <w:r>
        <w:rPr>
          <w:rFonts w:ascii="Gotham Book" w:hAnsi="Gotham Book"/>
          <w:sz w:val="24"/>
          <w:szCs w:val="24"/>
        </w:rPr>
        <w:t>a retail vendor of more than twice the power it generates.</w:t>
      </w:r>
    </w:p>
    <w:p w:rsidR="00DA34E4" w:rsidRPr="00DA34E4" w:rsidRDefault="00DA34E4" w:rsidP="00DA34E4">
      <w:pPr>
        <w:spacing w:line="240" w:lineRule="auto"/>
        <w:rPr>
          <w:rFonts w:ascii="Gotham Book" w:hAnsi="Gotham Book"/>
          <w:sz w:val="24"/>
          <w:szCs w:val="24"/>
        </w:rPr>
      </w:pPr>
      <w:r>
        <w:rPr>
          <w:rFonts w:ascii="Gotham Book" w:hAnsi="Gotham Book"/>
          <w:sz w:val="24"/>
          <w:szCs w:val="24"/>
        </w:rPr>
        <w:t>In addition, Origin is an owner of CSG reserves and CSG supplier to LNG plant through its interest in Australia Pacific LNG.</w:t>
      </w:r>
    </w:p>
    <w:p w:rsidR="00383E73" w:rsidRPr="00DA34E4" w:rsidRDefault="00DA34E4" w:rsidP="00DA34E4">
      <w:pPr>
        <w:spacing w:line="240" w:lineRule="auto"/>
        <w:rPr>
          <w:rFonts w:ascii="Gotham Book" w:hAnsi="Gotham Book"/>
          <w:sz w:val="24"/>
          <w:szCs w:val="24"/>
        </w:rPr>
      </w:pPr>
      <w:r>
        <w:rPr>
          <w:rFonts w:ascii="Gotham Book" w:hAnsi="Gotham Book"/>
          <w:sz w:val="24"/>
          <w:szCs w:val="24"/>
        </w:rPr>
        <w:t>Origin was the eighth largest carbon emitter in Australia in 13/14.</w:t>
      </w:r>
    </w:p>
    <w:p w:rsidR="00383E73" w:rsidRDefault="00383E73" w:rsidP="00383E73">
      <w:pPr>
        <w:rPr>
          <w:rFonts w:ascii="Gotham Book" w:eastAsia="Times New Roman" w:hAnsi="Gotham Book" w:cs="Times New Roman"/>
          <w:sz w:val="24"/>
          <w:szCs w:val="24"/>
          <w:lang w:eastAsia="en-AU"/>
        </w:rPr>
      </w:pPr>
      <w:r>
        <w:rPr>
          <w:rFonts w:ascii="Gotham Book" w:eastAsia="Times New Roman" w:hAnsi="Gotham Book" w:cs="Times New Roman"/>
          <w:sz w:val="24"/>
          <w:szCs w:val="24"/>
          <w:lang w:eastAsia="en-AU"/>
        </w:rPr>
        <w:t>Origin</w:t>
      </w:r>
      <w:r w:rsidR="00DA34E4">
        <w:rPr>
          <w:rFonts w:ascii="Gotham Book" w:eastAsia="Times New Roman" w:hAnsi="Gotham Book" w:cs="Times New Roman"/>
          <w:sz w:val="24"/>
          <w:szCs w:val="24"/>
          <w:lang w:eastAsia="en-AU"/>
        </w:rPr>
        <w:t>, like AGL,</w:t>
      </w:r>
      <w:r w:rsidR="00A96852">
        <w:rPr>
          <w:rFonts w:ascii="Gotham Book" w:eastAsia="Times New Roman" w:hAnsi="Gotham Book" w:cs="Times New Roman"/>
          <w:sz w:val="24"/>
          <w:szCs w:val="24"/>
          <w:lang w:eastAsia="en-AU"/>
        </w:rPr>
        <w:t xml:space="preserve"> ‘has a policy’ dealing with</w:t>
      </w:r>
      <w:r>
        <w:rPr>
          <w:rFonts w:ascii="Gotham Book" w:eastAsia="Times New Roman" w:hAnsi="Gotham Book" w:cs="Times New Roman"/>
          <w:sz w:val="24"/>
          <w:szCs w:val="24"/>
          <w:lang w:eastAsia="en-AU"/>
        </w:rPr>
        <w:t xml:space="preserve"> carbon emissions. It states “We</w:t>
      </w:r>
      <w:r>
        <w:t xml:space="preserve"> </w:t>
      </w:r>
      <w:r w:rsidRPr="00A73DBC">
        <w:rPr>
          <w:rFonts w:ascii="Gotham Book" w:hAnsi="Gotham Book"/>
          <w:sz w:val="24"/>
          <w:szCs w:val="24"/>
        </w:rPr>
        <w:t>acknowledge and continue to maintain that climate change is a global societal challenge and as such, Origin continues to support measures to reduce carbon emissions.”</w:t>
      </w:r>
      <w:r>
        <w:t xml:space="preserve"> </w:t>
      </w:r>
      <w:r>
        <w:rPr>
          <w:rFonts w:ascii="Gotham Book" w:hAnsi="Gotham Book"/>
          <w:sz w:val="24"/>
        </w:rPr>
        <w:t>In fact, over the past 3 years Origin’s own scope one emissions have increased 55% pa.</w:t>
      </w:r>
      <w:r>
        <w:rPr>
          <w:rStyle w:val="FootnoteReference"/>
          <w:rFonts w:ascii="Gotham Book" w:hAnsi="Gotham Book"/>
          <w:sz w:val="24"/>
        </w:rPr>
        <w:footnoteReference w:id="12"/>
      </w:r>
      <w:r>
        <w:rPr>
          <w:rFonts w:ascii="Gotham Book" w:hAnsi="Gotham Book"/>
          <w:sz w:val="24"/>
        </w:rPr>
        <w:t xml:space="preserve"> </w:t>
      </w:r>
      <w:r>
        <w:rPr>
          <w:rFonts w:ascii="Gotham Book" w:eastAsia="Times New Roman" w:hAnsi="Gotham Book" w:cs="Times New Roman"/>
          <w:sz w:val="24"/>
          <w:szCs w:val="24"/>
          <w:lang w:eastAsia="en-AU"/>
        </w:rPr>
        <w:t>In 2007 Origin set itself 4 objectives in regard carbon emissions.</w:t>
      </w:r>
      <w:r>
        <w:rPr>
          <w:rStyle w:val="FootnoteReference"/>
          <w:rFonts w:ascii="Gotham Book" w:hAnsi="Gotham Book"/>
          <w:sz w:val="24"/>
          <w:szCs w:val="24"/>
        </w:rPr>
        <w:footnoteReference w:id="13"/>
      </w:r>
      <w:r>
        <w:rPr>
          <w:rFonts w:ascii="Gotham Book" w:eastAsia="Times New Roman" w:hAnsi="Gotham Book" w:cs="Times New Roman"/>
          <w:sz w:val="24"/>
          <w:szCs w:val="24"/>
          <w:lang w:eastAsia="en-AU"/>
        </w:rPr>
        <w:t xml:space="preserve"> These included an objective to reduce the greenhouse gas intensity of the company’s electricity supply chain</w:t>
      </w:r>
      <w:r>
        <w:rPr>
          <w:rStyle w:val="FootnoteReference"/>
          <w:rFonts w:ascii="Gotham Book" w:hAnsi="Gotham Book"/>
          <w:sz w:val="24"/>
          <w:szCs w:val="24"/>
        </w:rPr>
        <w:footnoteReference w:id="14"/>
      </w:r>
      <w:r>
        <w:rPr>
          <w:rFonts w:ascii="Gotham Book" w:eastAsia="Times New Roman" w:hAnsi="Gotham Book" w:cs="Times New Roman"/>
          <w:sz w:val="24"/>
          <w:szCs w:val="24"/>
          <w:lang w:eastAsia="en-AU"/>
        </w:rPr>
        <w:t xml:space="preserve"> emissions to 10% less than the national electricity market average by 2020.  No reference is made to this target in Origin’s current website emissions disclosure. It appears to have been dropped.</w:t>
      </w:r>
      <w:r>
        <w:rPr>
          <w:rStyle w:val="FootnoteReference"/>
          <w:rFonts w:ascii="Gotham Book" w:hAnsi="Gotham Book"/>
          <w:sz w:val="24"/>
          <w:szCs w:val="24"/>
        </w:rPr>
        <w:footnoteReference w:id="15"/>
      </w:r>
    </w:p>
    <w:p w:rsidR="00D65ECF" w:rsidRDefault="00D65ECF" w:rsidP="00383E73">
      <w:pPr>
        <w:rPr>
          <w:rFonts w:ascii="Gotham Book" w:eastAsia="Times New Roman" w:hAnsi="Gotham Book" w:cs="Times New Roman"/>
          <w:b/>
          <w:sz w:val="24"/>
          <w:szCs w:val="24"/>
          <w:lang w:eastAsia="en-AU"/>
        </w:rPr>
      </w:pPr>
    </w:p>
    <w:p w:rsidR="00D65ECF" w:rsidRDefault="00D65ECF" w:rsidP="00383E73">
      <w:pPr>
        <w:rPr>
          <w:rFonts w:ascii="Gotham Book" w:eastAsia="Times New Roman" w:hAnsi="Gotham Book" w:cs="Times New Roman"/>
          <w:b/>
          <w:sz w:val="24"/>
          <w:szCs w:val="24"/>
          <w:lang w:eastAsia="en-AU"/>
        </w:rPr>
      </w:pPr>
    </w:p>
    <w:p w:rsidR="00D65ECF" w:rsidRDefault="00D65ECF" w:rsidP="00383E73">
      <w:pPr>
        <w:rPr>
          <w:rFonts w:ascii="Gotham Book" w:eastAsia="Times New Roman" w:hAnsi="Gotham Book" w:cs="Times New Roman"/>
          <w:b/>
          <w:sz w:val="24"/>
          <w:szCs w:val="24"/>
          <w:lang w:eastAsia="en-AU"/>
        </w:rPr>
      </w:pPr>
    </w:p>
    <w:p w:rsidR="00D65ECF" w:rsidRDefault="00D65ECF" w:rsidP="00383E73">
      <w:pPr>
        <w:rPr>
          <w:rFonts w:ascii="Gotham Book" w:eastAsia="Times New Roman" w:hAnsi="Gotham Book" w:cs="Times New Roman"/>
          <w:b/>
          <w:sz w:val="24"/>
          <w:szCs w:val="24"/>
          <w:lang w:eastAsia="en-AU"/>
        </w:rPr>
      </w:pPr>
    </w:p>
    <w:p w:rsidR="00D65ECF" w:rsidRDefault="00D65ECF" w:rsidP="00383E73">
      <w:pPr>
        <w:rPr>
          <w:rFonts w:ascii="Gotham Book" w:eastAsia="Times New Roman" w:hAnsi="Gotham Book" w:cs="Times New Roman"/>
          <w:b/>
          <w:sz w:val="24"/>
          <w:szCs w:val="24"/>
          <w:lang w:eastAsia="en-AU"/>
        </w:rPr>
      </w:pPr>
    </w:p>
    <w:p w:rsidR="00D65ECF" w:rsidRDefault="00D65ECF" w:rsidP="00383E73">
      <w:pPr>
        <w:rPr>
          <w:rFonts w:ascii="Gotham Book" w:eastAsia="Times New Roman" w:hAnsi="Gotham Book" w:cs="Times New Roman"/>
          <w:b/>
          <w:sz w:val="24"/>
          <w:szCs w:val="24"/>
          <w:lang w:eastAsia="en-AU"/>
        </w:rPr>
      </w:pPr>
    </w:p>
    <w:p w:rsidR="00D65ECF" w:rsidRDefault="00D65ECF" w:rsidP="00383E73">
      <w:pPr>
        <w:rPr>
          <w:rFonts w:ascii="Gotham Book" w:eastAsia="Times New Roman" w:hAnsi="Gotham Book" w:cs="Times New Roman"/>
          <w:b/>
          <w:sz w:val="24"/>
          <w:szCs w:val="24"/>
          <w:lang w:eastAsia="en-AU"/>
        </w:rPr>
      </w:pPr>
    </w:p>
    <w:p w:rsidR="00D65ECF" w:rsidRDefault="00D65ECF" w:rsidP="00383E73">
      <w:pPr>
        <w:rPr>
          <w:rFonts w:ascii="Gotham Book" w:eastAsia="Times New Roman" w:hAnsi="Gotham Book" w:cs="Times New Roman"/>
          <w:b/>
          <w:sz w:val="24"/>
          <w:szCs w:val="24"/>
          <w:lang w:eastAsia="en-AU"/>
        </w:rPr>
      </w:pPr>
    </w:p>
    <w:p w:rsidR="00D65ECF" w:rsidRDefault="00D65ECF" w:rsidP="00383E73">
      <w:pPr>
        <w:rPr>
          <w:rFonts w:ascii="Gotham Book" w:eastAsia="Times New Roman" w:hAnsi="Gotham Book" w:cs="Times New Roman"/>
          <w:b/>
          <w:sz w:val="24"/>
          <w:szCs w:val="24"/>
          <w:lang w:eastAsia="en-AU"/>
        </w:rPr>
      </w:pPr>
    </w:p>
    <w:p w:rsidR="00DA34E4" w:rsidRPr="00A96852" w:rsidRDefault="00A96852" w:rsidP="00383E73">
      <w:pPr>
        <w:rPr>
          <w:rFonts w:ascii="Gotham Book" w:eastAsia="Times New Roman" w:hAnsi="Gotham Book" w:cs="Times New Roman"/>
          <w:b/>
          <w:sz w:val="24"/>
          <w:szCs w:val="24"/>
          <w:lang w:eastAsia="en-AU"/>
        </w:rPr>
      </w:pPr>
      <w:r w:rsidRPr="00A96852">
        <w:rPr>
          <w:rFonts w:ascii="Gotham Book" w:eastAsia="Times New Roman" w:hAnsi="Gotham Book" w:cs="Times New Roman"/>
          <w:b/>
          <w:sz w:val="24"/>
          <w:szCs w:val="24"/>
          <w:lang w:eastAsia="en-AU"/>
        </w:rPr>
        <w:t xml:space="preserve">Table A2: </w:t>
      </w:r>
      <w:r w:rsidR="00DA34E4" w:rsidRPr="00A96852">
        <w:rPr>
          <w:rFonts w:ascii="Gotham Book" w:eastAsia="Times New Roman" w:hAnsi="Gotham Book" w:cs="Times New Roman"/>
          <w:b/>
          <w:sz w:val="24"/>
          <w:szCs w:val="24"/>
          <w:lang w:eastAsia="en-AU"/>
        </w:rPr>
        <w:t>Comment on Origin’s 2007 carbon emission related objectives</w:t>
      </w:r>
      <w:r w:rsidR="00725472">
        <w:rPr>
          <w:rStyle w:val="FootnoteReference"/>
          <w:rFonts w:ascii="Gotham Book" w:eastAsia="Times New Roman" w:hAnsi="Gotham Book" w:cs="Times New Roman"/>
          <w:b/>
          <w:sz w:val="24"/>
          <w:szCs w:val="24"/>
          <w:lang w:eastAsia="en-AU"/>
        </w:rPr>
        <w:footnoteReference w:id="16"/>
      </w:r>
    </w:p>
    <w:tbl>
      <w:tblPr>
        <w:tblStyle w:val="TableGrid"/>
        <w:tblW w:w="0" w:type="auto"/>
        <w:tblLayout w:type="fixed"/>
        <w:tblLook w:val="04A0"/>
      </w:tblPr>
      <w:tblGrid>
        <w:gridCol w:w="817"/>
        <w:gridCol w:w="2977"/>
        <w:gridCol w:w="5448"/>
      </w:tblGrid>
      <w:tr w:rsidR="00DA34E4" w:rsidTr="00D65ECF">
        <w:tc>
          <w:tcPr>
            <w:tcW w:w="817" w:type="dxa"/>
          </w:tcPr>
          <w:p w:rsidR="00DA34E4" w:rsidRPr="00A96852" w:rsidRDefault="00A96852" w:rsidP="0034332C">
            <w:pPr>
              <w:rPr>
                <w:rFonts w:ascii="Gotham Book" w:hAnsi="Gotham Book" w:cs="Arial"/>
                <w:b/>
                <w:sz w:val="24"/>
                <w:szCs w:val="24"/>
                <w:lang w:eastAsia="en-AU"/>
              </w:rPr>
            </w:pPr>
            <w:r w:rsidRPr="00A96852">
              <w:rPr>
                <w:rFonts w:ascii="Gotham Book" w:hAnsi="Gotham Book" w:cs="Arial"/>
                <w:b/>
                <w:sz w:val="24"/>
                <w:szCs w:val="24"/>
                <w:lang w:eastAsia="en-AU"/>
              </w:rPr>
              <w:t>No.</w:t>
            </w:r>
          </w:p>
        </w:tc>
        <w:tc>
          <w:tcPr>
            <w:tcW w:w="2977" w:type="dxa"/>
          </w:tcPr>
          <w:p w:rsidR="00DA34E4" w:rsidRPr="00A96852" w:rsidRDefault="00A96852" w:rsidP="0034332C">
            <w:pPr>
              <w:rPr>
                <w:rFonts w:ascii="Gotham Book" w:hAnsi="Gotham Book" w:cs="Arial"/>
                <w:b/>
                <w:color w:val="000000"/>
                <w:sz w:val="24"/>
                <w:szCs w:val="24"/>
                <w:lang w:eastAsia="en-AU"/>
              </w:rPr>
            </w:pPr>
            <w:r w:rsidRPr="00A96852">
              <w:rPr>
                <w:rFonts w:ascii="Gotham Book" w:hAnsi="Gotham Book" w:cs="Arial"/>
                <w:b/>
                <w:color w:val="000000"/>
                <w:sz w:val="24"/>
                <w:szCs w:val="24"/>
                <w:lang w:eastAsia="en-AU"/>
              </w:rPr>
              <w:t>Objective</w:t>
            </w:r>
          </w:p>
        </w:tc>
        <w:tc>
          <w:tcPr>
            <w:tcW w:w="5448" w:type="dxa"/>
          </w:tcPr>
          <w:p w:rsidR="00DA34E4" w:rsidRPr="00A96852" w:rsidRDefault="00A96852" w:rsidP="0034332C">
            <w:pPr>
              <w:rPr>
                <w:rFonts w:ascii="Gotham Book" w:hAnsi="Gotham Book" w:cs="Arial"/>
                <w:b/>
                <w:color w:val="000000"/>
                <w:sz w:val="24"/>
                <w:szCs w:val="24"/>
                <w:lang w:eastAsia="en-AU"/>
              </w:rPr>
            </w:pPr>
            <w:r w:rsidRPr="00A96852">
              <w:rPr>
                <w:rFonts w:ascii="Gotham Book" w:hAnsi="Gotham Book" w:cs="Arial"/>
                <w:b/>
                <w:color w:val="000000"/>
                <w:sz w:val="24"/>
                <w:szCs w:val="24"/>
                <w:lang w:eastAsia="en-AU"/>
              </w:rPr>
              <w:t>Comment</w:t>
            </w:r>
          </w:p>
        </w:tc>
      </w:tr>
      <w:tr w:rsidR="00DA34E4" w:rsidTr="00D65ECF">
        <w:tc>
          <w:tcPr>
            <w:tcW w:w="817" w:type="dxa"/>
          </w:tcPr>
          <w:p w:rsidR="00DA34E4" w:rsidRPr="00A96852" w:rsidRDefault="00A96852" w:rsidP="0034332C">
            <w:pPr>
              <w:rPr>
                <w:rFonts w:ascii="Gotham Book" w:hAnsi="Gotham Book" w:cs="Arial"/>
                <w:sz w:val="24"/>
                <w:szCs w:val="24"/>
                <w:lang w:eastAsia="en-AU"/>
              </w:rPr>
            </w:pPr>
            <w:r w:rsidRPr="00A96852">
              <w:rPr>
                <w:rFonts w:ascii="Gotham Book" w:hAnsi="Gotham Book" w:cs="Arial"/>
                <w:sz w:val="24"/>
                <w:szCs w:val="24"/>
                <w:lang w:eastAsia="en-AU"/>
              </w:rPr>
              <w:t>1.</w:t>
            </w:r>
          </w:p>
        </w:tc>
        <w:tc>
          <w:tcPr>
            <w:tcW w:w="2977" w:type="dxa"/>
          </w:tcPr>
          <w:p w:rsidR="00DA34E4" w:rsidRPr="00A96852" w:rsidRDefault="00A96852" w:rsidP="0034332C">
            <w:pPr>
              <w:rPr>
                <w:rFonts w:ascii="Gotham Book" w:hAnsi="Gotham Book" w:cs="Arial"/>
                <w:color w:val="000000"/>
                <w:sz w:val="24"/>
                <w:szCs w:val="24"/>
                <w:lang w:eastAsia="en-AU"/>
              </w:rPr>
            </w:pPr>
            <w:r w:rsidRPr="00A96852">
              <w:rPr>
                <w:rFonts w:ascii="Gotham Book" w:hAnsi="Gotham Book" w:cs="Arial"/>
                <w:color w:val="000000"/>
                <w:sz w:val="24"/>
                <w:szCs w:val="24"/>
                <w:lang w:eastAsia="en-AU"/>
              </w:rPr>
              <w:t>Increase the sale of our low carbon intensity products</w:t>
            </w:r>
          </w:p>
        </w:tc>
        <w:tc>
          <w:tcPr>
            <w:tcW w:w="5448" w:type="dxa"/>
          </w:tcPr>
          <w:p w:rsidR="00DA34E4" w:rsidRPr="00A96852" w:rsidRDefault="00D65ECF" w:rsidP="0034332C">
            <w:pPr>
              <w:rPr>
                <w:rFonts w:ascii="Gotham Book" w:hAnsi="Gotham Book" w:cs="Arial"/>
                <w:color w:val="000000"/>
                <w:sz w:val="24"/>
                <w:szCs w:val="24"/>
                <w:lang w:eastAsia="en-AU"/>
              </w:rPr>
            </w:pPr>
            <w:r>
              <w:rPr>
                <w:rFonts w:ascii="Gotham Book" w:hAnsi="Gotham Book" w:cs="Arial"/>
                <w:color w:val="000000"/>
                <w:sz w:val="24"/>
                <w:szCs w:val="24"/>
                <w:lang w:eastAsia="en-AU"/>
              </w:rPr>
              <w:t>This objective has not been achieved</w:t>
            </w:r>
            <w:r w:rsidR="00752F73">
              <w:rPr>
                <w:rFonts w:ascii="Gotham Book" w:hAnsi="Gotham Book" w:cs="Arial"/>
                <w:color w:val="000000"/>
                <w:sz w:val="24"/>
                <w:szCs w:val="24"/>
                <w:lang w:eastAsia="en-AU"/>
              </w:rPr>
              <w:t xml:space="preserve"> in any overall proportionate sense</w:t>
            </w:r>
            <w:r>
              <w:rPr>
                <w:rFonts w:ascii="Gotham Book" w:hAnsi="Gotham Book" w:cs="Arial"/>
                <w:color w:val="000000"/>
                <w:sz w:val="24"/>
                <w:szCs w:val="24"/>
                <w:lang w:eastAsia="en-AU"/>
              </w:rPr>
              <w:t xml:space="preserve">. </w:t>
            </w:r>
            <w:r w:rsidR="00752F73">
              <w:rPr>
                <w:rFonts w:ascii="Gotham Book" w:hAnsi="Gotham Book" w:cs="Arial"/>
                <w:color w:val="000000"/>
                <w:sz w:val="24"/>
                <w:szCs w:val="24"/>
                <w:lang w:eastAsia="en-AU"/>
              </w:rPr>
              <w:t>T</w:t>
            </w:r>
            <w:r>
              <w:rPr>
                <w:rFonts w:ascii="Gotham Book" w:hAnsi="Gotham Book" w:cs="Arial"/>
                <w:color w:val="000000"/>
                <w:sz w:val="24"/>
                <w:szCs w:val="24"/>
                <w:lang w:eastAsia="en-AU"/>
              </w:rPr>
              <w:t>he emissions intensity of Origin’s internal generation</w:t>
            </w:r>
            <w:r w:rsidR="00752F73">
              <w:rPr>
                <w:rFonts w:ascii="Gotham Book" w:hAnsi="Gotham Book" w:cs="Arial"/>
                <w:color w:val="000000"/>
                <w:sz w:val="24"/>
                <w:szCs w:val="24"/>
                <w:lang w:eastAsia="en-AU"/>
              </w:rPr>
              <w:t xml:space="preserve"> has more than doubled its 2009</w:t>
            </w:r>
            <w:r>
              <w:rPr>
                <w:rFonts w:ascii="Gotham Book" w:hAnsi="Gotham Book" w:cs="Arial"/>
                <w:color w:val="000000"/>
                <w:sz w:val="24"/>
                <w:szCs w:val="24"/>
                <w:lang w:eastAsia="en-AU"/>
              </w:rPr>
              <w:t xml:space="preserve"> on an equity basis.</w:t>
            </w:r>
            <w:r w:rsidR="00752F73">
              <w:rPr>
                <w:rFonts w:ascii="Gotham Book" w:hAnsi="Gotham Book" w:cs="Arial"/>
                <w:color w:val="000000"/>
                <w:sz w:val="24"/>
                <w:szCs w:val="24"/>
                <w:lang w:eastAsia="en-AU"/>
              </w:rPr>
              <w:t xml:space="preserve"> On an operational control basis it has increased approximately one quarter. </w:t>
            </w:r>
            <w:r>
              <w:rPr>
                <w:rFonts w:ascii="Gotham Book" w:hAnsi="Gotham Book" w:cs="Arial"/>
                <w:color w:val="000000"/>
                <w:sz w:val="24"/>
                <w:szCs w:val="24"/>
                <w:lang w:eastAsia="en-AU"/>
              </w:rPr>
              <w:t>In 2013/14 0.06% of Origin’s direct internal generation was attributable to renewables.</w:t>
            </w:r>
          </w:p>
        </w:tc>
      </w:tr>
      <w:tr w:rsidR="00DA34E4" w:rsidTr="00D65ECF">
        <w:tc>
          <w:tcPr>
            <w:tcW w:w="817" w:type="dxa"/>
          </w:tcPr>
          <w:p w:rsidR="00DA34E4" w:rsidRPr="00A96852" w:rsidRDefault="00A96852" w:rsidP="00A96852">
            <w:pPr>
              <w:rPr>
                <w:rFonts w:ascii="Gotham Book" w:hAnsi="Gotham Book" w:cs="Arial"/>
                <w:sz w:val="24"/>
                <w:szCs w:val="24"/>
                <w:lang w:eastAsia="en-AU"/>
              </w:rPr>
            </w:pPr>
            <w:r w:rsidRPr="00A96852">
              <w:rPr>
                <w:rFonts w:ascii="Gotham Book" w:hAnsi="Gotham Book" w:cs="Arial"/>
                <w:sz w:val="24"/>
                <w:szCs w:val="24"/>
                <w:lang w:eastAsia="en-AU"/>
              </w:rPr>
              <w:t>2.</w:t>
            </w:r>
          </w:p>
        </w:tc>
        <w:tc>
          <w:tcPr>
            <w:tcW w:w="2977" w:type="dxa"/>
          </w:tcPr>
          <w:p w:rsidR="00DA34E4" w:rsidRPr="00A96852" w:rsidRDefault="00A96852" w:rsidP="0034332C">
            <w:pPr>
              <w:rPr>
                <w:rFonts w:ascii="Gotham Book" w:hAnsi="Gotham Book" w:cs="Arial"/>
                <w:color w:val="000000"/>
                <w:sz w:val="24"/>
                <w:szCs w:val="24"/>
                <w:lang w:eastAsia="en-AU"/>
              </w:rPr>
            </w:pPr>
            <w:r w:rsidRPr="00A96852">
              <w:rPr>
                <w:rFonts w:ascii="Gotham Book" w:hAnsi="Gotham Book" w:cs="Arial"/>
                <w:color w:val="000000"/>
                <w:sz w:val="24"/>
                <w:szCs w:val="24"/>
                <w:lang w:eastAsia="en-AU"/>
              </w:rPr>
              <w:t>Reduce the greenhouse gas emissions intensity of our electricity supply chain</w:t>
            </w:r>
          </w:p>
        </w:tc>
        <w:tc>
          <w:tcPr>
            <w:tcW w:w="5448" w:type="dxa"/>
          </w:tcPr>
          <w:p w:rsidR="00DA34E4" w:rsidRPr="00A96852" w:rsidRDefault="00A96852" w:rsidP="0034332C">
            <w:pPr>
              <w:rPr>
                <w:rFonts w:ascii="Gotham Book" w:hAnsi="Gotham Book" w:cs="Arial"/>
                <w:color w:val="000000"/>
                <w:sz w:val="24"/>
                <w:szCs w:val="24"/>
                <w:lang w:eastAsia="en-AU"/>
              </w:rPr>
            </w:pPr>
            <w:r w:rsidRPr="00A96852">
              <w:rPr>
                <w:rFonts w:ascii="Gotham Book" w:hAnsi="Gotham Book" w:cs="Arial"/>
                <w:color w:val="000000"/>
                <w:sz w:val="24"/>
                <w:szCs w:val="24"/>
                <w:lang w:eastAsia="en-AU"/>
              </w:rPr>
              <w:t>This objective appears to have been dropped?</w:t>
            </w:r>
            <w:r w:rsidR="00D65ECF">
              <w:rPr>
                <w:rFonts w:ascii="Gotham Book" w:hAnsi="Gotham Book" w:cs="Arial"/>
                <w:color w:val="000000"/>
                <w:sz w:val="24"/>
                <w:szCs w:val="24"/>
                <w:lang w:eastAsia="en-AU"/>
              </w:rPr>
              <w:t xml:space="preserve"> It should be reinstated as part of a business model which provides for</w:t>
            </w:r>
            <w:r w:rsidR="00D65ECF">
              <w:rPr>
                <w:rFonts w:ascii="Gotham Book" w:eastAsia="Times New Roman" w:hAnsi="Gotham Book" w:cs="Arial"/>
                <w:lang w:eastAsia="en-AU"/>
              </w:rPr>
              <w:t xml:space="preserve"> quantitative, monotonic decreasing annual targets for emissions or emission intensity over the next decade.</w:t>
            </w:r>
          </w:p>
        </w:tc>
      </w:tr>
      <w:tr w:rsidR="00A96852" w:rsidTr="00D65ECF">
        <w:tc>
          <w:tcPr>
            <w:tcW w:w="817" w:type="dxa"/>
          </w:tcPr>
          <w:p w:rsidR="00A96852" w:rsidRPr="00A96852" w:rsidRDefault="00A96852" w:rsidP="00A96852">
            <w:pPr>
              <w:rPr>
                <w:rFonts w:ascii="Gotham Book" w:hAnsi="Gotham Book" w:cs="Arial"/>
                <w:sz w:val="24"/>
                <w:szCs w:val="24"/>
                <w:lang w:eastAsia="en-AU"/>
              </w:rPr>
            </w:pPr>
            <w:r w:rsidRPr="00A96852">
              <w:rPr>
                <w:rFonts w:ascii="Gotham Book" w:hAnsi="Gotham Book" w:cs="Arial"/>
                <w:sz w:val="24"/>
                <w:szCs w:val="24"/>
                <w:lang w:eastAsia="en-AU"/>
              </w:rPr>
              <w:t>3.</w:t>
            </w:r>
          </w:p>
        </w:tc>
        <w:tc>
          <w:tcPr>
            <w:tcW w:w="2977" w:type="dxa"/>
          </w:tcPr>
          <w:p w:rsidR="00A96852" w:rsidRPr="00A96852" w:rsidRDefault="00A96852" w:rsidP="0034332C">
            <w:pPr>
              <w:rPr>
                <w:rFonts w:ascii="Gotham Book" w:hAnsi="Gotham Book" w:cs="Arial"/>
                <w:color w:val="000000"/>
                <w:sz w:val="24"/>
                <w:szCs w:val="24"/>
                <w:lang w:eastAsia="en-AU"/>
              </w:rPr>
            </w:pPr>
            <w:r>
              <w:rPr>
                <w:rFonts w:ascii="Gotham Book" w:hAnsi="Gotham Book" w:cs="Arial"/>
                <w:color w:val="000000"/>
                <w:sz w:val="24"/>
                <w:szCs w:val="24"/>
                <w:lang w:eastAsia="en-AU"/>
              </w:rPr>
              <w:t>Reduce the greenhouse gas emissions intensity of our gas production</w:t>
            </w:r>
          </w:p>
        </w:tc>
        <w:tc>
          <w:tcPr>
            <w:tcW w:w="5448" w:type="dxa"/>
          </w:tcPr>
          <w:p w:rsidR="00A96852" w:rsidRPr="00A96852" w:rsidRDefault="00752F73" w:rsidP="0034332C">
            <w:pPr>
              <w:rPr>
                <w:rFonts w:ascii="Gotham Book" w:hAnsi="Gotham Book" w:cs="Arial"/>
                <w:color w:val="000000"/>
                <w:sz w:val="24"/>
                <w:szCs w:val="24"/>
                <w:lang w:eastAsia="en-AU"/>
              </w:rPr>
            </w:pPr>
            <w:r>
              <w:rPr>
                <w:rFonts w:ascii="Gotham Book" w:hAnsi="Gotham Book" w:cs="Arial"/>
                <w:color w:val="000000"/>
                <w:sz w:val="24"/>
                <w:szCs w:val="24"/>
                <w:lang w:eastAsia="en-AU"/>
              </w:rPr>
              <w:t>Achieved</w:t>
            </w:r>
          </w:p>
        </w:tc>
      </w:tr>
      <w:tr w:rsidR="00A96852" w:rsidTr="00D65ECF">
        <w:tc>
          <w:tcPr>
            <w:tcW w:w="817" w:type="dxa"/>
          </w:tcPr>
          <w:p w:rsidR="00A96852" w:rsidRPr="00A96852" w:rsidRDefault="00A96852" w:rsidP="00A96852">
            <w:pPr>
              <w:rPr>
                <w:rFonts w:ascii="Gotham Book" w:hAnsi="Gotham Book" w:cs="Arial"/>
                <w:sz w:val="24"/>
                <w:szCs w:val="24"/>
                <w:lang w:eastAsia="en-AU"/>
              </w:rPr>
            </w:pPr>
            <w:r w:rsidRPr="00A96852">
              <w:rPr>
                <w:rFonts w:ascii="Gotham Book" w:hAnsi="Gotham Book" w:cs="Arial"/>
                <w:sz w:val="24"/>
                <w:szCs w:val="24"/>
                <w:lang w:eastAsia="en-AU"/>
              </w:rPr>
              <w:t>4.</w:t>
            </w:r>
          </w:p>
        </w:tc>
        <w:tc>
          <w:tcPr>
            <w:tcW w:w="2977" w:type="dxa"/>
          </w:tcPr>
          <w:p w:rsidR="00A96852" w:rsidRPr="00A96852" w:rsidRDefault="00A96852" w:rsidP="0034332C">
            <w:pPr>
              <w:rPr>
                <w:rFonts w:ascii="Gotham Book" w:hAnsi="Gotham Book" w:cs="Arial"/>
                <w:color w:val="000000"/>
                <w:sz w:val="24"/>
                <w:szCs w:val="24"/>
                <w:lang w:eastAsia="en-AU"/>
              </w:rPr>
            </w:pPr>
            <w:r>
              <w:rPr>
                <w:rFonts w:ascii="Gotham Book" w:hAnsi="Gotham Book" w:cs="Arial"/>
                <w:color w:val="000000"/>
                <w:sz w:val="24"/>
                <w:szCs w:val="24"/>
                <w:lang w:eastAsia="en-AU"/>
              </w:rPr>
              <w:t>Reduce or offset all emissions from our non—energy producing sites</w:t>
            </w:r>
          </w:p>
        </w:tc>
        <w:tc>
          <w:tcPr>
            <w:tcW w:w="5448" w:type="dxa"/>
          </w:tcPr>
          <w:p w:rsidR="00A96852" w:rsidRPr="00A96852" w:rsidRDefault="00752F73" w:rsidP="00725472">
            <w:pPr>
              <w:rPr>
                <w:rFonts w:ascii="Gotham Book" w:hAnsi="Gotham Book" w:cs="Arial"/>
                <w:color w:val="000000"/>
                <w:sz w:val="24"/>
                <w:szCs w:val="24"/>
                <w:lang w:eastAsia="en-AU"/>
              </w:rPr>
            </w:pPr>
            <w:r>
              <w:rPr>
                <w:rFonts w:ascii="Gotham Book" w:hAnsi="Gotham Book" w:cs="Arial"/>
                <w:color w:val="000000"/>
                <w:sz w:val="24"/>
                <w:szCs w:val="24"/>
                <w:lang w:eastAsia="en-AU"/>
              </w:rPr>
              <w:t>Achieved</w:t>
            </w:r>
          </w:p>
        </w:tc>
      </w:tr>
    </w:tbl>
    <w:p w:rsidR="00383E73" w:rsidRDefault="00383E73" w:rsidP="0034332C">
      <w:pPr>
        <w:rPr>
          <w:rFonts w:ascii="Arial" w:hAnsi="Arial" w:cs="Arial"/>
          <w:color w:val="000000"/>
          <w:sz w:val="20"/>
          <w:szCs w:val="20"/>
          <w:lang w:eastAsia="en-AU"/>
        </w:rPr>
      </w:pPr>
    </w:p>
    <w:sectPr w:rsidR="00383E73" w:rsidSect="009F6DCD">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C0" w:rsidRDefault="000A1EC0" w:rsidP="004330EC">
      <w:pPr>
        <w:spacing w:after="0" w:line="240" w:lineRule="auto"/>
      </w:pPr>
      <w:r>
        <w:separator/>
      </w:r>
    </w:p>
  </w:endnote>
  <w:endnote w:type="continuationSeparator" w:id="0">
    <w:p w:rsidR="000A1EC0" w:rsidRDefault="000A1EC0" w:rsidP="00433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156957"/>
      <w:docPartObj>
        <w:docPartGallery w:val="Page Numbers (Bottom of Page)"/>
        <w:docPartUnique/>
      </w:docPartObj>
    </w:sdtPr>
    <w:sdtEndPr>
      <w:rPr>
        <w:noProof/>
      </w:rPr>
    </w:sdtEndPr>
    <w:sdtContent>
      <w:p w:rsidR="008A3DB1" w:rsidRDefault="009F6DCD">
        <w:pPr>
          <w:pStyle w:val="Footer"/>
          <w:jc w:val="right"/>
        </w:pPr>
        <w:r>
          <w:fldChar w:fldCharType="begin"/>
        </w:r>
        <w:r w:rsidR="008A3DB1">
          <w:instrText xml:space="preserve"> PAGE   \* MERGEFORMAT </w:instrText>
        </w:r>
        <w:r>
          <w:fldChar w:fldCharType="separate"/>
        </w:r>
        <w:r w:rsidR="005C5405">
          <w:rPr>
            <w:noProof/>
          </w:rPr>
          <w:t>1</w:t>
        </w:r>
        <w:r>
          <w:rPr>
            <w:noProof/>
          </w:rPr>
          <w:fldChar w:fldCharType="end"/>
        </w:r>
      </w:p>
    </w:sdtContent>
  </w:sdt>
  <w:p w:rsidR="004330EC" w:rsidRDefault="00433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C0" w:rsidRDefault="000A1EC0" w:rsidP="004330EC">
      <w:pPr>
        <w:spacing w:after="0" w:line="240" w:lineRule="auto"/>
      </w:pPr>
      <w:r>
        <w:separator/>
      </w:r>
    </w:p>
  </w:footnote>
  <w:footnote w:type="continuationSeparator" w:id="0">
    <w:p w:rsidR="000A1EC0" w:rsidRDefault="000A1EC0" w:rsidP="004330EC">
      <w:pPr>
        <w:spacing w:after="0" w:line="240" w:lineRule="auto"/>
      </w:pPr>
      <w:r>
        <w:continuationSeparator/>
      </w:r>
    </w:p>
  </w:footnote>
  <w:footnote w:id="1">
    <w:p w:rsidR="00F62AAA" w:rsidRPr="00F704C9" w:rsidRDefault="00F62AAA">
      <w:pPr>
        <w:pStyle w:val="FootnoteText"/>
      </w:pPr>
      <w:r w:rsidRPr="0034332C">
        <w:rPr>
          <w:rStyle w:val="FootnoteReference"/>
          <w:rFonts w:ascii="Gotham Book" w:hAnsi="Gotham Book"/>
        </w:rPr>
        <w:footnoteRef/>
      </w:r>
      <w:r w:rsidRPr="0034332C">
        <w:rPr>
          <w:rFonts w:ascii="Gotham Book" w:hAnsi="Gotham Book"/>
        </w:rPr>
        <w:t xml:space="preserve"> </w:t>
      </w:r>
      <w:r w:rsidR="008324A2">
        <w:t xml:space="preserve">See </w:t>
      </w:r>
      <w:hyperlink r:id="rId1" w:history="1">
        <w:r w:rsidR="008324A2" w:rsidRPr="00645D5B">
          <w:rPr>
            <w:rStyle w:val="Hyperlink"/>
          </w:rPr>
          <w:t>http://www.accr.org.au/power</w:t>
        </w:r>
      </w:hyperlink>
      <w:r w:rsidR="008324A2">
        <w:t xml:space="preserve"> .</w:t>
      </w:r>
    </w:p>
  </w:footnote>
  <w:footnote w:id="2">
    <w:p w:rsidR="00074821" w:rsidRPr="000B264E" w:rsidRDefault="00074821" w:rsidP="000B264E">
      <w:pPr>
        <w:spacing w:after="0"/>
        <w:rPr>
          <w:sz w:val="20"/>
          <w:szCs w:val="20"/>
        </w:rPr>
      </w:pPr>
      <w:r>
        <w:rPr>
          <w:rStyle w:val="FootnoteReference"/>
        </w:rPr>
        <w:footnoteRef/>
      </w:r>
      <w:r>
        <w:t xml:space="preserve"> </w:t>
      </w:r>
      <w:r w:rsidRPr="000B264E">
        <w:rPr>
          <w:sz w:val="20"/>
          <w:szCs w:val="20"/>
        </w:rPr>
        <w:t xml:space="preserve">See Position paper on Post 2020 emission reduction targets for Australia, IGCC, Australia and New Zealand, April 2015 at </w:t>
      </w:r>
      <w:hyperlink r:id="rId2" w:history="1">
        <w:r w:rsidR="004D6E94" w:rsidRPr="000B264E">
          <w:rPr>
            <w:rStyle w:val="Hyperlink"/>
            <w:sz w:val="20"/>
            <w:szCs w:val="20"/>
          </w:rPr>
          <w:t>http://www.igcc.org.au/Resources/Documents/IGCC%20INDC%20discussion%20paper_150424.pdf</w:t>
        </w:r>
      </w:hyperlink>
      <w:r w:rsidRPr="000B264E">
        <w:rPr>
          <w:sz w:val="20"/>
          <w:szCs w:val="20"/>
        </w:rPr>
        <w:t>.</w:t>
      </w:r>
    </w:p>
  </w:footnote>
  <w:footnote w:id="3">
    <w:p w:rsidR="00161F27" w:rsidRPr="000B264E" w:rsidRDefault="00161F27" w:rsidP="000B264E">
      <w:pPr>
        <w:pStyle w:val="FootnoteText"/>
      </w:pPr>
      <w:r w:rsidRPr="000B264E">
        <w:rPr>
          <w:rStyle w:val="FootnoteReference"/>
        </w:rPr>
        <w:footnoteRef/>
      </w:r>
      <w:r w:rsidRPr="000B264E">
        <w:t xml:space="preserve"> Globally, fossil fuel subsidies are estimated to exceed renewable subsidies by about a factor of six.</w:t>
      </w:r>
      <w:r w:rsidR="003D0C0C" w:rsidRPr="000B264E">
        <w:t xml:space="preserve"> This encompasses transport as well as stationary energy usage.</w:t>
      </w:r>
      <w:r w:rsidRPr="000B264E">
        <w:t xml:space="preserve"> In Australia, </w:t>
      </w:r>
      <w:r w:rsidR="003D0C0C" w:rsidRPr="000B264E">
        <w:t xml:space="preserve">‘subsidy and subsidy equivalent’ </w:t>
      </w:r>
      <w:r w:rsidRPr="000B264E">
        <w:t>public policy contribution towards stationary fossil fuel emissions increase is estimated to exceed public policy contribution towards emission reductions by a factor of over two.</w:t>
      </w:r>
    </w:p>
  </w:footnote>
  <w:footnote w:id="4">
    <w:p w:rsidR="00161F27" w:rsidRPr="000B264E" w:rsidRDefault="00161F27">
      <w:pPr>
        <w:pStyle w:val="FootnoteText"/>
      </w:pPr>
      <w:r w:rsidRPr="000B264E">
        <w:rPr>
          <w:rStyle w:val="FootnoteReference"/>
        </w:rPr>
        <w:footnoteRef/>
      </w:r>
      <w:r w:rsidRPr="000B264E">
        <w:t xml:space="preserve"> </w:t>
      </w:r>
      <w:r w:rsidR="00C10E05" w:rsidRPr="000B264E">
        <w:t>Subsequent to the purchase of Macquarie Generation.</w:t>
      </w:r>
    </w:p>
  </w:footnote>
  <w:footnote w:id="5">
    <w:p w:rsidR="00DA34E4" w:rsidRPr="008A3DB1" w:rsidRDefault="00DA34E4" w:rsidP="008A3DB1">
      <w:pPr>
        <w:pStyle w:val="FootnoteText"/>
      </w:pPr>
      <w:r>
        <w:rPr>
          <w:rStyle w:val="FootnoteReference"/>
        </w:rPr>
        <w:footnoteRef/>
      </w:r>
      <w:r>
        <w:t xml:space="preserve"> </w:t>
      </w:r>
      <w:r w:rsidRPr="008A3DB1">
        <w:t xml:space="preserve">See pp 37 &amp; 45 of </w:t>
      </w:r>
      <w:hyperlink r:id="rId3" w:history="1">
        <w:r w:rsidRPr="008A3DB1">
          <w:rPr>
            <w:rStyle w:val="Hyperlink"/>
          </w:rPr>
          <w:t>http://www.agl.com.au/~/media/AGL/About%20AGL/Documents/Media%20Center/Investor%20Center/2014/2014Results_Pres_release.pdf</w:t>
        </w:r>
      </w:hyperlink>
      <w:r w:rsidRPr="008A3DB1">
        <w:t xml:space="preserve"> . </w:t>
      </w:r>
    </w:p>
  </w:footnote>
  <w:footnote w:id="6">
    <w:p w:rsidR="00383E73" w:rsidRPr="008A3DB1" w:rsidRDefault="00383E73" w:rsidP="008A3DB1">
      <w:pPr>
        <w:pStyle w:val="FootnoteText"/>
      </w:pPr>
      <w:r w:rsidRPr="008A3DB1">
        <w:rPr>
          <w:rStyle w:val="FootnoteReference"/>
        </w:rPr>
        <w:footnoteRef/>
      </w:r>
      <w:r w:rsidRPr="008A3DB1">
        <w:t xml:space="preserve">See </w:t>
      </w:r>
      <w:hyperlink r:id="rId4" w:history="1">
        <w:r w:rsidRPr="008A3DB1">
          <w:rPr>
            <w:rStyle w:val="Hyperlink"/>
          </w:rPr>
          <w:t>http://www.agl.com.au/~/media/AGL/About%20AGL/Documents/How%20We%20Source%20Energy/CSG%20and%20the%20Environment/Camden/Northern%20Expansion/V3_Appendix%20H.pdf</w:t>
        </w:r>
      </w:hyperlink>
      <w:r w:rsidRPr="008A3DB1">
        <w:t xml:space="preserve"> p 14.</w:t>
      </w:r>
    </w:p>
  </w:footnote>
  <w:footnote w:id="7">
    <w:p w:rsidR="00383E73" w:rsidRPr="008A3DB1" w:rsidRDefault="00383E73" w:rsidP="008A3DB1">
      <w:pPr>
        <w:pStyle w:val="FootnoteText"/>
      </w:pPr>
      <w:r w:rsidRPr="008A3DB1">
        <w:rPr>
          <w:rStyle w:val="FootnoteReference"/>
        </w:rPr>
        <w:footnoteRef/>
      </w:r>
      <w:r w:rsidRPr="008A3DB1">
        <w:t xml:space="preserve"> See </w:t>
      </w:r>
      <w:hyperlink r:id="rId5" w:history="1">
        <w:r w:rsidRPr="008A3DB1">
          <w:rPr>
            <w:rStyle w:val="Hyperlink"/>
          </w:rPr>
          <w:t>http://2012.aglsustainability.com.au/files/assets/basic-html/page68.html</w:t>
        </w:r>
      </w:hyperlink>
      <w:r w:rsidRPr="008A3DB1">
        <w:t xml:space="preserve"> .</w:t>
      </w:r>
    </w:p>
  </w:footnote>
  <w:footnote w:id="8">
    <w:p w:rsidR="00383E73" w:rsidRPr="008A3DB1" w:rsidRDefault="00383E73" w:rsidP="008A3DB1">
      <w:pPr>
        <w:pStyle w:val="FootnoteText"/>
      </w:pPr>
      <w:r w:rsidRPr="008A3DB1">
        <w:rPr>
          <w:rStyle w:val="FootnoteReference"/>
        </w:rPr>
        <w:footnoteRef/>
      </w:r>
      <w:r w:rsidRPr="008A3DB1">
        <w:t xml:space="preserve"> See </w:t>
      </w:r>
      <w:hyperlink r:id="rId6" w:history="1">
        <w:r w:rsidRPr="008A3DB1">
          <w:rPr>
            <w:rStyle w:val="Hyperlink"/>
          </w:rPr>
          <w:t>http://agl2014.sustainability-report.com.au/environment/greenhouse-and-energy</w:t>
        </w:r>
      </w:hyperlink>
      <w:r w:rsidRPr="008A3DB1">
        <w:t xml:space="preserve"> .</w:t>
      </w:r>
    </w:p>
  </w:footnote>
  <w:footnote w:id="9">
    <w:p w:rsidR="00383E73" w:rsidRPr="008A3DB1" w:rsidRDefault="00383E73" w:rsidP="008A3DB1">
      <w:pPr>
        <w:pStyle w:val="Heading4"/>
        <w:spacing w:before="0" w:line="240" w:lineRule="auto"/>
        <w:rPr>
          <w:rFonts w:asciiTheme="minorHAnsi" w:hAnsiTheme="minorHAnsi"/>
          <w:b w:val="0"/>
          <w:sz w:val="20"/>
          <w:szCs w:val="20"/>
        </w:rPr>
      </w:pPr>
      <w:r w:rsidRPr="008A3DB1">
        <w:rPr>
          <w:rStyle w:val="FootnoteReference"/>
          <w:rFonts w:asciiTheme="minorHAnsi" w:hAnsiTheme="minorHAnsi"/>
          <w:sz w:val="20"/>
          <w:szCs w:val="20"/>
        </w:rPr>
        <w:footnoteRef/>
      </w:r>
      <w:r w:rsidRPr="008A3DB1">
        <w:rPr>
          <w:rFonts w:asciiTheme="minorHAnsi" w:hAnsiTheme="minorHAnsi"/>
          <w:b w:val="0"/>
          <w:sz w:val="20"/>
          <w:szCs w:val="20"/>
        </w:rPr>
        <w:t xml:space="preserve"> See the graph entitled ‘Carbon intensity of operated generation assets’ at </w:t>
      </w:r>
      <w:hyperlink r:id="rId7" w:history="1">
        <w:r w:rsidRPr="008A3DB1">
          <w:rPr>
            <w:rStyle w:val="Hyperlink"/>
            <w:rFonts w:asciiTheme="minorHAnsi" w:hAnsiTheme="minorHAnsi"/>
            <w:b w:val="0"/>
            <w:sz w:val="20"/>
            <w:szCs w:val="20"/>
          </w:rPr>
          <w:t>http://agl2014.sustainability-report.com.au/data-centre/environment</w:t>
        </w:r>
      </w:hyperlink>
      <w:r w:rsidRPr="008A3DB1">
        <w:rPr>
          <w:rFonts w:asciiTheme="minorHAnsi" w:hAnsiTheme="minorHAnsi"/>
          <w:b w:val="0"/>
          <w:sz w:val="20"/>
          <w:szCs w:val="20"/>
        </w:rPr>
        <w:t xml:space="preserve"> .</w:t>
      </w:r>
    </w:p>
  </w:footnote>
  <w:footnote w:id="10">
    <w:p w:rsidR="00383E73" w:rsidRPr="008A3DB1" w:rsidRDefault="00383E73" w:rsidP="008A3DB1">
      <w:pPr>
        <w:pStyle w:val="FootnoteText"/>
      </w:pPr>
      <w:r w:rsidRPr="008A3DB1">
        <w:rPr>
          <w:rStyle w:val="FootnoteReference"/>
        </w:rPr>
        <w:footnoteRef/>
      </w:r>
      <w:r w:rsidRPr="008A3DB1">
        <w:t xml:space="preserve"> See Fig 18 of ACIL Allen Consulting </w:t>
      </w:r>
      <w:r w:rsidRPr="008A3DB1">
        <w:rPr>
          <w:i/>
        </w:rPr>
        <w:t xml:space="preserve">Emission Factors </w:t>
      </w:r>
      <w:r w:rsidRPr="008A3DB1">
        <w:t xml:space="preserve">2014 at </w:t>
      </w:r>
      <w:hyperlink r:id="rId8" w:history="1">
        <w:r w:rsidRPr="008A3DB1">
          <w:rPr>
            <w:rStyle w:val="Hyperlink"/>
          </w:rPr>
          <w:t>www.aemo.com.</w:t>
        </w:r>
        <w:r w:rsidRPr="008A3DB1">
          <w:rPr>
            <w:rStyle w:val="Hyperlink"/>
            <w:bCs/>
          </w:rPr>
          <w:t>au</w:t>
        </w:r>
      </w:hyperlink>
      <w:r w:rsidRPr="008A3DB1">
        <w:rPr>
          <w:rStyle w:val="HTMLCite"/>
        </w:rPr>
        <w:t xml:space="preserve"> .</w:t>
      </w:r>
    </w:p>
  </w:footnote>
  <w:footnote w:id="11">
    <w:p w:rsidR="00383E73" w:rsidRDefault="00383E73" w:rsidP="008A3DB1">
      <w:pPr>
        <w:pStyle w:val="FootnoteText"/>
      </w:pPr>
      <w:r w:rsidRPr="008A3DB1">
        <w:rPr>
          <w:rStyle w:val="FootnoteReference"/>
        </w:rPr>
        <w:footnoteRef/>
      </w:r>
      <w:r w:rsidRPr="008A3DB1">
        <w:t xml:space="preserve"> See </w:t>
      </w:r>
      <w:hyperlink r:id="rId9" w:history="1">
        <w:r w:rsidRPr="008A3DB1">
          <w:rPr>
            <w:rStyle w:val="Hyperlink"/>
          </w:rPr>
          <w:t>http://www.agl.com.au/~/media/AGL/About%20AGL/Documents/Media%20Center/Corporate%20Governance%20Policies%20Charter/1704015_GHG_Policy_Final.pdf</w:t>
        </w:r>
      </w:hyperlink>
      <w:r>
        <w:t xml:space="preserve"> .</w:t>
      </w:r>
    </w:p>
  </w:footnote>
  <w:footnote w:id="12">
    <w:p w:rsidR="00383E73" w:rsidRDefault="00383E73" w:rsidP="00383E73">
      <w:pPr>
        <w:pStyle w:val="FootnoteText"/>
      </w:pPr>
      <w:r>
        <w:rPr>
          <w:rStyle w:val="FootnoteReference"/>
        </w:rPr>
        <w:footnoteRef/>
      </w:r>
      <w:r>
        <w:t xml:space="preserve"> On an equity basis, see </w:t>
      </w:r>
      <w:hyperlink r:id="rId10" w:history="1">
        <w:r w:rsidRPr="0044544C">
          <w:rPr>
            <w:rStyle w:val="Hyperlink"/>
          </w:rPr>
          <w:t>http://www.originenergy.com.au/sustainability/sites/default/files/gri_download/GRI_environment.pdf</w:t>
        </w:r>
      </w:hyperlink>
      <w:r>
        <w:t xml:space="preserve"> p 8.</w:t>
      </w:r>
    </w:p>
  </w:footnote>
  <w:footnote w:id="13">
    <w:p w:rsidR="00383E73" w:rsidRDefault="00383E73" w:rsidP="00383E73">
      <w:pPr>
        <w:pStyle w:val="FootnoteText"/>
      </w:pPr>
      <w:r>
        <w:rPr>
          <w:rStyle w:val="FootnoteReference"/>
        </w:rPr>
        <w:footnoteRef/>
      </w:r>
      <w:r>
        <w:t xml:space="preserve"> See </w:t>
      </w:r>
      <w:hyperlink r:id="rId11" w:history="1">
        <w:r w:rsidRPr="0044544C">
          <w:rPr>
            <w:rStyle w:val="Hyperlink"/>
          </w:rPr>
          <w:t>http://reports.originenergy.com.au/2010/sustainability/gri/energy_use_and_air_emissions/</w:t>
        </w:r>
      </w:hyperlink>
      <w:r>
        <w:t xml:space="preserve"> .</w:t>
      </w:r>
    </w:p>
  </w:footnote>
  <w:footnote w:id="14">
    <w:p w:rsidR="00383E73" w:rsidRDefault="00383E73" w:rsidP="00383E73">
      <w:pPr>
        <w:pStyle w:val="FootnoteText"/>
      </w:pPr>
      <w:r>
        <w:rPr>
          <w:rStyle w:val="FootnoteReference"/>
        </w:rPr>
        <w:footnoteRef/>
      </w:r>
      <w:r>
        <w:t xml:space="preserve"> That is for electricity supplied to Origin’s customers. </w:t>
      </w:r>
    </w:p>
  </w:footnote>
  <w:footnote w:id="15">
    <w:p w:rsidR="00383E73" w:rsidRDefault="00383E73" w:rsidP="00383E73">
      <w:pPr>
        <w:pStyle w:val="FootnoteText"/>
      </w:pPr>
      <w:r>
        <w:rPr>
          <w:rStyle w:val="FootnoteReference"/>
        </w:rPr>
        <w:footnoteRef/>
      </w:r>
      <w:r>
        <w:t xml:space="preserve"> In the years 2007, 08 and 09 Origin's supply chain emissions intensity was similar to the grid average. See </w:t>
      </w:r>
      <w:hyperlink r:id="rId12" w:anchor="two" w:history="1">
        <w:r w:rsidRPr="0044544C">
          <w:rPr>
            <w:rStyle w:val="Hyperlink"/>
          </w:rPr>
          <w:t>http://reports.originenergy.com.au/2010/sustainability/our_communities/5-year-strategies/#two</w:t>
        </w:r>
      </w:hyperlink>
      <w:r>
        <w:t xml:space="preserve"> . Current disclosure focuses on the emissions intensity of Origin's internal generation which has nearly doubled over the past 3 years on an equity basis. Nevertheless, on an operational control basis it is now about 10% under the grid average. See p 9 of </w:t>
      </w:r>
      <w:hyperlink r:id="rId13" w:history="1">
        <w:r w:rsidRPr="0044544C">
          <w:rPr>
            <w:rStyle w:val="Hyperlink"/>
          </w:rPr>
          <w:t>http://www.originenergy.com.au/sustainability/sites/default/files/gri_download/GRI_environment.pdf</w:t>
        </w:r>
      </w:hyperlink>
      <w:r>
        <w:t xml:space="preserve"> . See also chart 3 of </w:t>
      </w:r>
      <w:hyperlink r:id="rId14" w:history="1">
        <w:r w:rsidRPr="0044544C">
          <w:rPr>
            <w:rStyle w:val="Hyperlink"/>
          </w:rPr>
          <w:t>http://www.originenergy.com.au/sustainability/material-aspects/emissions</w:t>
        </w:r>
      </w:hyperlink>
      <w:r>
        <w:t xml:space="preserve"> </w:t>
      </w:r>
      <w:r w:rsidR="00DA34E4">
        <w:t>.</w:t>
      </w:r>
    </w:p>
  </w:footnote>
  <w:footnote w:id="16">
    <w:p w:rsidR="00725472" w:rsidRPr="00752F73" w:rsidRDefault="00725472" w:rsidP="00725472">
      <w:pPr>
        <w:pStyle w:val="FootnoteText"/>
      </w:pPr>
      <w:r>
        <w:rPr>
          <w:rStyle w:val="FootnoteReference"/>
        </w:rPr>
        <w:footnoteRef/>
      </w:r>
      <w:r>
        <w:t xml:space="preserve"> See</w:t>
      </w:r>
      <w:r w:rsidRPr="00752F73">
        <w:t xml:space="preserve"> </w:t>
      </w:r>
      <w:hyperlink r:id="rId15" w:history="1">
        <w:r w:rsidRPr="00B8593C">
          <w:rPr>
            <w:rStyle w:val="Hyperlink"/>
          </w:rPr>
          <w:t>http://www.originenergy.com.au/content/dam/origin/about/our-approach/docs/sustainability-gri-environment-2014.pdf</w:t>
        </w:r>
      </w:hyperlink>
      <w:r>
        <w:t xml:space="preserve"> p 9.</w:t>
      </w:r>
    </w:p>
    <w:p w:rsidR="00725472" w:rsidRDefault="0072547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52D"/>
    <w:multiLevelType w:val="hybridMultilevel"/>
    <w:tmpl w:val="CA7A3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B2E2EA2"/>
    <w:multiLevelType w:val="hybridMultilevel"/>
    <w:tmpl w:val="84CE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C96BD1"/>
    <w:multiLevelType w:val="hybridMultilevel"/>
    <w:tmpl w:val="C7BE4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A7243A"/>
    <w:multiLevelType w:val="hybridMultilevel"/>
    <w:tmpl w:val="D4A41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3C261A"/>
    <w:multiLevelType w:val="hybridMultilevel"/>
    <w:tmpl w:val="87925156"/>
    <w:lvl w:ilvl="0" w:tplc="985A620A">
      <w:start w:val="10"/>
      <w:numFmt w:val="bullet"/>
      <w:lvlText w:val="-"/>
      <w:lvlJc w:val="left"/>
      <w:pPr>
        <w:ind w:left="5400" w:hanging="360"/>
      </w:pPr>
      <w:rPr>
        <w:rFonts w:ascii="Calibri" w:eastAsiaTheme="minorHAnsi" w:hAnsi="Calibri" w:cstheme="minorBidi"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5">
    <w:nsid w:val="59D87731"/>
    <w:multiLevelType w:val="hybridMultilevel"/>
    <w:tmpl w:val="E0468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C54FC"/>
    <w:rsid w:val="00074821"/>
    <w:rsid w:val="00087BC4"/>
    <w:rsid w:val="000A1EC0"/>
    <w:rsid w:val="000A455A"/>
    <w:rsid w:val="000A5D43"/>
    <w:rsid w:val="000B264E"/>
    <w:rsid w:val="000C437D"/>
    <w:rsid w:val="00150C05"/>
    <w:rsid w:val="00161F27"/>
    <w:rsid w:val="001B3572"/>
    <w:rsid w:val="001D67EE"/>
    <w:rsid w:val="00214D30"/>
    <w:rsid w:val="002525F2"/>
    <w:rsid w:val="002533CC"/>
    <w:rsid w:val="002E26D7"/>
    <w:rsid w:val="0034332C"/>
    <w:rsid w:val="00383E73"/>
    <w:rsid w:val="003D0C0C"/>
    <w:rsid w:val="004330EC"/>
    <w:rsid w:val="004925E7"/>
    <w:rsid w:val="004B0F19"/>
    <w:rsid w:val="004B54D4"/>
    <w:rsid w:val="004D49EF"/>
    <w:rsid w:val="004D6E94"/>
    <w:rsid w:val="00533564"/>
    <w:rsid w:val="00572AA4"/>
    <w:rsid w:val="005979D8"/>
    <w:rsid w:val="005C5405"/>
    <w:rsid w:val="00626019"/>
    <w:rsid w:val="0064449E"/>
    <w:rsid w:val="00666C3E"/>
    <w:rsid w:val="00694ECD"/>
    <w:rsid w:val="006A7163"/>
    <w:rsid w:val="00725472"/>
    <w:rsid w:val="0073571B"/>
    <w:rsid w:val="00752F73"/>
    <w:rsid w:val="00784098"/>
    <w:rsid w:val="007C72A0"/>
    <w:rsid w:val="00813C41"/>
    <w:rsid w:val="00816025"/>
    <w:rsid w:val="008324A2"/>
    <w:rsid w:val="00843E08"/>
    <w:rsid w:val="00853AF0"/>
    <w:rsid w:val="00870233"/>
    <w:rsid w:val="00891F2C"/>
    <w:rsid w:val="008A0C7C"/>
    <w:rsid w:val="008A3DB1"/>
    <w:rsid w:val="009B2C20"/>
    <w:rsid w:val="009E18CF"/>
    <w:rsid w:val="009F1AF8"/>
    <w:rsid w:val="009F6DCD"/>
    <w:rsid w:val="00A96852"/>
    <w:rsid w:val="00AA54F7"/>
    <w:rsid w:val="00AE3645"/>
    <w:rsid w:val="00AF0482"/>
    <w:rsid w:val="00B84480"/>
    <w:rsid w:val="00B97DC9"/>
    <w:rsid w:val="00C04602"/>
    <w:rsid w:val="00C10E05"/>
    <w:rsid w:val="00C74F76"/>
    <w:rsid w:val="00CC54FC"/>
    <w:rsid w:val="00CD7BDA"/>
    <w:rsid w:val="00CF7B6B"/>
    <w:rsid w:val="00D1384B"/>
    <w:rsid w:val="00D54F5A"/>
    <w:rsid w:val="00D65ECF"/>
    <w:rsid w:val="00D72E95"/>
    <w:rsid w:val="00DA34E4"/>
    <w:rsid w:val="00DA7D00"/>
    <w:rsid w:val="00DB5654"/>
    <w:rsid w:val="00DC0785"/>
    <w:rsid w:val="00DD5BB7"/>
    <w:rsid w:val="00DF7FB0"/>
    <w:rsid w:val="00E45ED3"/>
    <w:rsid w:val="00E942C8"/>
    <w:rsid w:val="00EF1028"/>
    <w:rsid w:val="00F152F9"/>
    <w:rsid w:val="00F36B59"/>
    <w:rsid w:val="00F62AAA"/>
    <w:rsid w:val="00F704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CD"/>
  </w:style>
  <w:style w:type="paragraph" w:styleId="Heading2">
    <w:name w:val="heading 2"/>
    <w:basedOn w:val="Normal"/>
    <w:link w:val="Heading2Char"/>
    <w:uiPriority w:val="9"/>
    <w:qFormat/>
    <w:rsid w:val="00214D3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14D3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83E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D30"/>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214D3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14D30"/>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214D30"/>
    <w:rPr>
      <w:b/>
      <w:bCs/>
    </w:rPr>
  </w:style>
  <w:style w:type="paragraph" w:styleId="NormalWeb">
    <w:name w:val="Normal (Web)"/>
    <w:basedOn w:val="Normal"/>
    <w:uiPriority w:val="99"/>
    <w:unhideWhenUsed/>
    <w:rsid w:val="00214D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F1AF8"/>
    <w:rPr>
      <w:color w:val="0000FF" w:themeColor="hyperlink"/>
      <w:u w:val="single"/>
    </w:rPr>
  </w:style>
  <w:style w:type="paragraph" w:styleId="BalloonText">
    <w:name w:val="Balloon Text"/>
    <w:basedOn w:val="Normal"/>
    <w:link w:val="BalloonTextChar"/>
    <w:uiPriority w:val="99"/>
    <w:semiHidden/>
    <w:unhideWhenUsed/>
    <w:rsid w:val="00B9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C9"/>
    <w:rPr>
      <w:rFonts w:ascii="Tahoma" w:hAnsi="Tahoma" w:cs="Tahoma"/>
      <w:sz w:val="16"/>
      <w:szCs w:val="16"/>
    </w:rPr>
  </w:style>
  <w:style w:type="paragraph" w:styleId="ListParagraph">
    <w:name w:val="List Paragraph"/>
    <w:basedOn w:val="Normal"/>
    <w:uiPriority w:val="34"/>
    <w:qFormat/>
    <w:rsid w:val="00B97DC9"/>
    <w:pPr>
      <w:ind w:left="720"/>
      <w:contextualSpacing/>
    </w:pPr>
  </w:style>
  <w:style w:type="paragraph" w:styleId="Header">
    <w:name w:val="header"/>
    <w:basedOn w:val="Normal"/>
    <w:link w:val="HeaderChar"/>
    <w:uiPriority w:val="99"/>
    <w:unhideWhenUsed/>
    <w:rsid w:val="00433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EC"/>
  </w:style>
  <w:style w:type="paragraph" w:styleId="Footer">
    <w:name w:val="footer"/>
    <w:basedOn w:val="Normal"/>
    <w:link w:val="FooterChar"/>
    <w:uiPriority w:val="99"/>
    <w:unhideWhenUsed/>
    <w:rsid w:val="0043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0EC"/>
  </w:style>
  <w:style w:type="paragraph" w:styleId="FootnoteText">
    <w:name w:val="footnote text"/>
    <w:basedOn w:val="Normal"/>
    <w:link w:val="FootnoteTextChar"/>
    <w:uiPriority w:val="99"/>
    <w:semiHidden/>
    <w:unhideWhenUsed/>
    <w:rsid w:val="00DA7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D00"/>
    <w:rPr>
      <w:sz w:val="20"/>
      <w:szCs w:val="20"/>
    </w:rPr>
  </w:style>
  <w:style w:type="character" w:styleId="FootnoteReference">
    <w:name w:val="footnote reference"/>
    <w:basedOn w:val="DefaultParagraphFont"/>
    <w:uiPriority w:val="99"/>
    <w:unhideWhenUsed/>
    <w:rsid w:val="00DA7D00"/>
    <w:rPr>
      <w:vertAlign w:val="superscript"/>
    </w:rPr>
  </w:style>
  <w:style w:type="character" w:customStyle="1" w:styleId="Heading4Char">
    <w:name w:val="Heading 4 Char"/>
    <w:basedOn w:val="DefaultParagraphFont"/>
    <w:link w:val="Heading4"/>
    <w:uiPriority w:val="9"/>
    <w:semiHidden/>
    <w:rsid w:val="00383E73"/>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383E73"/>
    <w:rPr>
      <w:i/>
      <w:iCs/>
    </w:rPr>
  </w:style>
  <w:style w:type="character" w:styleId="FollowedHyperlink">
    <w:name w:val="FollowedHyperlink"/>
    <w:basedOn w:val="DefaultParagraphFont"/>
    <w:uiPriority w:val="99"/>
    <w:semiHidden/>
    <w:unhideWhenUsed/>
    <w:rsid w:val="00DA34E4"/>
    <w:rPr>
      <w:color w:val="800080" w:themeColor="followedHyperlink"/>
      <w:u w:val="single"/>
    </w:rPr>
  </w:style>
  <w:style w:type="table" w:styleId="TableGrid">
    <w:name w:val="Table Grid"/>
    <w:basedOn w:val="TableNormal"/>
    <w:uiPriority w:val="59"/>
    <w:rsid w:val="00DA3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4D3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14D3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83E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4D30"/>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214D3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14D30"/>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214D30"/>
    <w:rPr>
      <w:b/>
      <w:bCs/>
    </w:rPr>
  </w:style>
  <w:style w:type="paragraph" w:styleId="NormalWeb">
    <w:name w:val="Normal (Web)"/>
    <w:basedOn w:val="Normal"/>
    <w:uiPriority w:val="99"/>
    <w:unhideWhenUsed/>
    <w:rsid w:val="00214D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F1AF8"/>
    <w:rPr>
      <w:color w:val="0000FF" w:themeColor="hyperlink"/>
      <w:u w:val="single"/>
    </w:rPr>
  </w:style>
  <w:style w:type="paragraph" w:styleId="BalloonText">
    <w:name w:val="Balloon Text"/>
    <w:basedOn w:val="Normal"/>
    <w:link w:val="BalloonTextChar"/>
    <w:uiPriority w:val="99"/>
    <w:semiHidden/>
    <w:unhideWhenUsed/>
    <w:rsid w:val="00B9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C9"/>
    <w:rPr>
      <w:rFonts w:ascii="Tahoma" w:hAnsi="Tahoma" w:cs="Tahoma"/>
      <w:sz w:val="16"/>
      <w:szCs w:val="16"/>
    </w:rPr>
  </w:style>
  <w:style w:type="paragraph" w:styleId="ListParagraph">
    <w:name w:val="List Paragraph"/>
    <w:basedOn w:val="Normal"/>
    <w:uiPriority w:val="34"/>
    <w:qFormat/>
    <w:rsid w:val="00B97DC9"/>
    <w:pPr>
      <w:ind w:left="720"/>
      <w:contextualSpacing/>
    </w:pPr>
  </w:style>
  <w:style w:type="paragraph" w:styleId="Header">
    <w:name w:val="header"/>
    <w:basedOn w:val="Normal"/>
    <w:link w:val="HeaderChar"/>
    <w:uiPriority w:val="99"/>
    <w:unhideWhenUsed/>
    <w:rsid w:val="00433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EC"/>
  </w:style>
  <w:style w:type="paragraph" w:styleId="Footer">
    <w:name w:val="footer"/>
    <w:basedOn w:val="Normal"/>
    <w:link w:val="FooterChar"/>
    <w:uiPriority w:val="99"/>
    <w:unhideWhenUsed/>
    <w:rsid w:val="00433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0EC"/>
  </w:style>
  <w:style w:type="paragraph" w:styleId="FootnoteText">
    <w:name w:val="footnote text"/>
    <w:basedOn w:val="Normal"/>
    <w:link w:val="FootnoteTextChar"/>
    <w:uiPriority w:val="99"/>
    <w:semiHidden/>
    <w:unhideWhenUsed/>
    <w:rsid w:val="00DA7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D00"/>
    <w:rPr>
      <w:sz w:val="20"/>
      <w:szCs w:val="20"/>
    </w:rPr>
  </w:style>
  <w:style w:type="character" w:styleId="FootnoteReference">
    <w:name w:val="footnote reference"/>
    <w:basedOn w:val="DefaultParagraphFont"/>
    <w:uiPriority w:val="99"/>
    <w:unhideWhenUsed/>
    <w:rsid w:val="00DA7D00"/>
    <w:rPr>
      <w:vertAlign w:val="superscript"/>
    </w:rPr>
  </w:style>
  <w:style w:type="character" w:customStyle="1" w:styleId="Heading4Char">
    <w:name w:val="Heading 4 Char"/>
    <w:basedOn w:val="DefaultParagraphFont"/>
    <w:link w:val="Heading4"/>
    <w:uiPriority w:val="9"/>
    <w:semiHidden/>
    <w:rsid w:val="00383E73"/>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383E73"/>
    <w:rPr>
      <w:i/>
      <w:iCs/>
    </w:rPr>
  </w:style>
  <w:style w:type="character" w:styleId="FollowedHyperlink">
    <w:name w:val="FollowedHyperlink"/>
    <w:basedOn w:val="DefaultParagraphFont"/>
    <w:uiPriority w:val="99"/>
    <w:semiHidden/>
    <w:unhideWhenUsed/>
    <w:rsid w:val="00DA34E4"/>
    <w:rPr>
      <w:color w:val="800080" w:themeColor="followedHyperlink"/>
      <w:u w:val="single"/>
    </w:rPr>
  </w:style>
  <w:style w:type="table" w:styleId="TableGrid">
    <w:name w:val="Table Grid"/>
    <w:basedOn w:val="TableNormal"/>
    <w:uiPriority w:val="59"/>
    <w:rsid w:val="00DA3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373686">
      <w:bodyDiv w:val="1"/>
      <w:marLeft w:val="0"/>
      <w:marRight w:val="0"/>
      <w:marTop w:val="0"/>
      <w:marBottom w:val="0"/>
      <w:divBdr>
        <w:top w:val="none" w:sz="0" w:space="0" w:color="auto"/>
        <w:left w:val="none" w:sz="0" w:space="0" w:color="auto"/>
        <w:bottom w:val="none" w:sz="0" w:space="0" w:color="auto"/>
        <w:right w:val="none" w:sz="0" w:space="0" w:color="auto"/>
      </w:divBdr>
    </w:div>
    <w:div w:id="101651886">
      <w:bodyDiv w:val="1"/>
      <w:marLeft w:val="0"/>
      <w:marRight w:val="0"/>
      <w:marTop w:val="0"/>
      <w:marBottom w:val="0"/>
      <w:divBdr>
        <w:top w:val="none" w:sz="0" w:space="0" w:color="auto"/>
        <w:left w:val="none" w:sz="0" w:space="0" w:color="auto"/>
        <w:bottom w:val="none" w:sz="0" w:space="0" w:color="auto"/>
        <w:right w:val="none" w:sz="0" w:space="0" w:color="auto"/>
      </w:divBdr>
    </w:div>
    <w:div w:id="269820701">
      <w:bodyDiv w:val="1"/>
      <w:marLeft w:val="0"/>
      <w:marRight w:val="0"/>
      <w:marTop w:val="0"/>
      <w:marBottom w:val="0"/>
      <w:divBdr>
        <w:top w:val="none" w:sz="0" w:space="0" w:color="auto"/>
        <w:left w:val="none" w:sz="0" w:space="0" w:color="auto"/>
        <w:bottom w:val="none" w:sz="0" w:space="0" w:color="auto"/>
        <w:right w:val="none" w:sz="0" w:space="0" w:color="auto"/>
      </w:divBdr>
      <w:divsChild>
        <w:div w:id="2143110576">
          <w:marLeft w:val="0"/>
          <w:marRight w:val="0"/>
          <w:marTop w:val="0"/>
          <w:marBottom w:val="0"/>
          <w:divBdr>
            <w:top w:val="none" w:sz="0" w:space="0" w:color="auto"/>
            <w:left w:val="none" w:sz="0" w:space="0" w:color="auto"/>
            <w:bottom w:val="none" w:sz="0" w:space="0" w:color="auto"/>
            <w:right w:val="none" w:sz="0" w:space="0" w:color="auto"/>
          </w:divBdr>
          <w:divsChild>
            <w:div w:id="850488144">
              <w:marLeft w:val="0"/>
              <w:marRight w:val="0"/>
              <w:marTop w:val="0"/>
              <w:marBottom w:val="0"/>
              <w:divBdr>
                <w:top w:val="none" w:sz="0" w:space="0" w:color="auto"/>
                <w:left w:val="none" w:sz="0" w:space="0" w:color="auto"/>
                <w:bottom w:val="none" w:sz="0" w:space="0" w:color="auto"/>
                <w:right w:val="none" w:sz="0" w:space="0" w:color="auto"/>
              </w:divBdr>
              <w:divsChild>
                <w:div w:id="9926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8692">
      <w:bodyDiv w:val="1"/>
      <w:marLeft w:val="0"/>
      <w:marRight w:val="0"/>
      <w:marTop w:val="0"/>
      <w:marBottom w:val="0"/>
      <w:divBdr>
        <w:top w:val="none" w:sz="0" w:space="0" w:color="auto"/>
        <w:left w:val="none" w:sz="0" w:space="0" w:color="auto"/>
        <w:bottom w:val="none" w:sz="0" w:space="0" w:color="auto"/>
        <w:right w:val="none" w:sz="0" w:space="0" w:color="auto"/>
      </w:divBdr>
      <w:divsChild>
        <w:div w:id="104929860">
          <w:marLeft w:val="0"/>
          <w:marRight w:val="0"/>
          <w:marTop w:val="0"/>
          <w:marBottom w:val="0"/>
          <w:divBdr>
            <w:top w:val="none" w:sz="0" w:space="0" w:color="auto"/>
            <w:left w:val="none" w:sz="0" w:space="0" w:color="auto"/>
            <w:bottom w:val="none" w:sz="0" w:space="0" w:color="auto"/>
            <w:right w:val="none" w:sz="0" w:space="0" w:color="auto"/>
          </w:divBdr>
        </w:div>
        <w:div w:id="738018622">
          <w:marLeft w:val="0"/>
          <w:marRight w:val="0"/>
          <w:marTop w:val="0"/>
          <w:marBottom w:val="0"/>
          <w:divBdr>
            <w:top w:val="none" w:sz="0" w:space="0" w:color="auto"/>
            <w:left w:val="none" w:sz="0" w:space="0" w:color="auto"/>
            <w:bottom w:val="none" w:sz="0" w:space="0" w:color="auto"/>
            <w:right w:val="none" w:sz="0" w:space="0" w:color="auto"/>
          </w:divBdr>
        </w:div>
        <w:div w:id="2032562803">
          <w:marLeft w:val="0"/>
          <w:marRight w:val="0"/>
          <w:marTop w:val="0"/>
          <w:marBottom w:val="0"/>
          <w:divBdr>
            <w:top w:val="none" w:sz="0" w:space="0" w:color="auto"/>
            <w:left w:val="none" w:sz="0" w:space="0" w:color="auto"/>
            <w:bottom w:val="none" w:sz="0" w:space="0" w:color="auto"/>
            <w:right w:val="none" w:sz="0" w:space="0" w:color="auto"/>
          </w:divBdr>
        </w:div>
        <w:div w:id="1647860664">
          <w:marLeft w:val="0"/>
          <w:marRight w:val="0"/>
          <w:marTop w:val="0"/>
          <w:marBottom w:val="0"/>
          <w:divBdr>
            <w:top w:val="none" w:sz="0" w:space="0" w:color="auto"/>
            <w:left w:val="none" w:sz="0" w:space="0" w:color="auto"/>
            <w:bottom w:val="none" w:sz="0" w:space="0" w:color="auto"/>
            <w:right w:val="none" w:sz="0" w:space="0" w:color="auto"/>
          </w:divBdr>
        </w:div>
        <w:div w:id="1228303555">
          <w:marLeft w:val="0"/>
          <w:marRight w:val="0"/>
          <w:marTop w:val="0"/>
          <w:marBottom w:val="0"/>
          <w:divBdr>
            <w:top w:val="none" w:sz="0" w:space="0" w:color="auto"/>
            <w:left w:val="none" w:sz="0" w:space="0" w:color="auto"/>
            <w:bottom w:val="none" w:sz="0" w:space="0" w:color="auto"/>
            <w:right w:val="none" w:sz="0" w:space="0" w:color="auto"/>
          </w:divBdr>
        </w:div>
        <w:div w:id="772289791">
          <w:marLeft w:val="0"/>
          <w:marRight w:val="0"/>
          <w:marTop w:val="0"/>
          <w:marBottom w:val="0"/>
          <w:divBdr>
            <w:top w:val="none" w:sz="0" w:space="0" w:color="auto"/>
            <w:left w:val="none" w:sz="0" w:space="0" w:color="auto"/>
            <w:bottom w:val="none" w:sz="0" w:space="0" w:color="auto"/>
            <w:right w:val="none" w:sz="0" w:space="0" w:color="auto"/>
          </w:divBdr>
        </w:div>
        <w:div w:id="901793487">
          <w:marLeft w:val="0"/>
          <w:marRight w:val="0"/>
          <w:marTop w:val="0"/>
          <w:marBottom w:val="0"/>
          <w:divBdr>
            <w:top w:val="none" w:sz="0" w:space="0" w:color="auto"/>
            <w:left w:val="none" w:sz="0" w:space="0" w:color="auto"/>
            <w:bottom w:val="none" w:sz="0" w:space="0" w:color="auto"/>
            <w:right w:val="none" w:sz="0" w:space="0" w:color="auto"/>
          </w:divBdr>
        </w:div>
        <w:div w:id="533082148">
          <w:marLeft w:val="0"/>
          <w:marRight w:val="0"/>
          <w:marTop w:val="0"/>
          <w:marBottom w:val="0"/>
          <w:divBdr>
            <w:top w:val="none" w:sz="0" w:space="0" w:color="auto"/>
            <w:left w:val="none" w:sz="0" w:space="0" w:color="auto"/>
            <w:bottom w:val="none" w:sz="0" w:space="0" w:color="auto"/>
            <w:right w:val="none" w:sz="0" w:space="0" w:color="auto"/>
          </w:divBdr>
        </w:div>
        <w:div w:id="1852838144">
          <w:marLeft w:val="0"/>
          <w:marRight w:val="0"/>
          <w:marTop w:val="0"/>
          <w:marBottom w:val="0"/>
          <w:divBdr>
            <w:top w:val="none" w:sz="0" w:space="0" w:color="auto"/>
            <w:left w:val="none" w:sz="0" w:space="0" w:color="auto"/>
            <w:bottom w:val="none" w:sz="0" w:space="0" w:color="auto"/>
            <w:right w:val="none" w:sz="0" w:space="0" w:color="auto"/>
          </w:divBdr>
        </w:div>
        <w:div w:id="1277954411">
          <w:marLeft w:val="0"/>
          <w:marRight w:val="0"/>
          <w:marTop w:val="0"/>
          <w:marBottom w:val="0"/>
          <w:divBdr>
            <w:top w:val="none" w:sz="0" w:space="0" w:color="auto"/>
            <w:left w:val="none" w:sz="0" w:space="0" w:color="auto"/>
            <w:bottom w:val="none" w:sz="0" w:space="0" w:color="auto"/>
            <w:right w:val="none" w:sz="0" w:space="0" w:color="auto"/>
          </w:divBdr>
        </w:div>
        <w:div w:id="1316953513">
          <w:marLeft w:val="0"/>
          <w:marRight w:val="0"/>
          <w:marTop w:val="0"/>
          <w:marBottom w:val="0"/>
          <w:divBdr>
            <w:top w:val="none" w:sz="0" w:space="0" w:color="auto"/>
            <w:left w:val="none" w:sz="0" w:space="0" w:color="auto"/>
            <w:bottom w:val="none" w:sz="0" w:space="0" w:color="auto"/>
            <w:right w:val="none" w:sz="0" w:space="0" w:color="auto"/>
          </w:divBdr>
        </w:div>
        <w:div w:id="1572957673">
          <w:marLeft w:val="0"/>
          <w:marRight w:val="0"/>
          <w:marTop w:val="0"/>
          <w:marBottom w:val="0"/>
          <w:divBdr>
            <w:top w:val="none" w:sz="0" w:space="0" w:color="auto"/>
            <w:left w:val="none" w:sz="0" w:space="0" w:color="auto"/>
            <w:bottom w:val="none" w:sz="0" w:space="0" w:color="auto"/>
            <w:right w:val="none" w:sz="0" w:space="0" w:color="auto"/>
          </w:divBdr>
        </w:div>
        <w:div w:id="447894805">
          <w:marLeft w:val="0"/>
          <w:marRight w:val="0"/>
          <w:marTop w:val="0"/>
          <w:marBottom w:val="0"/>
          <w:divBdr>
            <w:top w:val="none" w:sz="0" w:space="0" w:color="auto"/>
            <w:left w:val="none" w:sz="0" w:space="0" w:color="auto"/>
            <w:bottom w:val="none" w:sz="0" w:space="0" w:color="auto"/>
            <w:right w:val="none" w:sz="0" w:space="0" w:color="auto"/>
          </w:divBdr>
        </w:div>
        <w:div w:id="758792874">
          <w:marLeft w:val="0"/>
          <w:marRight w:val="0"/>
          <w:marTop w:val="0"/>
          <w:marBottom w:val="0"/>
          <w:divBdr>
            <w:top w:val="none" w:sz="0" w:space="0" w:color="auto"/>
            <w:left w:val="none" w:sz="0" w:space="0" w:color="auto"/>
            <w:bottom w:val="none" w:sz="0" w:space="0" w:color="auto"/>
            <w:right w:val="none" w:sz="0" w:space="0" w:color="auto"/>
          </w:divBdr>
        </w:div>
        <w:div w:id="162554407">
          <w:marLeft w:val="0"/>
          <w:marRight w:val="0"/>
          <w:marTop w:val="0"/>
          <w:marBottom w:val="0"/>
          <w:divBdr>
            <w:top w:val="none" w:sz="0" w:space="0" w:color="auto"/>
            <w:left w:val="none" w:sz="0" w:space="0" w:color="auto"/>
            <w:bottom w:val="none" w:sz="0" w:space="0" w:color="auto"/>
            <w:right w:val="none" w:sz="0" w:space="0" w:color="auto"/>
          </w:divBdr>
        </w:div>
        <w:div w:id="370158427">
          <w:marLeft w:val="0"/>
          <w:marRight w:val="0"/>
          <w:marTop w:val="0"/>
          <w:marBottom w:val="0"/>
          <w:divBdr>
            <w:top w:val="none" w:sz="0" w:space="0" w:color="auto"/>
            <w:left w:val="none" w:sz="0" w:space="0" w:color="auto"/>
            <w:bottom w:val="none" w:sz="0" w:space="0" w:color="auto"/>
            <w:right w:val="none" w:sz="0" w:space="0" w:color="auto"/>
          </w:divBdr>
        </w:div>
        <w:div w:id="1615289730">
          <w:marLeft w:val="0"/>
          <w:marRight w:val="0"/>
          <w:marTop w:val="0"/>
          <w:marBottom w:val="0"/>
          <w:divBdr>
            <w:top w:val="none" w:sz="0" w:space="0" w:color="auto"/>
            <w:left w:val="none" w:sz="0" w:space="0" w:color="auto"/>
            <w:bottom w:val="none" w:sz="0" w:space="0" w:color="auto"/>
            <w:right w:val="none" w:sz="0" w:space="0" w:color="auto"/>
          </w:divBdr>
        </w:div>
        <w:div w:id="1525289847">
          <w:marLeft w:val="0"/>
          <w:marRight w:val="0"/>
          <w:marTop w:val="0"/>
          <w:marBottom w:val="0"/>
          <w:divBdr>
            <w:top w:val="none" w:sz="0" w:space="0" w:color="auto"/>
            <w:left w:val="none" w:sz="0" w:space="0" w:color="auto"/>
            <w:bottom w:val="none" w:sz="0" w:space="0" w:color="auto"/>
            <w:right w:val="none" w:sz="0" w:space="0" w:color="auto"/>
          </w:divBdr>
        </w:div>
        <w:div w:id="1317490812">
          <w:marLeft w:val="0"/>
          <w:marRight w:val="0"/>
          <w:marTop w:val="0"/>
          <w:marBottom w:val="0"/>
          <w:divBdr>
            <w:top w:val="none" w:sz="0" w:space="0" w:color="auto"/>
            <w:left w:val="none" w:sz="0" w:space="0" w:color="auto"/>
            <w:bottom w:val="none" w:sz="0" w:space="0" w:color="auto"/>
            <w:right w:val="none" w:sz="0" w:space="0" w:color="auto"/>
          </w:divBdr>
        </w:div>
        <w:div w:id="1272322636">
          <w:marLeft w:val="0"/>
          <w:marRight w:val="0"/>
          <w:marTop w:val="0"/>
          <w:marBottom w:val="0"/>
          <w:divBdr>
            <w:top w:val="none" w:sz="0" w:space="0" w:color="auto"/>
            <w:left w:val="none" w:sz="0" w:space="0" w:color="auto"/>
            <w:bottom w:val="none" w:sz="0" w:space="0" w:color="auto"/>
            <w:right w:val="none" w:sz="0" w:space="0" w:color="auto"/>
          </w:divBdr>
        </w:div>
        <w:div w:id="1909152329">
          <w:marLeft w:val="0"/>
          <w:marRight w:val="0"/>
          <w:marTop w:val="0"/>
          <w:marBottom w:val="0"/>
          <w:divBdr>
            <w:top w:val="none" w:sz="0" w:space="0" w:color="auto"/>
            <w:left w:val="none" w:sz="0" w:space="0" w:color="auto"/>
            <w:bottom w:val="none" w:sz="0" w:space="0" w:color="auto"/>
            <w:right w:val="none" w:sz="0" w:space="0" w:color="auto"/>
          </w:divBdr>
        </w:div>
        <w:div w:id="890003082">
          <w:marLeft w:val="0"/>
          <w:marRight w:val="0"/>
          <w:marTop w:val="0"/>
          <w:marBottom w:val="0"/>
          <w:divBdr>
            <w:top w:val="none" w:sz="0" w:space="0" w:color="auto"/>
            <w:left w:val="none" w:sz="0" w:space="0" w:color="auto"/>
            <w:bottom w:val="none" w:sz="0" w:space="0" w:color="auto"/>
            <w:right w:val="none" w:sz="0" w:space="0" w:color="auto"/>
          </w:divBdr>
        </w:div>
        <w:div w:id="1736196146">
          <w:marLeft w:val="0"/>
          <w:marRight w:val="0"/>
          <w:marTop w:val="0"/>
          <w:marBottom w:val="0"/>
          <w:divBdr>
            <w:top w:val="none" w:sz="0" w:space="0" w:color="auto"/>
            <w:left w:val="none" w:sz="0" w:space="0" w:color="auto"/>
            <w:bottom w:val="none" w:sz="0" w:space="0" w:color="auto"/>
            <w:right w:val="none" w:sz="0" w:space="0" w:color="auto"/>
          </w:divBdr>
        </w:div>
        <w:div w:id="1580752477">
          <w:marLeft w:val="0"/>
          <w:marRight w:val="0"/>
          <w:marTop w:val="0"/>
          <w:marBottom w:val="0"/>
          <w:divBdr>
            <w:top w:val="none" w:sz="0" w:space="0" w:color="auto"/>
            <w:left w:val="none" w:sz="0" w:space="0" w:color="auto"/>
            <w:bottom w:val="none" w:sz="0" w:space="0" w:color="auto"/>
            <w:right w:val="none" w:sz="0" w:space="0" w:color="auto"/>
          </w:divBdr>
        </w:div>
        <w:div w:id="851340672">
          <w:marLeft w:val="0"/>
          <w:marRight w:val="0"/>
          <w:marTop w:val="0"/>
          <w:marBottom w:val="0"/>
          <w:divBdr>
            <w:top w:val="none" w:sz="0" w:space="0" w:color="auto"/>
            <w:left w:val="none" w:sz="0" w:space="0" w:color="auto"/>
            <w:bottom w:val="none" w:sz="0" w:space="0" w:color="auto"/>
            <w:right w:val="none" w:sz="0" w:space="0" w:color="auto"/>
          </w:divBdr>
        </w:div>
        <w:div w:id="1616978451">
          <w:marLeft w:val="0"/>
          <w:marRight w:val="0"/>
          <w:marTop w:val="0"/>
          <w:marBottom w:val="0"/>
          <w:divBdr>
            <w:top w:val="none" w:sz="0" w:space="0" w:color="auto"/>
            <w:left w:val="none" w:sz="0" w:space="0" w:color="auto"/>
            <w:bottom w:val="none" w:sz="0" w:space="0" w:color="auto"/>
            <w:right w:val="none" w:sz="0" w:space="0" w:color="auto"/>
          </w:divBdr>
        </w:div>
        <w:div w:id="938756292">
          <w:marLeft w:val="0"/>
          <w:marRight w:val="0"/>
          <w:marTop w:val="0"/>
          <w:marBottom w:val="0"/>
          <w:divBdr>
            <w:top w:val="none" w:sz="0" w:space="0" w:color="auto"/>
            <w:left w:val="none" w:sz="0" w:space="0" w:color="auto"/>
            <w:bottom w:val="none" w:sz="0" w:space="0" w:color="auto"/>
            <w:right w:val="none" w:sz="0" w:space="0" w:color="auto"/>
          </w:divBdr>
        </w:div>
        <w:div w:id="903176038">
          <w:marLeft w:val="0"/>
          <w:marRight w:val="0"/>
          <w:marTop w:val="0"/>
          <w:marBottom w:val="0"/>
          <w:divBdr>
            <w:top w:val="none" w:sz="0" w:space="0" w:color="auto"/>
            <w:left w:val="none" w:sz="0" w:space="0" w:color="auto"/>
            <w:bottom w:val="none" w:sz="0" w:space="0" w:color="auto"/>
            <w:right w:val="none" w:sz="0" w:space="0" w:color="auto"/>
          </w:divBdr>
        </w:div>
        <w:div w:id="1871987484">
          <w:marLeft w:val="0"/>
          <w:marRight w:val="0"/>
          <w:marTop w:val="0"/>
          <w:marBottom w:val="0"/>
          <w:divBdr>
            <w:top w:val="none" w:sz="0" w:space="0" w:color="auto"/>
            <w:left w:val="none" w:sz="0" w:space="0" w:color="auto"/>
            <w:bottom w:val="none" w:sz="0" w:space="0" w:color="auto"/>
            <w:right w:val="none" w:sz="0" w:space="0" w:color="auto"/>
          </w:divBdr>
        </w:div>
        <w:div w:id="791898347">
          <w:marLeft w:val="0"/>
          <w:marRight w:val="0"/>
          <w:marTop w:val="0"/>
          <w:marBottom w:val="0"/>
          <w:divBdr>
            <w:top w:val="none" w:sz="0" w:space="0" w:color="auto"/>
            <w:left w:val="none" w:sz="0" w:space="0" w:color="auto"/>
            <w:bottom w:val="none" w:sz="0" w:space="0" w:color="auto"/>
            <w:right w:val="none" w:sz="0" w:space="0" w:color="auto"/>
          </w:divBdr>
        </w:div>
        <w:div w:id="643387892">
          <w:marLeft w:val="0"/>
          <w:marRight w:val="0"/>
          <w:marTop w:val="0"/>
          <w:marBottom w:val="0"/>
          <w:divBdr>
            <w:top w:val="none" w:sz="0" w:space="0" w:color="auto"/>
            <w:left w:val="none" w:sz="0" w:space="0" w:color="auto"/>
            <w:bottom w:val="none" w:sz="0" w:space="0" w:color="auto"/>
            <w:right w:val="none" w:sz="0" w:space="0" w:color="auto"/>
          </w:divBdr>
        </w:div>
        <w:div w:id="294336139">
          <w:marLeft w:val="0"/>
          <w:marRight w:val="0"/>
          <w:marTop w:val="0"/>
          <w:marBottom w:val="0"/>
          <w:divBdr>
            <w:top w:val="none" w:sz="0" w:space="0" w:color="auto"/>
            <w:left w:val="none" w:sz="0" w:space="0" w:color="auto"/>
            <w:bottom w:val="none" w:sz="0" w:space="0" w:color="auto"/>
            <w:right w:val="none" w:sz="0" w:space="0" w:color="auto"/>
          </w:divBdr>
        </w:div>
        <w:div w:id="397630847">
          <w:marLeft w:val="0"/>
          <w:marRight w:val="0"/>
          <w:marTop w:val="0"/>
          <w:marBottom w:val="0"/>
          <w:divBdr>
            <w:top w:val="none" w:sz="0" w:space="0" w:color="auto"/>
            <w:left w:val="none" w:sz="0" w:space="0" w:color="auto"/>
            <w:bottom w:val="none" w:sz="0" w:space="0" w:color="auto"/>
            <w:right w:val="none" w:sz="0" w:space="0" w:color="auto"/>
          </w:divBdr>
        </w:div>
        <w:div w:id="1707178824">
          <w:marLeft w:val="0"/>
          <w:marRight w:val="0"/>
          <w:marTop w:val="0"/>
          <w:marBottom w:val="0"/>
          <w:divBdr>
            <w:top w:val="none" w:sz="0" w:space="0" w:color="auto"/>
            <w:left w:val="none" w:sz="0" w:space="0" w:color="auto"/>
            <w:bottom w:val="none" w:sz="0" w:space="0" w:color="auto"/>
            <w:right w:val="none" w:sz="0" w:space="0" w:color="auto"/>
          </w:divBdr>
        </w:div>
        <w:div w:id="376010063">
          <w:marLeft w:val="0"/>
          <w:marRight w:val="0"/>
          <w:marTop w:val="0"/>
          <w:marBottom w:val="0"/>
          <w:divBdr>
            <w:top w:val="none" w:sz="0" w:space="0" w:color="auto"/>
            <w:left w:val="none" w:sz="0" w:space="0" w:color="auto"/>
            <w:bottom w:val="none" w:sz="0" w:space="0" w:color="auto"/>
            <w:right w:val="none" w:sz="0" w:space="0" w:color="auto"/>
          </w:divBdr>
        </w:div>
        <w:div w:id="2058317190">
          <w:marLeft w:val="0"/>
          <w:marRight w:val="0"/>
          <w:marTop w:val="0"/>
          <w:marBottom w:val="0"/>
          <w:divBdr>
            <w:top w:val="none" w:sz="0" w:space="0" w:color="auto"/>
            <w:left w:val="none" w:sz="0" w:space="0" w:color="auto"/>
            <w:bottom w:val="none" w:sz="0" w:space="0" w:color="auto"/>
            <w:right w:val="none" w:sz="0" w:space="0" w:color="auto"/>
          </w:divBdr>
        </w:div>
        <w:div w:id="1575124835">
          <w:marLeft w:val="0"/>
          <w:marRight w:val="0"/>
          <w:marTop w:val="0"/>
          <w:marBottom w:val="0"/>
          <w:divBdr>
            <w:top w:val="none" w:sz="0" w:space="0" w:color="auto"/>
            <w:left w:val="none" w:sz="0" w:space="0" w:color="auto"/>
            <w:bottom w:val="none" w:sz="0" w:space="0" w:color="auto"/>
            <w:right w:val="none" w:sz="0" w:space="0" w:color="auto"/>
          </w:divBdr>
        </w:div>
        <w:div w:id="87859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r.org.au/power"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aemo.com.au" TargetMode="External"/><Relationship Id="rId13" Type="http://schemas.openxmlformats.org/officeDocument/2006/relationships/hyperlink" Target="http://www.originenergy.com.au/sustainability/sites/default/files/gri_download/GRI_environment.pdf" TargetMode="External"/><Relationship Id="rId3" Type="http://schemas.openxmlformats.org/officeDocument/2006/relationships/hyperlink" Target="http://www.agl.com.au/~/media/AGL/About%20AGL/Documents/Media%20Center/Investor%20Center/2014/2014Results_Pres_release.pdf" TargetMode="External"/><Relationship Id="rId7" Type="http://schemas.openxmlformats.org/officeDocument/2006/relationships/hyperlink" Target="http://agl2014.sustainability-report.com.au/data-centre/environment" TargetMode="External"/><Relationship Id="rId12" Type="http://schemas.openxmlformats.org/officeDocument/2006/relationships/hyperlink" Target="http://reports.originenergy.com.au/2010/sustainability/our_communities/5-year-strategies/" TargetMode="External"/><Relationship Id="rId2" Type="http://schemas.openxmlformats.org/officeDocument/2006/relationships/hyperlink" Target="http://www.igcc.org.au/Resources/Documents/IGCC%20INDC%20discussion%20paper_150424.pdf" TargetMode="External"/><Relationship Id="rId1" Type="http://schemas.openxmlformats.org/officeDocument/2006/relationships/hyperlink" Target="http://www.accr.org.au/power" TargetMode="External"/><Relationship Id="rId6" Type="http://schemas.openxmlformats.org/officeDocument/2006/relationships/hyperlink" Target="http://agl2014.sustainability-report.com.au/environment/greenhouse-and-energy" TargetMode="External"/><Relationship Id="rId11" Type="http://schemas.openxmlformats.org/officeDocument/2006/relationships/hyperlink" Target="http://reports.originenergy.com.au/2010/sustainability/gri/energy_use_and_air_emissions/" TargetMode="External"/><Relationship Id="rId5" Type="http://schemas.openxmlformats.org/officeDocument/2006/relationships/hyperlink" Target="http://2012.aglsustainability.com.au/files/assets/basic-html/page68.html" TargetMode="External"/><Relationship Id="rId15" Type="http://schemas.openxmlformats.org/officeDocument/2006/relationships/hyperlink" Target="http://www.originenergy.com.au/content/dam/origin/about/our-approach/docs/sustainability-gri-environment-2014.pdf" TargetMode="External"/><Relationship Id="rId10" Type="http://schemas.openxmlformats.org/officeDocument/2006/relationships/hyperlink" Target="http://www.originenergy.com.au/sustainability/sites/default/files/gri_download/GRI_environment.pdf" TargetMode="External"/><Relationship Id="rId4" Type="http://schemas.openxmlformats.org/officeDocument/2006/relationships/hyperlink" Target="http://www.agl.com.au/~/media/AGL/About%20AGL/Documents/How%20We%20Source%20Energy/CSG%20and%20the%20Environment/Camden/Northern%20Expansion/V3_Appendix%20H.pdf" TargetMode="External"/><Relationship Id="rId9" Type="http://schemas.openxmlformats.org/officeDocument/2006/relationships/hyperlink" Target="http://www.agl.com.au/~/media/AGL/About%20AGL/Documents/Media%20Center/Corporate%20Governance%20Policies%20Charter/1704015_GHG_Policy_Final.pdf" TargetMode="External"/><Relationship Id="rId14" Type="http://schemas.openxmlformats.org/officeDocument/2006/relationships/hyperlink" Target="http://www.originenergy.com.au/sustainability/material-aspects/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CE84-AD3D-4569-B7D1-A36A42C6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Pender</dc:creator>
  <cp:lastModifiedBy>Caroline</cp:lastModifiedBy>
  <cp:revision>2</cp:revision>
  <cp:lastPrinted>2015-06-16T05:56:00Z</cp:lastPrinted>
  <dcterms:created xsi:type="dcterms:W3CDTF">2015-09-26T03:26:00Z</dcterms:created>
  <dcterms:modified xsi:type="dcterms:W3CDTF">2015-09-26T03:26:00Z</dcterms:modified>
</cp:coreProperties>
</file>