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EE" w:rsidRDefault="002819EE" w:rsidP="00A7132E">
      <w:pPr>
        <w:rPr>
          <w:rFonts w:ascii="Gotham Book" w:hAnsi="Gotham Book"/>
          <w:b/>
          <w:sz w:val="48"/>
          <w:szCs w:val="48"/>
        </w:rPr>
      </w:pPr>
    </w:p>
    <w:p w:rsidR="002819EE" w:rsidRPr="00AB06A4" w:rsidRDefault="002819EE" w:rsidP="002819EE">
      <w:pPr>
        <w:jc w:val="center"/>
        <w:rPr>
          <w:rFonts w:ascii="Gotham Book" w:hAnsi="Gotham Book"/>
          <w:b/>
          <w:sz w:val="48"/>
          <w:szCs w:val="48"/>
        </w:rPr>
      </w:pPr>
      <w:r>
        <w:rPr>
          <w:rFonts w:ascii="Gotham Book" w:hAnsi="Gotham Book"/>
          <w:b/>
          <w:sz w:val="48"/>
          <w:szCs w:val="48"/>
        </w:rPr>
        <w:t>‘</w:t>
      </w:r>
      <w:proofErr w:type="spellStart"/>
      <w:r>
        <w:rPr>
          <w:rFonts w:ascii="Gotham Book" w:hAnsi="Gotham Book"/>
          <w:b/>
          <w:sz w:val="48"/>
          <w:szCs w:val="48"/>
        </w:rPr>
        <w:t>U</w:t>
      </w:r>
      <w:r w:rsidRPr="00AB06A4">
        <w:rPr>
          <w:rFonts w:ascii="Gotham Book" w:hAnsi="Gotham Book"/>
          <w:b/>
          <w:sz w:val="48"/>
          <w:szCs w:val="48"/>
        </w:rPr>
        <w:t>nburnable</w:t>
      </w:r>
      <w:proofErr w:type="spellEnd"/>
      <w:r w:rsidRPr="00AB06A4">
        <w:rPr>
          <w:rFonts w:ascii="Gotham Book" w:hAnsi="Gotham Book"/>
          <w:b/>
          <w:sz w:val="48"/>
          <w:szCs w:val="48"/>
        </w:rPr>
        <w:t xml:space="preserve"> carbon’ risk</w:t>
      </w:r>
      <w:r>
        <w:rPr>
          <w:rFonts w:ascii="Gotham Book" w:hAnsi="Gotham Book"/>
          <w:b/>
          <w:sz w:val="48"/>
          <w:szCs w:val="48"/>
        </w:rPr>
        <w:t xml:space="preserve"> and </w:t>
      </w:r>
      <w:proofErr w:type="gramStart"/>
      <w:r>
        <w:rPr>
          <w:rFonts w:ascii="Gotham Book" w:hAnsi="Gotham Book"/>
          <w:b/>
          <w:sz w:val="48"/>
          <w:szCs w:val="48"/>
        </w:rPr>
        <w:t>the</w:t>
      </w:r>
      <w:r w:rsidRPr="00DF0726">
        <w:rPr>
          <w:rFonts w:ascii="Gotham Book" w:hAnsi="Gotham Book"/>
          <w:b/>
          <w:sz w:val="48"/>
          <w:szCs w:val="48"/>
        </w:rPr>
        <w:t xml:space="preserve"> </w:t>
      </w:r>
      <w:r>
        <w:rPr>
          <w:rFonts w:ascii="Gotham Book" w:hAnsi="Gotham Book"/>
          <w:b/>
          <w:sz w:val="48"/>
          <w:szCs w:val="48"/>
        </w:rPr>
        <w:t xml:space="preserve"> Australasian</w:t>
      </w:r>
      <w:proofErr w:type="gramEnd"/>
      <w:r w:rsidR="00326285">
        <w:rPr>
          <w:rFonts w:ascii="Gotham Book" w:hAnsi="Gotham Book"/>
          <w:b/>
          <w:sz w:val="48"/>
          <w:szCs w:val="48"/>
        </w:rPr>
        <w:t>-</w:t>
      </w:r>
      <w:r w:rsidR="00842308">
        <w:rPr>
          <w:rFonts w:ascii="Gotham Book" w:hAnsi="Gotham Book"/>
          <w:b/>
          <w:sz w:val="48"/>
          <w:szCs w:val="48"/>
        </w:rPr>
        <w:t>listed</w:t>
      </w:r>
      <w:r>
        <w:rPr>
          <w:rFonts w:ascii="Gotham Book" w:hAnsi="Gotham Book"/>
          <w:b/>
          <w:sz w:val="48"/>
          <w:szCs w:val="48"/>
        </w:rPr>
        <w:t xml:space="preserve"> </w:t>
      </w:r>
      <w:proofErr w:type="spellStart"/>
      <w:r>
        <w:rPr>
          <w:rFonts w:ascii="Gotham Book" w:hAnsi="Gotham Book"/>
          <w:b/>
          <w:sz w:val="48"/>
          <w:szCs w:val="48"/>
        </w:rPr>
        <w:t>gentailers</w:t>
      </w:r>
      <w:proofErr w:type="spellEnd"/>
      <w:r>
        <w:rPr>
          <w:rFonts w:ascii="Gotham Book" w:hAnsi="Gotham Book"/>
          <w:b/>
          <w:sz w:val="48"/>
          <w:szCs w:val="48"/>
        </w:rPr>
        <w:t xml:space="preserve"> </w:t>
      </w:r>
    </w:p>
    <w:p w:rsidR="002819EE" w:rsidRDefault="002819EE" w:rsidP="002819EE">
      <w:pPr>
        <w:pStyle w:val="No1Heading"/>
        <w:jc w:val="center"/>
        <w:rPr>
          <w:rFonts w:ascii="Gotham Book" w:hAnsi="Gotham Book"/>
          <w:u w:val="none"/>
        </w:rPr>
      </w:pPr>
    </w:p>
    <w:p w:rsidR="002819EE" w:rsidRDefault="002819EE" w:rsidP="002819EE">
      <w:pPr>
        <w:pStyle w:val="No1Heading"/>
        <w:jc w:val="center"/>
        <w:rPr>
          <w:rFonts w:ascii="Gotham Book" w:hAnsi="Gotham Book"/>
          <w:u w:val="none"/>
        </w:rPr>
      </w:pPr>
    </w:p>
    <w:p w:rsidR="002819EE" w:rsidRDefault="002819EE" w:rsidP="002819EE">
      <w:pPr>
        <w:pStyle w:val="No1Heading"/>
        <w:jc w:val="center"/>
        <w:rPr>
          <w:rFonts w:ascii="Gotham Book" w:hAnsi="Gotham Book"/>
          <w:u w:val="none"/>
        </w:rPr>
      </w:pPr>
    </w:p>
    <w:p w:rsidR="002819EE" w:rsidRDefault="002819EE" w:rsidP="002819EE">
      <w:pPr>
        <w:pStyle w:val="No1Heading"/>
        <w:jc w:val="center"/>
        <w:rPr>
          <w:rFonts w:ascii="Gotham Book" w:hAnsi="Gotham Book"/>
          <w:u w:val="none"/>
        </w:rPr>
      </w:pPr>
    </w:p>
    <w:p w:rsidR="002819EE" w:rsidRDefault="002819EE" w:rsidP="002819EE">
      <w:pPr>
        <w:pStyle w:val="No1Heading"/>
        <w:jc w:val="center"/>
        <w:rPr>
          <w:rFonts w:ascii="Gotham Book" w:hAnsi="Gotham Book"/>
          <w:u w:val="none"/>
        </w:rPr>
      </w:pPr>
    </w:p>
    <w:p w:rsidR="002819EE" w:rsidRDefault="002819EE" w:rsidP="002819EE">
      <w:pPr>
        <w:pStyle w:val="No1Heading"/>
        <w:jc w:val="center"/>
        <w:rPr>
          <w:rFonts w:ascii="Gotham Book" w:hAnsi="Gotham Book"/>
          <w:u w:val="none"/>
        </w:rPr>
      </w:pPr>
    </w:p>
    <w:p w:rsidR="002819EE" w:rsidRDefault="00552870" w:rsidP="002819EE">
      <w:pPr>
        <w:pStyle w:val="No1Heading"/>
        <w:jc w:val="center"/>
        <w:rPr>
          <w:rFonts w:ascii="Gotham Book" w:hAnsi="Gotham Book"/>
          <w:u w:val="none"/>
        </w:rPr>
      </w:pPr>
      <w:proofErr w:type="gramStart"/>
      <w:r>
        <w:rPr>
          <w:rFonts w:ascii="Gotham Book" w:hAnsi="Gotham Book"/>
          <w:u w:val="none"/>
        </w:rPr>
        <w:t xml:space="preserve">August </w:t>
      </w:r>
      <w:r w:rsidR="002819EE">
        <w:rPr>
          <w:rFonts w:ascii="Gotham Book" w:hAnsi="Gotham Book"/>
          <w:u w:val="none"/>
        </w:rPr>
        <w:t xml:space="preserve"> 2015</w:t>
      </w:r>
      <w:proofErr w:type="gramEnd"/>
    </w:p>
    <w:p w:rsidR="002819EE" w:rsidRPr="008B3244" w:rsidRDefault="002819EE" w:rsidP="002819EE">
      <w:pPr>
        <w:pStyle w:val="No1Heading"/>
        <w:rPr>
          <w:rFonts w:ascii="Gotham Book" w:hAnsi="Gotham Book"/>
          <w:u w:val="none"/>
        </w:rPr>
      </w:pPr>
    </w:p>
    <w:p w:rsidR="002819EE" w:rsidRPr="008B3244" w:rsidRDefault="002819EE" w:rsidP="002819EE">
      <w:pPr>
        <w:rPr>
          <w:rFonts w:ascii="Gotham Book" w:hAnsi="Gotham Book"/>
        </w:rPr>
      </w:pPr>
    </w:p>
    <w:p w:rsidR="002819EE" w:rsidRDefault="002819EE" w:rsidP="002819EE">
      <w:pPr>
        <w:rPr>
          <w:rFonts w:ascii="Gotham Book" w:hAnsi="Gotham Book"/>
        </w:rPr>
      </w:pPr>
    </w:p>
    <w:p w:rsidR="002819EE" w:rsidRDefault="00F43AC4" w:rsidP="00782252">
      <w:pPr>
        <w:jc w:val="center"/>
        <w:rPr>
          <w:rFonts w:ascii="Gotham Book" w:hAnsi="Gotham Book"/>
        </w:rPr>
      </w:pPr>
      <w:r>
        <w:rPr>
          <w:rFonts w:ascii="Gotham Book" w:hAnsi="Gotham Book"/>
        </w:rPr>
        <w:t xml:space="preserve"> </w:t>
      </w:r>
    </w:p>
    <w:p w:rsidR="002819EE" w:rsidRDefault="002819EE" w:rsidP="002819EE">
      <w:pPr>
        <w:rPr>
          <w:rFonts w:ascii="Gotham Book" w:hAnsi="Gotham Book"/>
        </w:rPr>
      </w:pPr>
      <w:r>
        <w:rPr>
          <w:rFonts w:ascii="Gotham Book" w:hAnsi="Gotham Book"/>
        </w:rPr>
        <w:tab/>
      </w:r>
      <w:r>
        <w:rPr>
          <w:rFonts w:ascii="Gotham Book" w:hAnsi="Gotham Book"/>
        </w:rPr>
        <w:tab/>
      </w:r>
    </w:p>
    <w:p w:rsidR="002819EE" w:rsidRDefault="002819EE" w:rsidP="002819EE">
      <w:pPr>
        <w:rPr>
          <w:rFonts w:ascii="Gotham Book" w:hAnsi="Gotham Book"/>
        </w:rPr>
      </w:pPr>
    </w:p>
    <w:p w:rsidR="002819EE" w:rsidRDefault="002819EE" w:rsidP="002819EE">
      <w:pPr>
        <w:jc w:val="center"/>
        <w:rPr>
          <w:rFonts w:ascii="Gotham Book" w:hAnsi="Gotham Book"/>
        </w:rPr>
      </w:pPr>
      <w:r>
        <w:rPr>
          <w:rFonts w:ascii="Gotham Book" w:hAnsi="Gotham Book"/>
        </w:rPr>
        <w:t>Howard Pender</w:t>
      </w:r>
      <w:r>
        <w:rPr>
          <w:rStyle w:val="FootnoteReference"/>
          <w:rFonts w:ascii="Gotham Book" w:hAnsi="Gotham Book"/>
        </w:rPr>
        <w:footnoteReference w:id="2"/>
      </w:r>
    </w:p>
    <w:p w:rsidR="002819EE" w:rsidRDefault="002819EE" w:rsidP="002819EE">
      <w:pPr>
        <w:rPr>
          <w:rFonts w:ascii="Gotham Book" w:hAnsi="Gotham Book"/>
        </w:rPr>
      </w:pPr>
    </w:p>
    <w:p w:rsidR="002819EE" w:rsidRDefault="002819EE" w:rsidP="002819EE">
      <w:pPr>
        <w:rPr>
          <w:rFonts w:ascii="Gotham Book" w:hAnsi="Gotham Book"/>
        </w:rPr>
      </w:pPr>
    </w:p>
    <w:p w:rsidR="002819EE" w:rsidRPr="00D70C7B" w:rsidRDefault="002819EE" w:rsidP="002819EE">
      <w:pPr>
        <w:jc w:val="center"/>
        <w:rPr>
          <w:rFonts w:ascii="Gotham Book" w:hAnsi="Gotham Book"/>
          <w:b/>
          <w:sz w:val="40"/>
          <w:szCs w:val="40"/>
        </w:rPr>
      </w:pPr>
      <w:r w:rsidRPr="00D70C7B">
        <w:rPr>
          <w:rFonts w:ascii="Gotham Book" w:hAnsi="Gotham Book"/>
          <w:b/>
          <w:sz w:val="40"/>
          <w:szCs w:val="40"/>
        </w:rPr>
        <w:t>Australasian Centre for Corporate Responsibility</w:t>
      </w:r>
    </w:p>
    <w:p w:rsidR="002819EE" w:rsidRPr="00D70C7B" w:rsidRDefault="002819EE" w:rsidP="002819EE">
      <w:pPr>
        <w:jc w:val="center"/>
        <w:rPr>
          <w:rFonts w:ascii="Gotham Book" w:hAnsi="Gotham Book"/>
          <w:b/>
          <w:sz w:val="40"/>
          <w:szCs w:val="40"/>
        </w:rPr>
      </w:pPr>
      <w:r w:rsidRPr="00D70C7B">
        <w:rPr>
          <w:rFonts w:ascii="Gotham Book" w:hAnsi="Gotham Book"/>
          <w:b/>
          <w:sz w:val="40"/>
          <w:szCs w:val="40"/>
        </w:rPr>
        <w:t xml:space="preserve">(ACCR) </w:t>
      </w:r>
    </w:p>
    <w:p w:rsidR="002819EE" w:rsidRPr="00AC34BF" w:rsidRDefault="002819EE" w:rsidP="002819EE">
      <w:pPr>
        <w:rPr>
          <w:rFonts w:ascii="Gotham Book" w:hAnsi="Gotham Book" w:cs="Times New Roman"/>
          <w:b/>
          <w:sz w:val="28"/>
          <w:szCs w:val="28"/>
        </w:rPr>
      </w:pPr>
      <w:r>
        <w:rPr>
          <w:rFonts w:ascii="Gotham Book" w:hAnsi="Gotham Book" w:cs="Times New Roman"/>
          <w:b/>
          <w:sz w:val="32"/>
          <w:szCs w:val="32"/>
        </w:rPr>
        <w:br w:type="page"/>
      </w:r>
      <w:r w:rsidRPr="00AC34BF">
        <w:rPr>
          <w:rFonts w:ascii="Gotham Book" w:hAnsi="Gotham Book" w:cs="Times New Roman"/>
          <w:b/>
          <w:sz w:val="28"/>
          <w:szCs w:val="28"/>
        </w:rPr>
        <w:lastRenderedPageBreak/>
        <w:t>Disclaimer</w:t>
      </w:r>
    </w:p>
    <w:p w:rsidR="002819EE" w:rsidRPr="00D323DC" w:rsidRDefault="002819EE" w:rsidP="002819EE">
      <w:pPr>
        <w:spacing w:line="240" w:lineRule="auto"/>
        <w:rPr>
          <w:rFonts w:cs="Times New Roman"/>
          <w:sz w:val="18"/>
          <w:szCs w:val="18"/>
        </w:rPr>
      </w:pPr>
      <w:r w:rsidRPr="00BB6EE8">
        <w:rPr>
          <w:rFonts w:cs="Times New Roman"/>
          <w:sz w:val="18"/>
          <w:szCs w:val="18"/>
        </w:rPr>
        <w:t>This report is for information</w:t>
      </w:r>
      <w:r>
        <w:rPr>
          <w:rFonts w:cs="Times New Roman"/>
          <w:sz w:val="18"/>
          <w:szCs w:val="18"/>
        </w:rPr>
        <w:t xml:space="preserve"> and engagement</w:t>
      </w:r>
      <w:r w:rsidRPr="00BB6EE8">
        <w:rPr>
          <w:rFonts w:cs="Times New Roman"/>
          <w:sz w:val="18"/>
          <w:szCs w:val="18"/>
        </w:rPr>
        <w:t xml:space="preserve"> purposes</w:t>
      </w:r>
      <w:r>
        <w:rPr>
          <w:rFonts w:cs="Times New Roman"/>
          <w:sz w:val="18"/>
          <w:szCs w:val="18"/>
        </w:rPr>
        <w:t xml:space="preserve"> only. The author</w:t>
      </w:r>
      <w:r w:rsidRPr="00BB6EE8">
        <w:rPr>
          <w:rFonts w:cs="Times New Roman"/>
          <w:sz w:val="18"/>
          <w:szCs w:val="18"/>
        </w:rPr>
        <w:t xml:space="preserve"> and the publisher of this report are not in the business of providing financial product advice. The report is not an offer to buy, sell or in any way deal in any financial product. It is not meant to be a general guide to investment, nor any source of specific investment recommendation. </w:t>
      </w:r>
      <w:r>
        <w:rPr>
          <w:rFonts w:cs="Times New Roman"/>
          <w:sz w:val="18"/>
          <w:szCs w:val="18"/>
        </w:rPr>
        <w:t xml:space="preserve"> However it</w:t>
      </w:r>
      <w:r w:rsidRPr="00BB6EE8">
        <w:rPr>
          <w:rFonts w:cs="Times New Roman"/>
          <w:sz w:val="18"/>
          <w:szCs w:val="18"/>
        </w:rPr>
        <w:t xml:space="preserve"> is generally available to the Australian public.</w:t>
      </w:r>
    </w:p>
    <w:p w:rsidR="002819EE" w:rsidRDefault="002819EE" w:rsidP="002819EE">
      <w:pPr>
        <w:rPr>
          <w:rFonts w:ascii="Gotham Book" w:hAnsi="Gotham Book" w:cs="Times New Roman"/>
          <w:b/>
          <w:sz w:val="28"/>
          <w:szCs w:val="28"/>
        </w:rPr>
      </w:pPr>
      <w:r>
        <w:rPr>
          <w:rFonts w:ascii="Gotham Book" w:hAnsi="Gotham Book" w:cs="Times New Roman"/>
          <w:b/>
          <w:sz w:val="28"/>
          <w:szCs w:val="28"/>
        </w:rPr>
        <w:t>G</w:t>
      </w:r>
      <w:r w:rsidRPr="00AA378A">
        <w:rPr>
          <w:rFonts w:ascii="Gotham Book" w:hAnsi="Gotham Book" w:cs="Times New Roman"/>
          <w:b/>
          <w:sz w:val="28"/>
          <w:szCs w:val="28"/>
        </w:rPr>
        <w:t>lossary</w:t>
      </w:r>
    </w:p>
    <w:p w:rsidR="00AD6B79" w:rsidRPr="00AD6B79" w:rsidRDefault="00AD6B79" w:rsidP="002819EE">
      <w:pPr>
        <w:rPr>
          <w:rFonts w:ascii="Gotham Book" w:hAnsi="Gotham Book" w:cs="Times New Roman"/>
          <w:b/>
        </w:rPr>
      </w:pPr>
      <w:r w:rsidRPr="00AD6B79">
        <w:rPr>
          <w:rFonts w:ascii="Gotham Book" w:hAnsi="Gotham Book" w:cs="Times New Roman"/>
          <w:b/>
        </w:rPr>
        <w:t xml:space="preserve">Access </w:t>
      </w:r>
      <w:r w:rsidR="00326285">
        <w:rPr>
          <w:rFonts w:ascii="Gotham Book" w:hAnsi="Gotham Book" w:cs="Times New Roman"/>
          <w:b/>
        </w:rPr>
        <w:t>c</w:t>
      </w:r>
      <w:r w:rsidRPr="00AD6B79">
        <w:rPr>
          <w:rFonts w:ascii="Gotham Book" w:hAnsi="Gotham Book" w:cs="Times New Roman"/>
          <w:b/>
        </w:rPr>
        <w:t>harges</w:t>
      </w:r>
      <w:r>
        <w:rPr>
          <w:rFonts w:ascii="Gotham Book" w:hAnsi="Gotham Book" w:cs="Times New Roman"/>
          <w:b/>
        </w:rPr>
        <w:t xml:space="preserve">: </w:t>
      </w:r>
      <w:r w:rsidRPr="00AD6B79">
        <w:rPr>
          <w:rFonts w:ascii="Gotham Book" w:hAnsi="Gotham Book" w:cs="Times New Roman"/>
        </w:rPr>
        <w:t>charges for the r</w:t>
      </w:r>
      <w:r>
        <w:rPr>
          <w:rFonts w:ascii="Gotham Book" w:hAnsi="Gotham Book" w:cs="Times New Roman"/>
        </w:rPr>
        <w:t xml:space="preserve">ight to the use of facilities </w:t>
      </w:r>
      <w:r w:rsidRPr="00AD6B79">
        <w:rPr>
          <w:rFonts w:ascii="Gotham Book" w:hAnsi="Gotham Book" w:cs="Times New Roman"/>
        </w:rPr>
        <w:t xml:space="preserve">or </w:t>
      </w:r>
      <w:proofErr w:type="gramStart"/>
      <w:r w:rsidRPr="00AD6B79">
        <w:rPr>
          <w:rFonts w:ascii="Gotham Book" w:hAnsi="Gotham Book" w:cs="Times New Roman"/>
        </w:rPr>
        <w:t>networks</w:t>
      </w:r>
      <w:r>
        <w:rPr>
          <w:rFonts w:ascii="Gotham Book" w:hAnsi="Gotham Book" w:cs="Times New Roman"/>
        </w:rPr>
        <w:t>,</w:t>
      </w:r>
      <w:proofErr w:type="gramEnd"/>
      <w:r>
        <w:rPr>
          <w:rFonts w:ascii="Gotham Book" w:hAnsi="Gotham Book" w:cs="Times New Roman"/>
        </w:rPr>
        <w:t xml:space="preserve"> often referred to as ‘supply’ charges in the context of power and gas distribution.</w:t>
      </w:r>
    </w:p>
    <w:p w:rsidR="00FA3CE6" w:rsidRPr="00FA3CE6" w:rsidRDefault="00FA3CE6" w:rsidP="002819EE">
      <w:pPr>
        <w:rPr>
          <w:rFonts w:ascii="Gotham Book" w:hAnsi="Gotham Book" w:cs="Times New Roman"/>
        </w:rPr>
      </w:pPr>
      <w:r>
        <w:rPr>
          <w:rFonts w:ascii="Gotham Book" w:hAnsi="Gotham Book" w:cs="Times New Roman"/>
          <w:b/>
        </w:rPr>
        <w:t xml:space="preserve">Carbon or emissions intensity (of energy supply): the quantity of greenhouse gas emissions </w:t>
      </w:r>
      <w:r>
        <w:rPr>
          <w:rFonts w:ascii="Gotham Book" w:hAnsi="Gotham Book" w:cs="Times New Roman"/>
        </w:rPr>
        <w:t>(measured in C0</w:t>
      </w:r>
      <w:r>
        <w:rPr>
          <w:rFonts w:ascii="Gotham Book" w:hAnsi="Gotham Book" w:cs="Times New Roman"/>
          <w:vertAlign w:val="subscript"/>
        </w:rPr>
        <w:t xml:space="preserve">2 </w:t>
      </w:r>
      <w:r>
        <w:rPr>
          <w:rFonts w:ascii="Gotham Book" w:hAnsi="Gotham Book" w:cs="Times New Roman"/>
        </w:rPr>
        <w:t>equivalent units) per unit of energy supply. It is generally stated in units of tonnes of CO</w:t>
      </w:r>
      <w:r>
        <w:rPr>
          <w:rFonts w:ascii="Gotham Book" w:hAnsi="Gotham Book" w:cs="Times New Roman"/>
          <w:vertAlign w:val="subscript"/>
        </w:rPr>
        <w:t>2</w:t>
      </w:r>
      <w:r>
        <w:rPr>
          <w:rFonts w:ascii="Gotham Book" w:hAnsi="Gotham Book" w:cs="Times New Roman"/>
        </w:rPr>
        <w:t xml:space="preserve"> per </w:t>
      </w:r>
      <w:proofErr w:type="spellStart"/>
      <w:r>
        <w:rPr>
          <w:rFonts w:ascii="Gotham Book" w:hAnsi="Gotham Book" w:cs="Times New Roman"/>
        </w:rPr>
        <w:t>terajoule</w:t>
      </w:r>
      <w:proofErr w:type="spellEnd"/>
      <w:r>
        <w:rPr>
          <w:rFonts w:ascii="Gotham Book" w:hAnsi="Gotham Book" w:cs="Times New Roman"/>
        </w:rPr>
        <w:t>.</w:t>
      </w:r>
    </w:p>
    <w:p w:rsidR="002819EE" w:rsidRDefault="00FA3CE6" w:rsidP="002819EE">
      <w:pPr>
        <w:rPr>
          <w:rFonts w:ascii="Gotham Book" w:hAnsi="Gotham Book" w:cs="Times New Roman"/>
        </w:rPr>
      </w:pPr>
      <w:r>
        <w:rPr>
          <w:rFonts w:ascii="Gotham Book" w:hAnsi="Gotham Book" w:cs="Times New Roman"/>
          <w:b/>
        </w:rPr>
        <w:t>Carbon or e</w:t>
      </w:r>
      <w:r w:rsidR="00093A0D">
        <w:rPr>
          <w:rFonts w:ascii="Gotham Book" w:hAnsi="Gotham Book" w:cs="Times New Roman"/>
          <w:b/>
        </w:rPr>
        <w:t xml:space="preserve">missions intensity (of power generation): </w:t>
      </w:r>
      <w:r>
        <w:rPr>
          <w:rFonts w:ascii="Gotham Book" w:hAnsi="Gotham Book" w:cs="Times New Roman"/>
        </w:rPr>
        <w:t xml:space="preserve">the quantity of greenhouse gas </w:t>
      </w:r>
      <w:r w:rsidR="00093A0D">
        <w:rPr>
          <w:rFonts w:ascii="Gotham Book" w:hAnsi="Gotham Book" w:cs="Times New Roman"/>
        </w:rPr>
        <w:t>emissions (measured in C0</w:t>
      </w:r>
      <w:r w:rsidR="00093A0D">
        <w:rPr>
          <w:rFonts w:ascii="Gotham Book" w:hAnsi="Gotham Book" w:cs="Times New Roman"/>
          <w:vertAlign w:val="subscript"/>
        </w:rPr>
        <w:t xml:space="preserve">2 </w:t>
      </w:r>
      <w:r w:rsidR="00093A0D">
        <w:rPr>
          <w:rFonts w:ascii="Gotham Book" w:hAnsi="Gotham Book" w:cs="Times New Roman"/>
        </w:rPr>
        <w:t>equivalent units) per unit of electricity generation. It is g</w:t>
      </w:r>
      <w:r w:rsidR="00F73FE4">
        <w:rPr>
          <w:rFonts w:ascii="Gotham Book" w:hAnsi="Gotham Book" w:cs="Times New Roman"/>
        </w:rPr>
        <w:t xml:space="preserve">enerally stated in units of </w:t>
      </w:r>
      <w:r w:rsidR="00093A0D">
        <w:rPr>
          <w:rFonts w:ascii="Gotham Book" w:hAnsi="Gotham Book" w:cs="Times New Roman"/>
        </w:rPr>
        <w:t xml:space="preserve">tonnes per MWh or </w:t>
      </w:r>
      <w:proofErr w:type="spellStart"/>
      <w:r w:rsidR="00093A0D">
        <w:rPr>
          <w:rFonts w:ascii="Gotham Book" w:hAnsi="Gotham Book" w:cs="Times New Roman"/>
        </w:rPr>
        <w:t>gram</w:t>
      </w:r>
      <w:r>
        <w:rPr>
          <w:rFonts w:ascii="Gotham Book" w:hAnsi="Gotham Book" w:cs="Times New Roman"/>
        </w:rPr>
        <w:t>me</w:t>
      </w:r>
      <w:r w:rsidR="00093A0D">
        <w:rPr>
          <w:rFonts w:ascii="Gotham Book" w:hAnsi="Gotham Book" w:cs="Times New Roman"/>
        </w:rPr>
        <w:t>s</w:t>
      </w:r>
      <w:proofErr w:type="spellEnd"/>
      <w:r w:rsidR="00093A0D">
        <w:rPr>
          <w:rFonts w:ascii="Gotham Book" w:hAnsi="Gotham Book" w:cs="Times New Roman"/>
        </w:rPr>
        <w:t xml:space="preserve"> per kWh.</w:t>
      </w:r>
    </w:p>
    <w:p w:rsidR="005D780F" w:rsidRPr="00511DC8" w:rsidRDefault="005D780F" w:rsidP="002819EE">
      <w:pPr>
        <w:rPr>
          <w:rFonts w:ascii="Gotham Book" w:hAnsi="Gotham Book" w:cs="Times New Roman"/>
        </w:rPr>
      </w:pPr>
      <w:r w:rsidRPr="005D780F">
        <w:rPr>
          <w:rFonts w:ascii="Gotham Book" w:hAnsi="Gotham Book" w:cs="Times New Roman"/>
          <w:b/>
        </w:rPr>
        <w:t>ETS:</w:t>
      </w:r>
      <w:r>
        <w:rPr>
          <w:rFonts w:ascii="Gotham Book" w:hAnsi="Gotham Book" w:cs="Times New Roman"/>
          <w:b/>
        </w:rPr>
        <w:t xml:space="preserve"> </w:t>
      </w:r>
      <w:r w:rsidRPr="00511DC8">
        <w:rPr>
          <w:rFonts w:ascii="Gotham Book" w:hAnsi="Gotham Book" w:cs="Times New Roman"/>
        </w:rPr>
        <w:t>Emissions Trading Scheme.</w:t>
      </w:r>
    </w:p>
    <w:p w:rsidR="002819EE" w:rsidRDefault="002819EE" w:rsidP="002819EE">
      <w:pPr>
        <w:rPr>
          <w:rFonts w:ascii="Gotham Book" w:hAnsi="Gotham Book" w:cs="Times New Roman"/>
        </w:rPr>
      </w:pPr>
      <w:proofErr w:type="spellStart"/>
      <w:r w:rsidRPr="002819EE">
        <w:rPr>
          <w:rFonts w:ascii="Gotham Book" w:hAnsi="Gotham Book" w:cs="Times New Roman"/>
          <w:b/>
        </w:rPr>
        <w:t>Gentailer</w:t>
      </w:r>
      <w:proofErr w:type="spellEnd"/>
      <w:r w:rsidRPr="002819EE">
        <w:rPr>
          <w:rFonts w:ascii="Gotham Book" w:hAnsi="Gotham Book" w:cs="Times New Roman"/>
          <w:b/>
        </w:rPr>
        <w:t xml:space="preserve">: </w:t>
      </w:r>
      <w:r w:rsidRPr="002819EE">
        <w:rPr>
          <w:rFonts w:ascii="Gotham Book" w:hAnsi="Gotham Book" w:cs="Times New Roman"/>
        </w:rPr>
        <w:t xml:space="preserve">a company whose business </w:t>
      </w:r>
      <w:r>
        <w:rPr>
          <w:rFonts w:ascii="Gotham Book" w:hAnsi="Gotham Book" w:cs="Times New Roman"/>
        </w:rPr>
        <w:t xml:space="preserve">operations involve both power </w:t>
      </w:r>
      <w:r w:rsidRPr="002819EE">
        <w:rPr>
          <w:rFonts w:ascii="Gotham Book" w:hAnsi="Gotham Book" w:cs="Times New Roman"/>
        </w:rPr>
        <w:t>generation and retail distribution of electricity and/or gas.</w:t>
      </w:r>
    </w:p>
    <w:p w:rsidR="00AB7923" w:rsidRDefault="00AB7923" w:rsidP="002819EE">
      <w:pPr>
        <w:rPr>
          <w:rFonts w:ascii="Gotham Book" w:hAnsi="Gotham Book" w:cs="Times New Roman"/>
        </w:rPr>
      </w:pPr>
      <w:r w:rsidRPr="00AB7923">
        <w:rPr>
          <w:rFonts w:ascii="Gotham Book" w:hAnsi="Gotham Book" w:cs="Times New Roman"/>
          <w:b/>
        </w:rPr>
        <w:t>IEA</w:t>
      </w:r>
      <w:r>
        <w:rPr>
          <w:rFonts w:ascii="Gotham Book" w:hAnsi="Gotham Book" w:cs="Times New Roman"/>
        </w:rPr>
        <w:t>: International Energy Agency</w:t>
      </w:r>
    </w:p>
    <w:p w:rsidR="007D691D" w:rsidRDefault="0001335C" w:rsidP="002819EE">
      <w:pPr>
        <w:rPr>
          <w:rFonts w:ascii="Gotham Book" w:hAnsi="Gotham Book" w:cs="Times New Roman"/>
          <w:b/>
        </w:rPr>
      </w:pPr>
      <w:r w:rsidRPr="0001335C">
        <w:rPr>
          <w:rFonts w:ascii="Gotham Book" w:hAnsi="Gotham Book" w:cs="Times New Roman"/>
          <w:b/>
        </w:rPr>
        <w:t>RET:</w:t>
      </w:r>
      <w:r>
        <w:rPr>
          <w:rFonts w:ascii="Gotham Book" w:hAnsi="Gotham Book" w:cs="Times New Roman"/>
          <w:b/>
        </w:rPr>
        <w:t xml:space="preserve"> </w:t>
      </w:r>
      <w:r w:rsidRPr="0001335C">
        <w:rPr>
          <w:rFonts w:ascii="Gotham Book" w:hAnsi="Gotham Book" w:cs="Times New Roman"/>
        </w:rPr>
        <w:t>Renewable Energy Target</w:t>
      </w:r>
      <w:r>
        <w:rPr>
          <w:rFonts w:ascii="Gotham Book" w:hAnsi="Gotham Book" w:cs="Times New Roman"/>
        </w:rPr>
        <w:t xml:space="preserve">. It is a government scheme designed to increase the amount of electricity generated from renewables. It comprises the large-scale renewable energy target (LRET) and the small-scale renewable energy scheme (SRES). </w:t>
      </w:r>
    </w:p>
    <w:p w:rsidR="002819EE" w:rsidRPr="00DF2CBA" w:rsidRDefault="002819EE" w:rsidP="002819EE">
      <w:pPr>
        <w:rPr>
          <w:rFonts w:ascii="Gotham Book" w:hAnsi="Gotham Book" w:cs="Times New Roman"/>
        </w:rPr>
      </w:pPr>
      <w:r w:rsidRPr="00DF2CBA">
        <w:rPr>
          <w:rFonts w:ascii="Gotham Book" w:hAnsi="Gotham Book" w:cs="Times New Roman"/>
          <w:b/>
        </w:rPr>
        <w:t>Risk ‘treatment’</w:t>
      </w:r>
      <w:r>
        <w:rPr>
          <w:rFonts w:ascii="Gotham Book" w:hAnsi="Gotham Book" w:cs="Times New Roman"/>
          <w:b/>
        </w:rPr>
        <w:t xml:space="preserve">: </w:t>
      </w:r>
      <w:r w:rsidR="00C05C1C">
        <w:rPr>
          <w:rFonts w:ascii="Gotham Book" w:hAnsi="Gotham Book" w:cs="Times New Roman"/>
        </w:rPr>
        <w:t>I</w:t>
      </w:r>
      <w:r>
        <w:rPr>
          <w:rFonts w:ascii="Gotham Book" w:hAnsi="Gotham Book" w:cs="Times New Roman"/>
        </w:rPr>
        <w:t xml:space="preserve">n the jargon of risk management, risks are typically evaluated pre-and </w:t>
      </w:r>
      <w:r w:rsidR="0001335C">
        <w:rPr>
          <w:rFonts w:ascii="Gotham Book" w:hAnsi="Gotham Book" w:cs="Times New Roman"/>
        </w:rPr>
        <w:t>post- treatment. Initially risk exposure is</w:t>
      </w:r>
      <w:r>
        <w:rPr>
          <w:rFonts w:ascii="Gotham Book" w:hAnsi="Gotham Book" w:cs="Times New Roman"/>
        </w:rPr>
        <w:t xml:space="preserve"> rated ‘p</w:t>
      </w:r>
      <w:r w:rsidR="0001335C">
        <w:rPr>
          <w:rFonts w:ascii="Gotham Book" w:hAnsi="Gotham Book" w:cs="Times New Roman"/>
        </w:rPr>
        <w:t>re-treatment’ according to the</w:t>
      </w:r>
      <w:r>
        <w:rPr>
          <w:rFonts w:ascii="Gotham Book" w:hAnsi="Gotham Book" w:cs="Times New Roman"/>
        </w:rPr>
        <w:t xml:space="preserve"> likelihood and severity of potential im</w:t>
      </w:r>
      <w:r w:rsidR="0001335C">
        <w:rPr>
          <w:rFonts w:ascii="Gotham Book" w:hAnsi="Gotham Book" w:cs="Times New Roman"/>
        </w:rPr>
        <w:t>pact on the business. Then, risks</w:t>
      </w:r>
      <w:r>
        <w:rPr>
          <w:rFonts w:ascii="Gotham Book" w:hAnsi="Gotham Book" w:cs="Times New Roman"/>
        </w:rPr>
        <w:t xml:space="preserve"> are rated ‘post-treatment’ accounting for </w:t>
      </w:r>
      <w:proofErr w:type="gramStart"/>
      <w:r>
        <w:rPr>
          <w:rFonts w:ascii="Gotham Book" w:hAnsi="Gotham Book" w:cs="Times New Roman"/>
        </w:rPr>
        <w:t>all the</w:t>
      </w:r>
      <w:proofErr w:type="gramEnd"/>
      <w:r>
        <w:rPr>
          <w:rFonts w:ascii="Gotham Book" w:hAnsi="Gotham Book" w:cs="Times New Roman"/>
        </w:rPr>
        <w:t xml:space="preserve"> mitigatio</w:t>
      </w:r>
      <w:r w:rsidR="0001335C">
        <w:rPr>
          <w:rFonts w:ascii="Gotham Book" w:hAnsi="Gotham Book" w:cs="Times New Roman"/>
        </w:rPr>
        <w:t>n strategies currently in place, for example, in the context of carbon emissions, targets to reduce emissions or emissions intensity.</w:t>
      </w:r>
      <w:r>
        <w:rPr>
          <w:rFonts w:ascii="Gotham Book" w:hAnsi="Gotham Book" w:cs="Times New Roman"/>
        </w:rPr>
        <w:t xml:space="preserve"> </w:t>
      </w:r>
    </w:p>
    <w:p w:rsidR="002819EE" w:rsidRDefault="002819EE" w:rsidP="002819EE">
      <w:pPr>
        <w:rPr>
          <w:rFonts w:ascii="Gotham Book" w:hAnsi="Gotham Book" w:cs="Times New Roman"/>
        </w:rPr>
      </w:pPr>
      <w:r w:rsidRPr="007F3BD5">
        <w:rPr>
          <w:rFonts w:ascii="Gotham Book" w:hAnsi="Gotham Book" w:cs="Times New Roman"/>
          <w:b/>
        </w:rPr>
        <w:t xml:space="preserve">Stranded: </w:t>
      </w:r>
      <w:r w:rsidRPr="007F3BD5">
        <w:rPr>
          <w:rFonts w:ascii="Gotham Book" w:hAnsi="Gotham Book" w:cs="Times New Roman"/>
        </w:rPr>
        <w:t>an economic term used to describe an asset which loses economic value prior to the expiry of its useful life. For example, if you remove a working incandescent light bulb, throw it out and replace it with a compact fluoro or LED bulb</w:t>
      </w:r>
      <w:r>
        <w:rPr>
          <w:rFonts w:ascii="Gotham Book" w:hAnsi="Gotham Book" w:cs="Times New Roman"/>
        </w:rPr>
        <w:t>,</w:t>
      </w:r>
      <w:r w:rsidRPr="007F3BD5">
        <w:rPr>
          <w:rFonts w:ascii="Gotham Book" w:hAnsi="Gotham Book" w:cs="Times New Roman"/>
        </w:rPr>
        <w:t xml:space="preserve"> the incandescent bulb has been “stranded”.</w:t>
      </w:r>
    </w:p>
    <w:p w:rsidR="00AD6B79" w:rsidRDefault="00AD6B79" w:rsidP="002819EE">
      <w:pPr>
        <w:rPr>
          <w:rFonts w:ascii="Gotham Book" w:hAnsi="Gotham Book" w:cs="Times New Roman"/>
        </w:rPr>
      </w:pPr>
      <w:r w:rsidRPr="00AD6B79">
        <w:rPr>
          <w:rFonts w:ascii="Gotham Book" w:hAnsi="Gotham Book" w:cs="Times New Roman"/>
          <w:b/>
        </w:rPr>
        <w:t>Usage charges:</w:t>
      </w:r>
      <w:r>
        <w:rPr>
          <w:rFonts w:ascii="Gotham Book" w:hAnsi="Gotham Book" w:cs="Times New Roman"/>
          <w:b/>
        </w:rPr>
        <w:t xml:space="preserve"> </w:t>
      </w:r>
      <w:r w:rsidRPr="00AD6B79">
        <w:rPr>
          <w:rFonts w:ascii="Gotham Book" w:hAnsi="Gotham Book" w:cs="Times New Roman"/>
        </w:rPr>
        <w:t>‘volume’ based charges for the usage of a network or facility, for example, charges per kWh for power.</w:t>
      </w:r>
    </w:p>
    <w:p w:rsidR="00AD6B79" w:rsidRDefault="00AD6B79" w:rsidP="002819EE">
      <w:pPr>
        <w:rPr>
          <w:rFonts w:ascii="Gotham Book" w:hAnsi="Gotham Book" w:cs="Times New Roman"/>
        </w:rPr>
      </w:pPr>
    </w:p>
    <w:p w:rsidR="00AD6B79" w:rsidRDefault="00AD6B79" w:rsidP="00AD6B79">
      <w:pPr>
        <w:rPr>
          <w:rFonts w:ascii="Gotham Book" w:hAnsi="Gotham Book"/>
          <w:b/>
          <w:sz w:val="32"/>
          <w:szCs w:val="32"/>
        </w:rPr>
      </w:pPr>
      <w:r>
        <w:rPr>
          <w:rFonts w:ascii="Gotham Book" w:hAnsi="Gotham Book"/>
          <w:b/>
          <w:sz w:val="32"/>
          <w:szCs w:val="32"/>
        </w:rPr>
        <w:br w:type="page"/>
      </w:r>
    </w:p>
    <w:p w:rsidR="00AD6B79" w:rsidRDefault="00AD6B79" w:rsidP="00AD6B79">
      <w:pPr>
        <w:rPr>
          <w:rFonts w:ascii="Gotham Book" w:hAnsi="Gotham Book"/>
          <w:b/>
          <w:sz w:val="32"/>
          <w:szCs w:val="32"/>
        </w:rPr>
      </w:pPr>
      <w:r w:rsidRPr="00DF0726">
        <w:rPr>
          <w:rFonts w:ascii="Gotham Book" w:hAnsi="Gotham Book"/>
          <w:b/>
          <w:sz w:val="32"/>
          <w:szCs w:val="32"/>
        </w:rPr>
        <w:lastRenderedPageBreak/>
        <w:t>Executive Summary</w:t>
      </w:r>
    </w:p>
    <w:p w:rsidR="00082F47" w:rsidRDefault="00082F47" w:rsidP="00902C7D">
      <w:pPr>
        <w:rPr>
          <w:rFonts w:ascii="Gotham Book" w:hAnsi="Gotham Book" w:cs="Times New Roman"/>
          <w:sz w:val="24"/>
          <w:szCs w:val="24"/>
        </w:rPr>
      </w:pPr>
    </w:p>
    <w:p w:rsidR="00C05C1C" w:rsidRDefault="00C05C1C" w:rsidP="00C05C1C">
      <w:pPr>
        <w:rPr>
          <w:rFonts w:ascii="Gotham Book" w:hAnsi="Gotham Book" w:cs="Times New Roman"/>
          <w:sz w:val="24"/>
          <w:szCs w:val="24"/>
        </w:rPr>
      </w:pPr>
      <w:r>
        <w:rPr>
          <w:rFonts w:ascii="Gotham Book" w:hAnsi="Gotham Book" w:cs="Times New Roman"/>
          <w:sz w:val="24"/>
          <w:szCs w:val="24"/>
        </w:rPr>
        <w:t>This paper deals</w:t>
      </w:r>
      <w:r w:rsidRPr="009739ED">
        <w:rPr>
          <w:rFonts w:ascii="Gotham Book" w:hAnsi="Gotham Book" w:cs="Times New Roman"/>
          <w:sz w:val="24"/>
          <w:szCs w:val="24"/>
        </w:rPr>
        <w:t xml:space="preserve"> with the exposure to </w:t>
      </w:r>
      <w:proofErr w:type="spellStart"/>
      <w:r w:rsidRPr="009739ED">
        <w:rPr>
          <w:rFonts w:ascii="Gotham Book" w:hAnsi="Gotham Book" w:cs="Times New Roman"/>
          <w:sz w:val="24"/>
          <w:szCs w:val="24"/>
        </w:rPr>
        <w:t>unburnable</w:t>
      </w:r>
      <w:proofErr w:type="spellEnd"/>
      <w:r w:rsidRPr="009739ED">
        <w:rPr>
          <w:rFonts w:ascii="Gotham Book" w:hAnsi="Gotham Book" w:cs="Times New Roman"/>
          <w:sz w:val="24"/>
          <w:szCs w:val="24"/>
        </w:rPr>
        <w:t xml:space="preserve"> carbon risk of five Australian and New Zealand listed </w:t>
      </w:r>
      <w:proofErr w:type="spellStart"/>
      <w:r w:rsidRPr="009739ED">
        <w:rPr>
          <w:rFonts w:ascii="Gotham Book" w:hAnsi="Gotham Book" w:cs="Times New Roman"/>
          <w:sz w:val="24"/>
          <w:szCs w:val="24"/>
        </w:rPr>
        <w:t>gentailers</w:t>
      </w:r>
      <w:proofErr w:type="spellEnd"/>
      <w:r>
        <w:rPr>
          <w:rFonts w:ascii="Gotham Book" w:hAnsi="Gotham Book" w:cs="Times New Roman"/>
          <w:sz w:val="24"/>
          <w:szCs w:val="24"/>
        </w:rPr>
        <w:t xml:space="preserve"> – AGL, Contact Energy, </w:t>
      </w:r>
      <w:proofErr w:type="spellStart"/>
      <w:r>
        <w:rPr>
          <w:rFonts w:ascii="Gotham Book" w:hAnsi="Gotham Book" w:cs="Times New Roman"/>
          <w:sz w:val="24"/>
          <w:szCs w:val="24"/>
        </w:rPr>
        <w:t>Infratil</w:t>
      </w:r>
      <w:proofErr w:type="spellEnd"/>
      <w:r>
        <w:rPr>
          <w:rFonts w:ascii="Gotham Book" w:hAnsi="Gotham Book" w:cs="Times New Roman"/>
          <w:sz w:val="24"/>
          <w:szCs w:val="24"/>
        </w:rPr>
        <w:t xml:space="preserve">, Origin and </w:t>
      </w:r>
      <w:proofErr w:type="spellStart"/>
      <w:r>
        <w:rPr>
          <w:rFonts w:ascii="Gotham Book" w:hAnsi="Gotham Book" w:cs="Times New Roman"/>
          <w:sz w:val="24"/>
          <w:szCs w:val="24"/>
        </w:rPr>
        <w:t>Trustpower</w:t>
      </w:r>
      <w:proofErr w:type="spellEnd"/>
      <w:r w:rsidRPr="009739ED">
        <w:rPr>
          <w:rFonts w:ascii="Gotham Book" w:hAnsi="Gotham Book" w:cs="Times New Roman"/>
          <w:sz w:val="24"/>
          <w:szCs w:val="24"/>
        </w:rPr>
        <w:t>.</w:t>
      </w:r>
    </w:p>
    <w:p w:rsidR="00C05C1C" w:rsidRDefault="00C05C1C" w:rsidP="00C05C1C">
      <w:pPr>
        <w:rPr>
          <w:rFonts w:ascii="Gotham Book" w:hAnsi="Gotham Book" w:cs="Times New Roman"/>
          <w:sz w:val="24"/>
          <w:szCs w:val="24"/>
        </w:rPr>
      </w:pPr>
      <w:r>
        <w:rPr>
          <w:rFonts w:ascii="Gotham Book" w:hAnsi="Gotham Book" w:cs="Times New Roman"/>
          <w:sz w:val="24"/>
          <w:szCs w:val="24"/>
        </w:rPr>
        <w:t xml:space="preserve">As nations, Australia and New Zealand stand at polar ends of the spectrum with regard to the carbon intensity of their economies. The carbon intensity of energy supply is 35% </w:t>
      </w:r>
      <w:r w:rsidRPr="00553B74">
        <w:rPr>
          <w:rFonts w:ascii="Gotham Book" w:hAnsi="Gotham Book"/>
          <w:i/>
          <w:sz w:val="24"/>
        </w:rPr>
        <w:t>above</w:t>
      </w:r>
      <w:r>
        <w:rPr>
          <w:rFonts w:ascii="Gotham Book" w:hAnsi="Gotham Book" w:cs="Times New Roman"/>
          <w:sz w:val="24"/>
          <w:szCs w:val="24"/>
        </w:rPr>
        <w:t xml:space="preserve"> the world average in Australia and 30% </w:t>
      </w:r>
      <w:r w:rsidRPr="00553B74">
        <w:rPr>
          <w:rFonts w:ascii="Gotham Book" w:hAnsi="Gotham Book"/>
          <w:i/>
          <w:sz w:val="24"/>
        </w:rPr>
        <w:t>below</w:t>
      </w:r>
      <w:r>
        <w:rPr>
          <w:rFonts w:ascii="Gotham Book" w:hAnsi="Gotham Book" w:cs="Times New Roman"/>
          <w:sz w:val="24"/>
          <w:szCs w:val="24"/>
        </w:rPr>
        <w:t xml:space="preserve"> in New Zealand. Globally, carbon intensity needs to decline very significantly to hold global warming to the agreed 2° C threshold.</w:t>
      </w:r>
    </w:p>
    <w:p w:rsidR="00C05C1C" w:rsidRDefault="00C05C1C" w:rsidP="00C05C1C">
      <w:pPr>
        <w:rPr>
          <w:rFonts w:ascii="Gotham Book" w:hAnsi="Gotham Book" w:cs="Times New Roman"/>
          <w:sz w:val="24"/>
          <w:szCs w:val="24"/>
        </w:rPr>
      </w:pPr>
      <w:r>
        <w:rPr>
          <w:rFonts w:ascii="Gotham Book" w:hAnsi="Gotham Book" w:cs="Times New Roman"/>
          <w:sz w:val="24"/>
          <w:szCs w:val="24"/>
        </w:rPr>
        <w:t xml:space="preserve">It seems almost inevitable over the next decade that Australia will choose to reduce significantly the </w:t>
      </w:r>
      <w:r w:rsidR="00FE26F5">
        <w:rPr>
          <w:rFonts w:ascii="Gotham Book" w:hAnsi="Gotham Book" w:cs="Times New Roman"/>
          <w:sz w:val="24"/>
          <w:szCs w:val="24"/>
        </w:rPr>
        <w:t xml:space="preserve">overall </w:t>
      </w:r>
      <w:r>
        <w:rPr>
          <w:rFonts w:ascii="Gotham Book" w:hAnsi="Gotham Book" w:cs="Times New Roman"/>
          <w:sz w:val="24"/>
          <w:szCs w:val="24"/>
        </w:rPr>
        <w:t xml:space="preserve">carbon intensity of its economy. If, say, Australia chose to ‘be a world average citizen’, it would need to reduce </w:t>
      </w:r>
      <w:r w:rsidR="006F046E">
        <w:rPr>
          <w:rFonts w:ascii="Gotham Book" w:hAnsi="Gotham Book" w:cs="Times New Roman"/>
          <w:sz w:val="24"/>
          <w:szCs w:val="24"/>
        </w:rPr>
        <w:t xml:space="preserve">the </w:t>
      </w:r>
      <w:r>
        <w:rPr>
          <w:rFonts w:ascii="Gotham Book" w:hAnsi="Gotham Book" w:cs="Times New Roman"/>
          <w:sz w:val="24"/>
          <w:szCs w:val="24"/>
        </w:rPr>
        <w:t xml:space="preserve">carbon intensity </w:t>
      </w:r>
      <w:r w:rsidR="006F046E">
        <w:rPr>
          <w:rFonts w:ascii="Gotham Book" w:hAnsi="Gotham Book" w:cs="Times New Roman"/>
          <w:sz w:val="24"/>
          <w:szCs w:val="24"/>
        </w:rPr>
        <w:t xml:space="preserve">of </w:t>
      </w:r>
      <w:r w:rsidR="00FE26F5">
        <w:rPr>
          <w:rFonts w:ascii="Gotham Book" w:hAnsi="Gotham Book" w:cs="Times New Roman"/>
          <w:sz w:val="24"/>
          <w:szCs w:val="24"/>
        </w:rPr>
        <w:t xml:space="preserve">the </w:t>
      </w:r>
      <w:r w:rsidR="006F046E">
        <w:rPr>
          <w:rFonts w:ascii="Gotham Book" w:hAnsi="Gotham Book" w:cs="Times New Roman"/>
          <w:sz w:val="24"/>
          <w:szCs w:val="24"/>
        </w:rPr>
        <w:t>energy supply</w:t>
      </w:r>
      <w:r w:rsidR="00FE26F5">
        <w:rPr>
          <w:rFonts w:ascii="Gotham Book" w:hAnsi="Gotham Book" w:cs="Times New Roman"/>
          <w:sz w:val="24"/>
          <w:szCs w:val="24"/>
        </w:rPr>
        <w:t xml:space="preserve"> sector</w:t>
      </w:r>
      <w:r w:rsidR="006F046E">
        <w:rPr>
          <w:rFonts w:ascii="Gotham Book" w:hAnsi="Gotham Book" w:cs="Times New Roman"/>
          <w:sz w:val="24"/>
          <w:szCs w:val="24"/>
        </w:rPr>
        <w:t xml:space="preserve"> </w:t>
      </w:r>
      <w:r>
        <w:rPr>
          <w:rFonts w:ascii="Gotham Book" w:hAnsi="Gotham Book" w:cs="Times New Roman"/>
          <w:sz w:val="24"/>
          <w:szCs w:val="24"/>
        </w:rPr>
        <w:t>by</w:t>
      </w:r>
      <w:r w:rsidR="00FE26F5">
        <w:rPr>
          <w:rFonts w:ascii="Gotham Book" w:hAnsi="Gotham Book" w:cs="Times New Roman"/>
          <w:sz w:val="24"/>
          <w:szCs w:val="24"/>
        </w:rPr>
        <w:t xml:space="preserve"> </w:t>
      </w:r>
      <w:r>
        <w:rPr>
          <w:rFonts w:ascii="Gotham Book" w:hAnsi="Gotham Book" w:cs="Times New Roman"/>
          <w:sz w:val="24"/>
          <w:szCs w:val="24"/>
        </w:rPr>
        <w:t>5</w:t>
      </w:r>
      <w:r w:rsidR="006F046E">
        <w:rPr>
          <w:rFonts w:ascii="Gotham Book" w:hAnsi="Gotham Book" w:cs="Times New Roman"/>
          <w:sz w:val="24"/>
          <w:szCs w:val="24"/>
        </w:rPr>
        <w:t>9</w:t>
      </w:r>
      <w:r>
        <w:rPr>
          <w:rFonts w:ascii="Gotham Book" w:hAnsi="Gotham Book" w:cs="Times New Roman"/>
          <w:sz w:val="24"/>
          <w:szCs w:val="24"/>
        </w:rPr>
        <w:t>% by 2035</w:t>
      </w:r>
      <w:r w:rsidR="006F046E">
        <w:rPr>
          <w:rFonts w:ascii="Gotham Book" w:hAnsi="Gotham Book" w:cs="Times New Roman"/>
          <w:sz w:val="24"/>
          <w:szCs w:val="24"/>
        </w:rPr>
        <w:t xml:space="preserve"> on 2005 levels</w:t>
      </w:r>
      <w:r>
        <w:rPr>
          <w:rFonts w:ascii="Gotham Book" w:hAnsi="Gotham Book" w:cs="Times New Roman"/>
          <w:sz w:val="24"/>
          <w:szCs w:val="24"/>
        </w:rPr>
        <w:t xml:space="preserve">. To be a world </w:t>
      </w:r>
      <w:r w:rsidR="00FE26F5">
        <w:rPr>
          <w:rFonts w:ascii="Gotham Book" w:hAnsi="Gotham Book" w:cs="Times New Roman"/>
          <w:sz w:val="24"/>
          <w:szCs w:val="24"/>
        </w:rPr>
        <w:t xml:space="preserve">average </w:t>
      </w:r>
      <w:r>
        <w:rPr>
          <w:rFonts w:ascii="Gotham Book" w:hAnsi="Gotham Book" w:cs="Times New Roman"/>
          <w:sz w:val="24"/>
          <w:szCs w:val="24"/>
        </w:rPr>
        <w:t>citizen, the pressure on New Zealand would be significantly less because its carbon intensity is already so much lower.</w:t>
      </w:r>
    </w:p>
    <w:p w:rsidR="00C05C1C" w:rsidRPr="004821CB" w:rsidRDefault="00C05C1C" w:rsidP="00C05C1C">
      <w:pPr>
        <w:rPr>
          <w:rFonts w:ascii="Gotham Book" w:hAnsi="Gotham Book"/>
          <w:sz w:val="24"/>
          <w:szCs w:val="24"/>
        </w:rPr>
      </w:pPr>
      <w:r w:rsidRPr="004821CB">
        <w:rPr>
          <w:rFonts w:ascii="Gotham Book" w:hAnsi="Gotham Book" w:cs="Times New Roman"/>
          <w:sz w:val="24"/>
          <w:szCs w:val="24"/>
        </w:rPr>
        <w:t>Judged by their actions</w:t>
      </w:r>
      <w:r>
        <w:rPr>
          <w:rFonts w:ascii="Gotham Book" w:hAnsi="Gotham Book" w:cs="Times New Roman"/>
          <w:sz w:val="24"/>
          <w:szCs w:val="24"/>
        </w:rPr>
        <w:t xml:space="preserve"> rather than their words, it is difficult to escape the conclusion that the two Australian </w:t>
      </w:r>
      <w:proofErr w:type="spellStart"/>
      <w:r>
        <w:rPr>
          <w:rFonts w:ascii="Gotham Book" w:hAnsi="Gotham Book" w:cs="Times New Roman"/>
          <w:sz w:val="24"/>
          <w:szCs w:val="24"/>
        </w:rPr>
        <w:t>gentailers</w:t>
      </w:r>
      <w:proofErr w:type="spellEnd"/>
      <w:r>
        <w:rPr>
          <w:rFonts w:ascii="Gotham Book" w:hAnsi="Gotham Book" w:cs="Times New Roman"/>
          <w:sz w:val="24"/>
          <w:szCs w:val="24"/>
        </w:rPr>
        <w:t>, AGL and Origin, are not well prepared for the impending decarbonisation of Australia’s energy sector.</w:t>
      </w:r>
      <w:r w:rsidRPr="00082F47">
        <w:rPr>
          <w:rFonts w:ascii="Gotham Book" w:hAnsi="Gotham Book" w:cs="Times New Roman"/>
          <w:sz w:val="24"/>
          <w:szCs w:val="24"/>
        </w:rPr>
        <w:t xml:space="preserve"> </w:t>
      </w:r>
      <w:r>
        <w:rPr>
          <w:rFonts w:ascii="Gotham Book" w:hAnsi="Gotham Book" w:cs="Times New Roman"/>
          <w:sz w:val="24"/>
          <w:szCs w:val="24"/>
        </w:rPr>
        <w:t xml:space="preserve">The New Zealand companies, </w:t>
      </w:r>
      <w:proofErr w:type="spellStart"/>
      <w:r>
        <w:rPr>
          <w:rFonts w:ascii="Gotham Book" w:hAnsi="Gotham Book" w:cs="Times New Roman"/>
          <w:sz w:val="24"/>
          <w:szCs w:val="24"/>
        </w:rPr>
        <w:t>Infratil</w:t>
      </w:r>
      <w:proofErr w:type="spellEnd"/>
      <w:r>
        <w:rPr>
          <w:rFonts w:ascii="Gotham Book" w:hAnsi="Gotham Book" w:cs="Times New Roman"/>
          <w:sz w:val="24"/>
          <w:szCs w:val="24"/>
        </w:rPr>
        <w:t xml:space="preserve">, </w:t>
      </w:r>
      <w:proofErr w:type="spellStart"/>
      <w:r>
        <w:rPr>
          <w:rFonts w:ascii="Gotham Book" w:hAnsi="Gotham Book" w:cs="Times New Roman"/>
          <w:sz w:val="24"/>
          <w:szCs w:val="24"/>
        </w:rPr>
        <w:t>Trustpower</w:t>
      </w:r>
      <w:proofErr w:type="spellEnd"/>
      <w:r>
        <w:rPr>
          <w:rFonts w:ascii="Gotham Book" w:hAnsi="Gotham Book" w:cs="Times New Roman"/>
          <w:sz w:val="24"/>
          <w:szCs w:val="24"/>
        </w:rPr>
        <w:t xml:space="preserve"> and Contact Energy, are significantly less exposed.</w:t>
      </w:r>
      <w:r w:rsidR="00EB3A46">
        <w:rPr>
          <w:rFonts w:ascii="Gotham Book" w:hAnsi="Gotham Book" w:cs="Times New Roman"/>
          <w:sz w:val="24"/>
          <w:szCs w:val="24"/>
        </w:rPr>
        <w:t xml:space="preserve"> </w:t>
      </w:r>
    </w:p>
    <w:p w:rsidR="00902C7D" w:rsidRDefault="00902C7D" w:rsidP="00902C7D">
      <w:pPr>
        <w:rPr>
          <w:rFonts w:ascii="Gotham Book" w:hAnsi="Gotham Book" w:cs="Times New Roman"/>
          <w:sz w:val="24"/>
          <w:szCs w:val="24"/>
        </w:rPr>
      </w:pPr>
    </w:p>
    <w:p w:rsidR="003042C6" w:rsidRPr="003042C6" w:rsidRDefault="003042C6" w:rsidP="00902C7D">
      <w:pPr>
        <w:rPr>
          <w:rFonts w:ascii="Gotham Book" w:hAnsi="Gotham Book"/>
          <w:b/>
          <w:sz w:val="24"/>
          <w:szCs w:val="24"/>
        </w:rPr>
      </w:pPr>
    </w:p>
    <w:p w:rsidR="00082F47" w:rsidRDefault="00082F47" w:rsidP="00AD6B79">
      <w:pPr>
        <w:rPr>
          <w:rFonts w:ascii="Gotham Book" w:hAnsi="Gotham Book"/>
          <w:b/>
          <w:sz w:val="32"/>
          <w:szCs w:val="32"/>
        </w:rPr>
      </w:pPr>
      <w:r>
        <w:rPr>
          <w:rFonts w:ascii="Gotham Book" w:hAnsi="Gotham Book"/>
          <w:b/>
          <w:sz w:val="32"/>
          <w:szCs w:val="32"/>
        </w:rPr>
        <w:br w:type="page"/>
      </w:r>
    </w:p>
    <w:p w:rsidR="00AD6B79" w:rsidRDefault="00AD6B79" w:rsidP="00AD6B79">
      <w:pPr>
        <w:rPr>
          <w:rFonts w:ascii="Gotham Book" w:hAnsi="Gotham Book"/>
          <w:b/>
          <w:sz w:val="32"/>
          <w:szCs w:val="32"/>
        </w:rPr>
      </w:pPr>
      <w:r w:rsidRPr="00B82DF1">
        <w:rPr>
          <w:rFonts w:ascii="Gotham Book" w:hAnsi="Gotham Book"/>
          <w:b/>
          <w:sz w:val="32"/>
          <w:szCs w:val="32"/>
        </w:rPr>
        <w:lastRenderedPageBreak/>
        <w:t>Introduction</w:t>
      </w:r>
    </w:p>
    <w:p w:rsidR="00326285" w:rsidRPr="00CB370B" w:rsidRDefault="00326285" w:rsidP="00326285">
      <w:pPr>
        <w:rPr>
          <w:rFonts w:ascii="Gotham Book" w:hAnsi="Gotham Book"/>
          <w:sz w:val="24"/>
          <w:szCs w:val="24"/>
        </w:rPr>
      </w:pPr>
      <w:r w:rsidRPr="00CB370B">
        <w:rPr>
          <w:rFonts w:ascii="Gotham Book" w:hAnsi="Gotham Book"/>
          <w:sz w:val="24"/>
          <w:szCs w:val="24"/>
        </w:rPr>
        <w:t>This paper deals with the exposu</w:t>
      </w:r>
      <w:r>
        <w:rPr>
          <w:rFonts w:ascii="Gotham Book" w:hAnsi="Gotham Book"/>
          <w:sz w:val="24"/>
          <w:szCs w:val="24"/>
        </w:rPr>
        <w:t xml:space="preserve">re of the major Australasian-listed </w:t>
      </w:r>
      <w:proofErr w:type="spellStart"/>
      <w:r>
        <w:rPr>
          <w:rFonts w:ascii="Gotham Book" w:hAnsi="Gotham Book"/>
          <w:sz w:val="24"/>
          <w:szCs w:val="24"/>
        </w:rPr>
        <w:t>gentailers</w:t>
      </w:r>
      <w:proofErr w:type="spellEnd"/>
      <w:r w:rsidRPr="00CB370B">
        <w:rPr>
          <w:rFonts w:ascii="Gotham Book" w:hAnsi="Gotham Book"/>
          <w:sz w:val="24"/>
          <w:szCs w:val="24"/>
        </w:rPr>
        <w:t xml:space="preserve"> to ‘</w:t>
      </w:r>
      <w:proofErr w:type="spellStart"/>
      <w:r w:rsidRPr="00CB370B">
        <w:rPr>
          <w:rFonts w:ascii="Gotham Book" w:hAnsi="Gotham Book"/>
          <w:sz w:val="24"/>
          <w:szCs w:val="24"/>
        </w:rPr>
        <w:t>unburnable</w:t>
      </w:r>
      <w:proofErr w:type="spellEnd"/>
      <w:r w:rsidRPr="00CB370B">
        <w:rPr>
          <w:rFonts w:ascii="Gotham Book" w:hAnsi="Gotham Book"/>
          <w:sz w:val="24"/>
          <w:szCs w:val="24"/>
        </w:rPr>
        <w:t xml:space="preserve"> carbon</w:t>
      </w:r>
      <w:r>
        <w:rPr>
          <w:rFonts w:ascii="Gotham Book" w:hAnsi="Gotham Book"/>
          <w:sz w:val="24"/>
          <w:szCs w:val="24"/>
        </w:rPr>
        <w:t>’ risk</w:t>
      </w:r>
      <w:r w:rsidRPr="00CB370B">
        <w:rPr>
          <w:rFonts w:ascii="Gotham Book" w:hAnsi="Gotham Book"/>
          <w:sz w:val="24"/>
          <w:szCs w:val="24"/>
        </w:rPr>
        <w:t xml:space="preserve">. In other words, it considers the risk that the fossil </w:t>
      </w:r>
      <w:r>
        <w:rPr>
          <w:rFonts w:ascii="Gotham Book" w:hAnsi="Gotham Book"/>
          <w:sz w:val="24"/>
          <w:szCs w:val="24"/>
        </w:rPr>
        <w:t>fuel emissions they generate</w:t>
      </w:r>
      <w:r w:rsidRPr="00CB370B">
        <w:rPr>
          <w:rFonts w:ascii="Gotham Book" w:hAnsi="Gotham Book"/>
          <w:sz w:val="24"/>
          <w:szCs w:val="24"/>
        </w:rPr>
        <w:t xml:space="preserve"> will become a pr</w:t>
      </w:r>
      <w:r>
        <w:rPr>
          <w:rFonts w:ascii="Gotham Book" w:hAnsi="Gotham Book"/>
          <w:sz w:val="24"/>
          <w:szCs w:val="24"/>
        </w:rPr>
        <w:t>oblem either for them, and/or for their shareholders,</w:t>
      </w:r>
      <w:r w:rsidRPr="00CB370B">
        <w:rPr>
          <w:rFonts w:ascii="Gotham Book" w:hAnsi="Gotham Book"/>
          <w:sz w:val="24"/>
          <w:szCs w:val="24"/>
        </w:rPr>
        <w:t xml:space="preserve"> because of the world’s fossil fuel budget. The paper </w:t>
      </w:r>
      <w:r>
        <w:rPr>
          <w:rFonts w:ascii="Gotham Book" w:hAnsi="Gotham Book"/>
          <w:sz w:val="24"/>
          <w:szCs w:val="24"/>
        </w:rPr>
        <w:t>has 3</w:t>
      </w:r>
      <w:r w:rsidRPr="00CB370B">
        <w:rPr>
          <w:rFonts w:ascii="Gotham Book" w:hAnsi="Gotham Book"/>
          <w:sz w:val="24"/>
          <w:szCs w:val="24"/>
        </w:rPr>
        <w:t xml:space="preserve"> sections. </w:t>
      </w:r>
    </w:p>
    <w:p w:rsidR="00326285" w:rsidRDefault="00326285" w:rsidP="00326285">
      <w:pPr>
        <w:rPr>
          <w:rFonts w:ascii="Gotham Book" w:hAnsi="Gotham Book"/>
          <w:sz w:val="24"/>
          <w:szCs w:val="24"/>
        </w:rPr>
      </w:pPr>
      <w:r>
        <w:rPr>
          <w:rFonts w:ascii="Gotham Book" w:hAnsi="Gotham Book"/>
          <w:sz w:val="24"/>
          <w:szCs w:val="24"/>
        </w:rPr>
        <w:t xml:space="preserve">The first section provides economic background. At some point in the future, energy supply including power generation will have to shift away from fossil fuels, firstly </w:t>
      </w:r>
      <w:r w:rsidR="00C05C1C">
        <w:rPr>
          <w:rFonts w:ascii="Gotham Book" w:hAnsi="Gotham Book"/>
          <w:sz w:val="24"/>
          <w:szCs w:val="24"/>
        </w:rPr>
        <w:t xml:space="preserve">from </w:t>
      </w:r>
      <w:r>
        <w:rPr>
          <w:rFonts w:ascii="Gotham Book" w:hAnsi="Gotham Book"/>
          <w:sz w:val="24"/>
          <w:szCs w:val="24"/>
        </w:rPr>
        <w:t>coal. In consequence, there will be both a substantial impact on the operations of energy suppliers, and almost inevitable write-downs of fossil fuel and fossil fuel-related assets. This pressure is likely to be particularly acute in Australia.</w:t>
      </w:r>
    </w:p>
    <w:p w:rsidR="00326285" w:rsidRDefault="00326285" w:rsidP="00326285">
      <w:pPr>
        <w:rPr>
          <w:rFonts w:ascii="Gotham Book" w:hAnsi="Gotham Book"/>
          <w:sz w:val="24"/>
          <w:szCs w:val="24"/>
        </w:rPr>
      </w:pPr>
      <w:r>
        <w:rPr>
          <w:rFonts w:ascii="Gotham Book" w:hAnsi="Gotham Book"/>
          <w:sz w:val="24"/>
          <w:szCs w:val="24"/>
        </w:rPr>
        <w:t xml:space="preserve">The second section provides some background to assist with an assessment of the magnitude of this risk as it affects particular companies. It deals with the nature of the exposure of five companies –3 ASX and 3 NZX listed companies. They are AGL, </w:t>
      </w:r>
      <w:proofErr w:type="spellStart"/>
      <w:r>
        <w:rPr>
          <w:rFonts w:ascii="Gotham Book" w:hAnsi="Gotham Book"/>
          <w:sz w:val="24"/>
          <w:szCs w:val="24"/>
        </w:rPr>
        <w:t>Infratil</w:t>
      </w:r>
      <w:proofErr w:type="spellEnd"/>
      <w:r>
        <w:rPr>
          <w:rFonts w:ascii="Gotham Book" w:hAnsi="Gotham Book"/>
          <w:sz w:val="24"/>
          <w:szCs w:val="24"/>
        </w:rPr>
        <w:t xml:space="preserve"> (dual listed), Origin, Contact Energy</w:t>
      </w:r>
      <w:r w:rsidR="00020C0D">
        <w:rPr>
          <w:rStyle w:val="FootnoteReference"/>
          <w:rFonts w:ascii="Gotham Book" w:hAnsi="Gotham Book"/>
          <w:sz w:val="24"/>
          <w:szCs w:val="24"/>
        </w:rPr>
        <w:footnoteReference w:id="3"/>
      </w:r>
      <w:r>
        <w:rPr>
          <w:rFonts w:ascii="Gotham Book" w:hAnsi="Gotham Book"/>
          <w:sz w:val="24"/>
          <w:szCs w:val="24"/>
        </w:rPr>
        <w:t xml:space="preserve"> and </w:t>
      </w:r>
      <w:proofErr w:type="spellStart"/>
      <w:r>
        <w:rPr>
          <w:rFonts w:ascii="Gotham Book" w:hAnsi="Gotham Book"/>
          <w:sz w:val="24"/>
          <w:szCs w:val="24"/>
        </w:rPr>
        <w:t>Trustpower</w:t>
      </w:r>
      <w:proofErr w:type="spellEnd"/>
      <w:r>
        <w:rPr>
          <w:rFonts w:ascii="Gotham Book" w:hAnsi="Gotham Book"/>
          <w:sz w:val="24"/>
          <w:szCs w:val="24"/>
        </w:rPr>
        <w:t xml:space="preserve">.  </w:t>
      </w:r>
    </w:p>
    <w:p w:rsidR="00326285" w:rsidRDefault="00326285" w:rsidP="00326285">
      <w:pPr>
        <w:rPr>
          <w:rFonts w:ascii="Gotham Book" w:hAnsi="Gotham Book"/>
          <w:sz w:val="24"/>
          <w:szCs w:val="24"/>
        </w:rPr>
      </w:pPr>
      <w:r>
        <w:rPr>
          <w:rFonts w:ascii="Gotham Book" w:hAnsi="Gotham Book"/>
          <w:sz w:val="24"/>
          <w:szCs w:val="24"/>
        </w:rPr>
        <w:t xml:space="preserve">Section 3 describes the current responses of each of these companies to </w:t>
      </w:r>
      <w:proofErr w:type="spellStart"/>
      <w:r>
        <w:rPr>
          <w:rFonts w:ascii="Gotham Book" w:hAnsi="Gotham Book"/>
          <w:sz w:val="24"/>
          <w:szCs w:val="24"/>
        </w:rPr>
        <w:t>unburnable</w:t>
      </w:r>
      <w:proofErr w:type="spellEnd"/>
      <w:r>
        <w:rPr>
          <w:rFonts w:ascii="Gotham Book" w:hAnsi="Gotham Book"/>
          <w:sz w:val="24"/>
          <w:szCs w:val="24"/>
        </w:rPr>
        <w:t xml:space="preserve"> carbon risk. </w:t>
      </w:r>
    </w:p>
    <w:p w:rsidR="00326285" w:rsidRPr="00B82DF1" w:rsidRDefault="00326285" w:rsidP="00AD6B79">
      <w:pPr>
        <w:rPr>
          <w:rFonts w:ascii="Gotham Book" w:hAnsi="Gotham Book"/>
          <w:b/>
          <w:sz w:val="32"/>
          <w:szCs w:val="32"/>
        </w:rPr>
      </w:pPr>
    </w:p>
    <w:p w:rsidR="00AF584F" w:rsidRPr="00A40FCA" w:rsidRDefault="00AF584F" w:rsidP="00AF584F">
      <w:pPr>
        <w:pStyle w:val="ListParagraph"/>
        <w:numPr>
          <w:ilvl w:val="0"/>
          <w:numId w:val="2"/>
        </w:numPr>
        <w:rPr>
          <w:rFonts w:ascii="Gotham Book" w:hAnsi="Gotham Book"/>
          <w:b/>
          <w:sz w:val="32"/>
          <w:szCs w:val="32"/>
        </w:rPr>
      </w:pPr>
      <w:r w:rsidRPr="00A40FCA">
        <w:rPr>
          <w:rFonts w:ascii="Gotham Book" w:hAnsi="Gotham Book"/>
          <w:b/>
          <w:sz w:val="32"/>
          <w:szCs w:val="32"/>
        </w:rPr>
        <w:t>Eco</w:t>
      </w:r>
      <w:r w:rsidR="00FA3CE6">
        <w:rPr>
          <w:rFonts w:ascii="Gotham Book" w:hAnsi="Gotham Book"/>
          <w:b/>
          <w:sz w:val="32"/>
          <w:szCs w:val="32"/>
        </w:rPr>
        <w:t>nomic background</w:t>
      </w:r>
      <w:r w:rsidRPr="00C461B1">
        <w:rPr>
          <w:rStyle w:val="FootnoteReference"/>
          <w:rFonts w:ascii="Gotham Book" w:hAnsi="Gotham Book"/>
          <w:b/>
          <w:sz w:val="32"/>
          <w:szCs w:val="32"/>
        </w:rPr>
        <w:footnoteReference w:id="4"/>
      </w:r>
    </w:p>
    <w:p w:rsidR="00FA3CE6" w:rsidRDefault="00AF584F" w:rsidP="00AF584F">
      <w:pPr>
        <w:rPr>
          <w:rFonts w:ascii="Gotham Book" w:hAnsi="Gotham Book"/>
          <w:sz w:val="24"/>
          <w:szCs w:val="24"/>
        </w:rPr>
      </w:pPr>
      <w:r w:rsidRPr="00B64BA4">
        <w:rPr>
          <w:rFonts w:ascii="Gotham Book" w:hAnsi="Gotham Book"/>
          <w:sz w:val="24"/>
          <w:szCs w:val="24"/>
        </w:rPr>
        <w:t>Under the United Nations Framework Convention on Climate Change</w:t>
      </w:r>
      <w:r w:rsidR="00C05C1C">
        <w:rPr>
          <w:rFonts w:ascii="Gotham Book" w:hAnsi="Gotham Book"/>
          <w:sz w:val="24"/>
          <w:szCs w:val="24"/>
        </w:rPr>
        <w:t>,</w:t>
      </w:r>
      <w:r>
        <w:rPr>
          <w:rFonts w:ascii="Gotham Book" w:hAnsi="Gotham Book"/>
          <w:sz w:val="24"/>
          <w:szCs w:val="24"/>
        </w:rPr>
        <w:t xml:space="preserve"> countries have agreed that 2° C of</w:t>
      </w:r>
      <w:r w:rsidRPr="00B64BA4">
        <w:rPr>
          <w:rFonts w:ascii="Gotham Book" w:hAnsi="Gotham Book"/>
          <w:sz w:val="24"/>
          <w:szCs w:val="24"/>
        </w:rPr>
        <w:t xml:space="preserve"> </w:t>
      </w:r>
      <w:r>
        <w:rPr>
          <w:rFonts w:ascii="Gotham Book" w:hAnsi="Gotham Book"/>
          <w:sz w:val="24"/>
          <w:szCs w:val="24"/>
        </w:rPr>
        <w:t xml:space="preserve">global </w:t>
      </w:r>
      <w:r w:rsidRPr="00B64BA4">
        <w:rPr>
          <w:rFonts w:ascii="Gotham Book" w:hAnsi="Gotham Book"/>
          <w:sz w:val="24"/>
          <w:szCs w:val="24"/>
        </w:rPr>
        <w:t>warming is the maximum acceptable upper threshold.</w:t>
      </w:r>
      <w:r>
        <w:rPr>
          <w:rFonts w:ascii="Gotham Book" w:hAnsi="Gotham Book"/>
          <w:sz w:val="24"/>
          <w:szCs w:val="24"/>
        </w:rPr>
        <w:t xml:space="preserve"> This agreed ceiling sets a ‘budget’ on worldwide fossil fuel emissions</w:t>
      </w:r>
      <w:r w:rsidR="00FA3CE6">
        <w:rPr>
          <w:rFonts w:ascii="Gotham Book" w:hAnsi="Gotham Book"/>
          <w:sz w:val="24"/>
          <w:szCs w:val="24"/>
        </w:rPr>
        <w:t xml:space="preserve"> for future decades</w:t>
      </w:r>
      <w:r>
        <w:rPr>
          <w:rFonts w:ascii="Gotham Book" w:hAnsi="Gotham Book"/>
          <w:sz w:val="24"/>
          <w:szCs w:val="24"/>
        </w:rPr>
        <w:t xml:space="preserve">. </w:t>
      </w:r>
    </w:p>
    <w:p w:rsidR="00FA3CE6" w:rsidRDefault="00FA3CE6" w:rsidP="00FA3CE6">
      <w:pPr>
        <w:rPr>
          <w:rFonts w:ascii="Gotham Book" w:hAnsi="Gotham Book"/>
          <w:sz w:val="24"/>
          <w:szCs w:val="24"/>
        </w:rPr>
      </w:pPr>
      <w:r>
        <w:rPr>
          <w:rFonts w:ascii="Gotham Book" w:hAnsi="Gotham Book"/>
          <w:sz w:val="24"/>
          <w:szCs w:val="24"/>
        </w:rPr>
        <w:t>Clearly the</w:t>
      </w:r>
      <w:r w:rsidR="00AB7923">
        <w:rPr>
          <w:rFonts w:ascii="Gotham Book" w:hAnsi="Gotham Book"/>
          <w:sz w:val="24"/>
          <w:szCs w:val="24"/>
        </w:rPr>
        <w:t xml:space="preserve"> resulting</w:t>
      </w:r>
      <w:r>
        <w:rPr>
          <w:rFonts w:ascii="Gotham Book" w:hAnsi="Gotham Book"/>
          <w:sz w:val="24"/>
          <w:szCs w:val="24"/>
        </w:rPr>
        <w:t xml:space="preserve"> problem of </w:t>
      </w:r>
      <w:proofErr w:type="spellStart"/>
      <w:r>
        <w:rPr>
          <w:rFonts w:ascii="Gotham Book" w:hAnsi="Gotham Book"/>
          <w:sz w:val="24"/>
          <w:szCs w:val="24"/>
        </w:rPr>
        <w:t>unburnable</w:t>
      </w:r>
      <w:proofErr w:type="spellEnd"/>
      <w:r>
        <w:rPr>
          <w:rFonts w:ascii="Gotham Book" w:hAnsi="Gotham Book"/>
          <w:sz w:val="24"/>
          <w:szCs w:val="24"/>
        </w:rPr>
        <w:t xml:space="preserve"> carbon needs addressing </w:t>
      </w:r>
      <w:r w:rsidR="00C05C1C">
        <w:rPr>
          <w:rFonts w:ascii="Gotham Book" w:hAnsi="Gotham Book"/>
          <w:sz w:val="24"/>
          <w:szCs w:val="24"/>
        </w:rPr>
        <w:t>and</w:t>
      </w:r>
      <w:r>
        <w:rPr>
          <w:rFonts w:ascii="Gotham Book" w:hAnsi="Gotham Book"/>
          <w:sz w:val="24"/>
          <w:szCs w:val="24"/>
        </w:rPr>
        <w:t>, as with</w:t>
      </w:r>
      <w:r w:rsidRPr="00135C4B">
        <w:rPr>
          <w:rFonts w:ascii="Gotham Book" w:hAnsi="Gotham Book"/>
          <w:sz w:val="24"/>
          <w:szCs w:val="24"/>
        </w:rPr>
        <w:t xml:space="preserve"> </w:t>
      </w:r>
      <w:r w:rsidR="00C05C1C">
        <w:rPr>
          <w:rFonts w:ascii="Gotham Book" w:hAnsi="Gotham Book"/>
          <w:sz w:val="24"/>
          <w:szCs w:val="24"/>
        </w:rPr>
        <w:t xml:space="preserve">the removal of </w:t>
      </w:r>
      <w:r w:rsidRPr="00135C4B">
        <w:rPr>
          <w:rFonts w:ascii="Gotham Book" w:hAnsi="Gotham Book"/>
          <w:sz w:val="24"/>
          <w:szCs w:val="24"/>
        </w:rPr>
        <w:t>tariff protection</w:t>
      </w:r>
      <w:r>
        <w:rPr>
          <w:rFonts w:ascii="Gotham Book" w:hAnsi="Gotham Book"/>
          <w:sz w:val="24"/>
          <w:szCs w:val="24"/>
        </w:rPr>
        <w:t xml:space="preserve">, initially there will be winners and losers. </w:t>
      </w:r>
      <w:r w:rsidR="00C05C1C">
        <w:rPr>
          <w:rFonts w:ascii="Gotham Book" w:hAnsi="Gotham Book"/>
          <w:sz w:val="24"/>
          <w:szCs w:val="24"/>
        </w:rPr>
        <w:t>Eventually e</w:t>
      </w:r>
      <w:r w:rsidRPr="00135C4B">
        <w:rPr>
          <w:rFonts w:ascii="Gotham Book" w:hAnsi="Gotham Book"/>
          <w:sz w:val="24"/>
          <w:szCs w:val="24"/>
        </w:rPr>
        <w:t xml:space="preserve">verybody </w:t>
      </w:r>
      <w:proofErr w:type="gramStart"/>
      <w:r w:rsidRPr="00135C4B">
        <w:rPr>
          <w:rFonts w:ascii="Gotham Book" w:hAnsi="Gotham Book"/>
          <w:sz w:val="24"/>
          <w:szCs w:val="24"/>
        </w:rPr>
        <w:t>will</w:t>
      </w:r>
      <w:r w:rsidR="00326285">
        <w:rPr>
          <w:rFonts w:ascii="Gotham Book" w:hAnsi="Gotham Book"/>
          <w:sz w:val="24"/>
          <w:szCs w:val="24"/>
        </w:rPr>
        <w:t xml:space="preserve"> </w:t>
      </w:r>
      <w:r w:rsidRPr="00135C4B">
        <w:rPr>
          <w:rFonts w:ascii="Gotham Book" w:hAnsi="Gotham Book"/>
          <w:sz w:val="24"/>
          <w:szCs w:val="24"/>
        </w:rPr>
        <w:t xml:space="preserve"> be</w:t>
      </w:r>
      <w:proofErr w:type="gramEnd"/>
      <w:r w:rsidRPr="00135C4B">
        <w:rPr>
          <w:rFonts w:ascii="Gotham Book" w:hAnsi="Gotham Book"/>
          <w:sz w:val="24"/>
          <w:szCs w:val="24"/>
        </w:rPr>
        <w:t xml:space="preserve"> better </w:t>
      </w:r>
      <w:r>
        <w:rPr>
          <w:rFonts w:ascii="Gotham Book" w:hAnsi="Gotham Book"/>
          <w:sz w:val="24"/>
          <w:szCs w:val="24"/>
        </w:rPr>
        <w:t xml:space="preserve">off </w:t>
      </w:r>
      <w:r w:rsidRPr="00135C4B">
        <w:rPr>
          <w:rFonts w:ascii="Gotham Book" w:hAnsi="Gotham Book"/>
          <w:sz w:val="24"/>
          <w:szCs w:val="24"/>
        </w:rPr>
        <w:t>if this problem is addressed</w:t>
      </w:r>
      <w:r>
        <w:rPr>
          <w:rFonts w:ascii="Gotham Book" w:hAnsi="Gotham Book"/>
          <w:sz w:val="24"/>
          <w:szCs w:val="24"/>
        </w:rPr>
        <w:t xml:space="preserve"> but initially some countries and businesses will be a lot worse off, so the </w:t>
      </w:r>
      <w:r w:rsidRPr="00511DC8">
        <w:rPr>
          <w:rFonts w:ascii="Gotham Book" w:hAnsi="Gotham Book"/>
          <w:i/>
          <w:sz w:val="24"/>
          <w:szCs w:val="24"/>
        </w:rPr>
        <w:t xml:space="preserve">political </w:t>
      </w:r>
      <w:r>
        <w:rPr>
          <w:rFonts w:ascii="Gotham Book" w:hAnsi="Gotham Book"/>
          <w:sz w:val="24"/>
          <w:szCs w:val="24"/>
        </w:rPr>
        <w:t>process of recognising the need for physical constraint of emissions is slow and difficult. However, slowly escalating regulatory action, reduced fossil fuel subsidisation</w:t>
      </w:r>
      <w:r>
        <w:rPr>
          <w:rStyle w:val="FootnoteReference"/>
          <w:rFonts w:ascii="Gotham Book" w:hAnsi="Gotham Book"/>
          <w:sz w:val="24"/>
          <w:szCs w:val="24"/>
        </w:rPr>
        <w:footnoteReference w:id="5"/>
      </w:r>
      <w:r>
        <w:rPr>
          <w:rFonts w:ascii="Gotham Book" w:hAnsi="Gotham Book"/>
          <w:sz w:val="24"/>
          <w:szCs w:val="24"/>
        </w:rPr>
        <w:t xml:space="preserve"> and socio-political stigmatisation, particularly of thermal coal extraction and use, are all bringing mounting </w:t>
      </w:r>
      <w:r>
        <w:rPr>
          <w:rFonts w:ascii="Gotham Book" w:hAnsi="Gotham Book"/>
          <w:sz w:val="24"/>
          <w:szCs w:val="24"/>
        </w:rPr>
        <w:lastRenderedPageBreak/>
        <w:t>pressure on</w:t>
      </w:r>
      <w:r w:rsidR="00223D84">
        <w:rPr>
          <w:rFonts w:ascii="Gotham Book" w:hAnsi="Gotham Book"/>
          <w:sz w:val="24"/>
          <w:szCs w:val="24"/>
        </w:rPr>
        <w:t xml:space="preserve"> </w:t>
      </w:r>
      <w:r>
        <w:rPr>
          <w:rFonts w:ascii="Gotham Book" w:hAnsi="Gotham Book"/>
          <w:sz w:val="24"/>
          <w:szCs w:val="24"/>
        </w:rPr>
        <w:t xml:space="preserve">the ‘carbon bubble’.  Whether it will burst with a sudden bang, a long slow whimper or some combination of both is not yet clear. </w:t>
      </w:r>
    </w:p>
    <w:p w:rsidR="00FA3CE6" w:rsidRDefault="00FA3CE6" w:rsidP="00FA3CE6">
      <w:pPr>
        <w:rPr>
          <w:rFonts w:ascii="Gotham Book" w:hAnsi="Gotham Book"/>
          <w:sz w:val="24"/>
          <w:szCs w:val="24"/>
        </w:rPr>
      </w:pPr>
      <w:r>
        <w:rPr>
          <w:rFonts w:ascii="Gotham Book" w:hAnsi="Gotham Book"/>
          <w:sz w:val="24"/>
          <w:szCs w:val="24"/>
        </w:rPr>
        <w:t xml:space="preserve">Because of their position as high and high-profile emitters the </w:t>
      </w:r>
      <w:proofErr w:type="spellStart"/>
      <w:r>
        <w:rPr>
          <w:rFonts w:ascii="Gotham Book" w:hAnsi="Gotham Book"/>
          <w:sz w:val="24"/>
          <w:szCs w:val="24"/>
        </w:rPr>
        <w:t>gentailers</w:t>
      </w:r>
      <w:proofErr w:type="spellEnd"/>
      <w:r>
        <w:rPr>
          <w:rFonts w:ascii="Gotham Book" w:hAnsi="Gotham Book"/>
          <w:sz w:val="24"/>
          <w:szCs w:val="24"/>
        </w:rPr>
        <w:t xml:space="preserve"> have 3</w:t>
      </w:r>
      <w:r w:rsidRPr="003F587E">
        <w:rPr>
          <w:rFonts w:ascii="Gotham Book" w:hAnsi="Gotham Book"/>
          <w:sz w:val="24"/>
          <w:szCs w:val="24"/>
        </w:rPr>
        <w:t xml:space="preserve"> </w:t>
      </w:r>
      <w:r>
        <w:rPr>
          <w:rFonts w:ascii="Gotham Book" w:hAnsi="Gotham Book"/>
          <w:sz w:val="24"/>
          <w:szCs w:val="24"/>
        </w:rPr>
        <w:t xml:space="preserve">potential </w:t>
      </w:r>
      <w:r w:rsidRPr="003F587E">
        <w:rPr>
          <w:rFonts w:ascii="Gotham Book" w:hAnsi="Gotham Book"/>
          <w:sz w:val="24"/>
          <w:szCs w:val="24"/>
        </w:rPr>
        <w:t xml:space="preserve">sources of exposure to </w:t>
      </w:r>
      <w:r>
        <w:rPr>
          <w:rFonts w:ascii="Gotham Book" w:hAnsi="Gotham Book"/>
          <w:sz w:val="24"/>
          <w:szCs w:val="24"/>
        </w:rPr>
        <w:t>this ‘</w:t>
      </w:r>
      <w:proofErr w:type="spellStart"/>
      <w:r>
        <w:rPr>
          <w:rFonts w:ascii="Gotham Book" w:hAnsi="Gotham Book"/>
          <w:sz w:val="24"/>
          <w:szCs w:val="24"/>
        </w:rPr>
        <w:t>unburnable</w:t>
      </w:r>
      <w:proofErr w:type="spellEnd"/>
      <w:r>
        <w:rPr>
          <w:rFonts w:ascii="Gotham Book" w:hAnsi="Gotham Book"/>
          <w:sz w:val="24"/>
          <w:szCs w:val="24"/>
        </w:rPr>
        <w:t xml:space="preserve"> carbon bubble’ risk</w:t>
      </w:r>
      <w:r w:rsidRPr="003F587E">
        <w:rPr>
          <w:rFonts w:ascii="Gotham Book" w:hAnsi="Gotham Book"/>
          <w:sz w:val="24"/>
          <w:szCs w:val="24"/>
        </w:rPr>
        <w:t>:</w:t>
      </w:r>
    </w:p>
    <w:p w:rsidR="00FA3CE6" w:rsidRPr="00FA3CE6" w:rsidRDefault="00FA3CE6" w:rsidP="00FA3CE6">
      <w:pPr>
        <w:pStyle w:val="ListParagraph"/>
        <w:numPr>
          <w:ilvl w:val="0"/>
          <w:numId w:val="1"/>
        </w:numPr>
        <w:rPr>
          <w:rFonts w:ascii="Gotham Book" w:hAnsi="Gotham Book"/>
          <w:sz w:val="24"/>
          <w:szCs w:val="24"/>
        </w:rPr>
      </w:pPr>
      <w:r>
        <w:rPr>
          <w:rFonts w:ascii="Gotham Book" w:hAnsi="Gotham Book"/>
          <w:sz w:val="24"/>
          <w:szCs w:val="24"/>
        </w:rPr>
        <w:t xml:space="preserve">compression </w:t>
      </w:r>
      <w:r w:rsidR="00B80B40">
        <w:rPr>
          <w:rFonts w:ascii="Gotham Book" w:hAnsi="Gotham Book"/>
          <w:sz w:val="24"/>
          <w:szCs w:val="24"/>
        </w:rPr>
        <w:t xml:space="preserve">of the profit margin </w:t>
      </w:r>
      <w:r>
        <w:rPr>
          <w:rFonts w:ascii="Gotham Book" w:hAnsi="Gotham Book"/>
          <w:sz w:val="24"/>
          <w:szCs w:val="24"/>
        </w:rPr>
        <w:t xml:space="preserve">on operations stemming from price or regulatory changes; </w:t>
      </w:r>
    </w:p>
    <w:p w:rsidR="00FA3CE6" w:rsidRDefault="00FA3CE6" w:rsidP="00FA3CE6">
      <w:pPr>
        <w:pStyle w:val="ListParagraph"/>
        <w:numPr>
          <w:ilvl w:val="0"/>
          <w:numId w:val="1"/>
        </w:numPr>
        <w:rPr>
          <w:rFonts w:ascii="Gotham Book" w:hAnsi="Gotham Book"/>
          <w:sz w:val="24"/>
          <w:szCs w:val="24"/>
        </w:rPr>
      </w:pPr>
      <w:r>
        <w:rPr>
          <w:rFonts w:ascii="Gotham Book" w:hAnsi="Gotham Book"/>
          <w:sz w:val="24"/>
          <w:szCs w:val="24"/>
        </w:rPr>
        <w:t xml:space="preserve">immediate on balance sheet loss resulting from write-downs of </w:t>
      </w:r>
      <w:r w:rsidR="00917603">
        <w:rPr>
          <w:rFonts w:ascii="Gotham Book" w:hAnsi="Gotham Book"/>
          <w:sz w:val="24"/>
          <w:szCs w:val="24"/>
        </w:rPr>
        <w:t xml:space="preserve">generating assets or </w:t>
      </w:r>
      <w:r>
        <w:rPr>
          <w:rFonts w:ascii="Gotham Book" w:hAnsi="Gotham Book"/>
          <w:sz w:val="24"/>
          <w:szCs w:val="24"/>
        </w:rPr>
        <w:t>reserves</w:t>
      </w:r>
      <w:r w:rsidRPr="003F587E">
        <w:rPr>
          <w:rFonts w:ascii="Gotham Book" w:hAnsi="Gotham Book"/>
          <w:sz w:val="24"/>
          <w:szCs w:val="24"/>
        </w:rPr>
        <w:t>;</w:t>
      </w:r>
    </w:p>
    <w:p w:rsidR="00326285" w:rsidRPr="000C340A" w:rsidRDefault="00326285">
      <w:pPr>
        <w:pStyle w:val="ListParagraph"/>
        <w:numPr>
          <w:ilvl w:val="0"/>
          <w:numId w:val="1"/>
        </w:numPr>
        <w:rPr>
          <w:rFonts w:ascii="Gotham Book" w:hAnsi="Gotham Book"/>
          <w:sz w:val="24"/>
          <w:szCs w:val="24"/>
        </w:rPr>
      </w:pPr>
      <w:r>
        <w:rPr>
          <w:rFonts w:ascii="Gotham Book" w:hAnsi="Gotham Book"/>
          <w:sz w:val="24"/>
          <w:szCs w:val="24"/>
        </w:rPr>
        <w:t xml:space="preserve">reputational exposure - in particular, the risk </w:t>
      </w:r>
      <w:r w:rsidR="00C05C1C">
        <w:rPr>
          <w:rFonts w:ascii="Gotham Book" w:hAnsi="Gotham Book"/>
          <w:sz w:val="24"/>
          <w:szCs w:val="24"/>
        </w:rPr>
        <w:t xml:space="preserve">of </w:t>
      </w:r>
      <w:r>
        <w:rPr>
          <w:rFonts w:ascii="Gotham Book" w:hAnsi="Gotham Book"/>
          <w:sz w:val="24"/>
          <w:szCs w:val="24"/>
        </w:rPr>
        <w:t>being seen to be ‘part of the problem’ resulting in</w:t>
      </w:r>
      <w:r w:rsidRPr="003F587E">
        <w:rPr>
          <w:rFonts w:ascii="Gotham Book" w:hAnsi="Gotham Book"/>
          <w:sz w:val="24"/>
          <w:szCs w:val="24"/>
        </w:rPr>
        <w:t xml:space="preserve"> </w:t>
      </w:r>
      <w:r>
        <w:rPr>
          <w:rFonts w:ascii="Gotham Book" w:hAnsi="Gotham Book"/>
          <w:sz w:val="24"/>
          <w:szCs w:val="24"/>
        </w:rPr>
        <w:t>loss of custom, diminished credibility and influence on public policy</w:t>
      </w:r>
      <w:r w:rsidR="00C05C1C">
        <w:rPr>
          <w:rFonts w:ascii="Gotham Book" w:hAnsi="Gotham Book"/>
          <w:sz w:val="24"/>
          <w:szCs w:val="24"/>
        </w:rPr>
        <w:t>,</w:t>
      </w:r>
      <w:r>
        <w:rPr>
          <w:rFonts w:ascii="Gotham Book" w:hAnsi="Gotham Book"/>
          <w:sz w:val="24"/>
          <w:szCs w:val="24"/>
        </w:rPr>
        <w:t xml:space="preserve"> and reduced attractiveness as an employer.</w:t>
      </w:r>
    </w:p>
    <w:p w:rsidR="00FA3CE6" w:rsidRPr="00BD0653" w:rsidRDefault="00FA3CE6" w:rsidP="00FA3CE6">
      <w:pPr>
        <w:rPr>
          <w:rFonts w:ascii="Gotham Book" w:hAnsi="Gotham Book"/>
          <w:b/>
          <w:i/>
          <w:sz w:val="24"/>
          <w:szCs w:val="24"/>
        </w:rPr>
      </w:pPr>
      <w:r w:rsidRPr="00BD0653">
        <w:rPr>
          <w:rFonts w:ascii="Gotham Book" w:hAnsi="Gotham Book"/>
          <w:b/>
          <w:i/>
          <w:sz w:val="24"/>
          <w:szCs w:val="24"/>
        </w:rPr>
        <w:t xml:space="preserve">1.1 </w:t>
      </w:r>
      <w:r w:rsidR="00917603">
        <w:rPr>
          <w:rFonts w:ascii="Gotham Book" w:hAnsi="Gotham Book"/>
          <w:b/>
          <w:i/>
          <w:sz w:val="24"/>
          <w:szCs w:val="24"/>
        </w:rPr>
        <w:t>Public policy</w:t>
      </w:r>
    </w:p>
    <w:p w:rsidR="00FA3CE6" w:rsidRPr="00FA3CE6" w:rsidRDefault="00FA3CE6" w:rsidP="00FA3CE6">
      <w:pPr>
        <w:rPr>
          <w:rFonts w:ascii="Gotham Book" w:hAnsi="Gotham Book"/>
          <w:sz w:val="24"/>
          <w:szCs w:val="24"/>
        </w:rPr>
      </w:pPr>
      <w:r w:rsidRPr="00FA3CE6">
        <w:rPr>
          <w:rFonts w:ascii="Gotham Book" w:hAnsi="Gotham Book"/>
          <w:sz w:val="24"/>
          <w:szCs w:val="24"/>
        </w:rPr>
        <w:t xml:space="preserve">The discussion below firstly sets out some relevant statistics, in an international context, of the carbon intensity of overall energy supply and the power grid in Australia and New Zealand. </w:t>
      </w:r>
      <w:r w:rsidR="00B80B40">
        <w:rPr>
          <w:rFonts w:ascii="Gotham Book" w:hAnsi="Gotham Book"/>
          <w:sz w:val="24"/>
          <w:szCs w:val="24"/>
        </w:rPr>
        <w:t xml:space="preserve">Secondly, it canvasses the potential impact </w:t>
      </w:r>
      <w:r w:rsidR="00A7132E">
        <w:rPr>
          <w:rFonts w:ascii="Gotham Book" w:hAnsi="Gotham Book"/>
          <w:sz w:val="24"/>
          <w:szCs w:val="24"/>
        </w:rPr>
        <w:t xml:space="preserve">of </w:t>
      </w:r>
      <w:r w:rsidR="00AB7923">
        <w:rPr>
          <w:rFonts w:ascii="Gotham Book" w:hAnsi="Gotham Book"/>
          <w:sz w:val="24"/>
          <w:szCs w:val="24"/>
        </w:rPr>
        <w:t xml:space="preserve">likely public policy response </w:t>
      </w:r>
      <w:r w:rsidR="00B80B40">
        <w:rPr>
          <w:rFonts w:ascii="Gotham Book" w:hAnsi="Gotham Book"/>
          <w:sz w:val="24"/>
          <w:szCs w:val="24"/>
        </w:rPr>
        <w:t>on energy suppliers.</w:t>
      </w:r>
    </w:p>
    <w:p w:rsidR="00FA3CE6" w:rsidRPr="00B80B40" w:rsidRDefault="00FA3CE6" w:rsidP="00B80B40">
      <w:pPr>
        <w:rPr>
          <w:rFonts w:ascii="Gotham Book" w:hAnsi="Gotham Book"/>
          <w:sz w:val="24"/>
          <w:szCs w:val="24"/>
        </w:rPr>
      </w:pPr>
      <w:r w:rsidRPr="00B80B40">
        <w:rPr>
          <w:rFonts w:ascii="Gotham Book" w:hAnsi="Gotham Book"/>
          <w:sz w:val="24"/>
          <w:szCs w:val="24"/>
        </w:rPr>
        <w:t>The IEA calculates carbon intensity of energy supply across time and countries. Globally, energy sector carbon intensity needs to decline</w:t>
      </w:r>
      <w:r w:rsidR="00A7132E">
        <w:rPr>
          <w:rFonts w:ascii="Gotham Book" w:hAnsi="Gotham Book"/>
          <w:sz w:val="24"/>
          <w:szCs w:val="24"/>
        </w:rPr>
        <w:t xml:space="preserve"> from current levels</w:t>
      </w:r>
      <w:r w:rsidRPr="00B80B40">
        <w:rPr>
          <w:rFonts w:ascii="Gotham Book" w:hAnsi="Gotham Book"/>
          <w:sz w:val="24"/>
          <w:szCs w:val="24"/>
        </w:rPr>
        <w:t xml:space="preserve"> by 6% by 2020, 43% by 2035 and 64% by 2050 to hold global warming to the agreed 2° C. </w:t>
      </w:r>
    </w:p>
    <w:p w:rsidR="00FA3CE6" w:rsidRDefault="00C05C1C" w:rsidP="00B80B40">
      <w:pPr>
        <w:rPr>
          <w:rFonts w:ascii="Gotham Book" w:hAnsi="Gotham Book"/>
          <w:sz w:val="24"/>
          <w:szCs w:val="24"/>
        </w:rPr>
      </w:pPr>
      <w:r>
        <w:rPr>
          <w:rFonts w:ascii="Gotham Book" w:hAnsi="Gotham Book"/>
          <w:sz w:val="24"/>
          <w:szCs w:val="24"/>
        </w:rPr>
        <w:t>The c</w:t>
      </w:r>
      <w:r w:rsidR="00FA3CE6" w:rsidRPr="00B80B40">
        <w:rPr>
          <w:rFonts w:ascii="Gotham Book" w:hAnsi="Gotham Book"/>
          <w:sz w:val="24"/>
          <w:szCs w:val="24"/>
        </w:rPr>
        <w:t>arbon intensity of energy supply is exceptionally high in Australia by world standards - 35% above the world average</w:t>
      </w:r>
      <w:r w:rsidR="00FE26F5">
        <w:rPr>
          <w:rFonts w:ascii="Gotham Book" w:hAnsi="Gotham Book"/>
          <w:sz w:val="24"/>
          <w:szCs w:val="24"/>
        </w:rPr>
        <w:t xml:space="preserve"> in 2011</w:t>
      </w:r>
      <w:r w:rsidR="00FA3CE6" w:rsidRPr="00B80B40">
        <w:rPr>
          <w:rFonts w:ascii="Gotham Book" w:hAnsi="Gotham Book"/>
          <w:sz w:val="24"/>
          <w:szCs w:val="24"/>
        </w:rPr>
        <w:t>. By contrast, it is 30% below world average in New Zealand. Likewise the Australian power grid is exceptionally carbon intensive by world standards - 54% above world average.</w:t>
      </w:r>
      <w:r w:rsidR="00ED3912">
        <w:rPr>
          <w:rStyle w:val="FootnoteReference"/>
          <w:rFonts w:ascii="Gotham Book" w:hAnsi="Gotham Book"/>
          <w:sz w:val="24"/>
          <w:szCs w:val="24"/>
        </w:rPr>
        <w:footnoteReference w:id="6"/>
      </w:r>
      <w:r w:rsidR="00FA3CE6" w:rsidRPr="00B80B40">
        <w:rPr>
          <w:rFonts w:ascii="Gotham Book" w:hAnsi="Gotham Book"/>
          <w:sz w:val="24"/>
          <w:szCs w:val="24"/>
        </w:rPr>
        <w:t xml:space="preserve"> The carbon intensity of world energy supply has remained reasonably s</w:t>
      </w:r>
      <w:r w:rsidR="003015B6">
        <w:rPr>
          <w:rFonts w:ascii="Gotham Book" w:hAnsi="Gotham Book"/>
          <w:sz w:val="24"/>
          <w:szCs w:val="24"/>
        </w:rPr>
        <w:t xml:space="preserve">teady over the past two decades. </w:t>
      </w:r>
      <w:r w:rsidR="00326285">
        <w:rPr>
          <w:rFonts w:ascii="Gotham Book" w:hAnsi="Gotham Book"/>
          <w:sz w:val="24"/>
          <w:szCs w:val="24"/>
        </w:rPr>
        <w:t>T</w:t>
      </w:r>
      <w:r w:rsidR="00326285" w:rsidRPr="00B80B40">
        <w:rPr>
          <w:rFonts w:ascii="Gotham Book" w:hAnsi="Gotham Book"/>
          <w:sz w:val="24"/>
          <w:szCs w:val="24"/>
        </w:rPr>
        <w:t xml:space="preserve">his has comprised a reduction in </w:t>
      </w:r>
      <w:r w:rsidR="00BD3171">
        <w:rPr>
          <w:rFonts w:ascii="Gotham Book" w:hAnsi="Gotham Book"/>
          <w:sz w:val="24"/>
          <w:szCs w:val="24"/>
        </w:rPr>
        <w:t xml:space="preserve">energy sector </w:t>
      </w:r>
      <w:r w:rsidR="00326285" w:rsidRPr="00B80B40">
        <w:rPr>
          <w:rFonts w:ascii="Gotham Book" w:hAnsi="Gotham Book"/>
          <w:sz w:val="24"/>
          <w:szCs w:val="24"/>
        </w:rPr>
        <w:t xml:space="preserve">carbon intensity in the OECD countries </w:t>
      </w:r>
      <w:proofErr w:type="gramStart"/>
      <w:r w:rsidR="00020C0D">
        <w:rPr>
          <w:rFonts w:ascii="Gotham Book" w:hAnsi="Gotham Book"/>
          <w:sz w:val="24"/>
          <w:szCs w:val="24"/>
        </w:rPr>
        <w:t xml:space="preserve">which </w:t>
      </w:r>
      <w:r w:rsidR="00326285">
        <w:rPr>
          <w:rFonts w:ascii="Gotham Book" w:hAnsi="Gotham Book"/>
          <w:sz w:val="24"/>
          <w:szCs w:val="24"/>
        </w:rPr>
        <w:t xml:space="preserve"> has</w:t>
      </w:r>
      <w:proofErr w:type="gramEnd"/>
      <w:r w:rsidR="00326285">
        <w:rPr>
          <w:rFonts w:ascii="Gotham Book" w:hAnsi="Gotham Book"/>
          <w:sz w:val="24"/>
          <w:szCs w:val="24"/>
        </w:rPr>
        <w:t xml:space="preserve"> been </w:t>
      </w:r>
      <w:r w:rsidR="00326285" w:rsidRPr="00B80B40">
        <w:rPr>
          <w:rFonts w:ascii="Gotham Book" w:hAnsi="Gotham Book"/>
          <w:sz w:val="24"/>
          <w:szCs w:val="24"/>
        </w:rPr>
        <w:t>offset by a significant incre</w:t>
      </w:r>
      <w:r w:rsidR="00326285">
        <w:rPr>
          <w:rFonts w:ascii="Gotham Book" w:hAnsi="Gotham Book"/>
          <w:sz w:val="24"/>
          <w:szCs w:val="24"/>
        </w:rPr>
        <w:t xml:space="preserve">ase in the non-OECD countries. </w:t>
      </w:r>
      <w:r w:rsidR="003015B6">
        <w:rPr>
          <w:rFonts w:ascii="Gotham Book" w:hAnsi="Gotham Book"/>
          <w:sz w:val="24"/>
          <w:szCs w:val="24"/>
        </w:rPr>
        <w:t>However, t</w:t>
      </w:r>
      <w:r w:rsidR="00FA3CE6" w:rsidRPr="00B80B40">
        <w:rPr>
          <w:rFonts w:ascii="Gotham Book" w:hAnsi="Gotham Book"/>
          <w:sz w:val="24"/>
          <w:szCs w:val="24"/>
        </w:rPr>
        <w:t>he carbon intensity of energy supply in Australia</w:t>
      </w:r>
      <w:r w:rsidR="003015B6">
        <w:rPr>
          <w:rFonts w:ascii="Gotham Book" w:hAnsi="Gotham Book"/>
          <w:sz w:val="24"/>
          <w:szCs w:val="24"/>
        </w:rPr>
        <w:t xml:space="preserve"> has increased in excess of the increase</w:t>
      </w:r>
      <w:r w:rsidR="00FA3CE6" w:rsidRPr="00B80B40">
        <w:rPr>
          <w:rFonts w:ascii="Gotham Book" w:hAnsi="Gotham Book"/>
          <w:sz w:val="24"/>
          <w:szCs w:val="24"/>
        </w:rPr>
        <w:t xml:space="preserve"> in the non-OECD countries since 1990.</w:t>
      </w:r>
      <w:r w:rsidR="009350DA">
        <w:rPr>
          <w:rStyle w:val="FootnoteReference"/>
          <w:rFonts w:ascii="Gotham Book" w:hAnsi="Gotham Book"/>
          <w:sz w:val="24"/>
          <w:szCs w:val="24"/>
        </w:rPr>
        <w:footnoteReference w:id="7"/>
      </w:r>
      <w:r w:rsidR="00FA3CE6" w:rsidRPr="00B80B40">
        <w:rPr>
          <w:rFonts w:ascii="Gotham Book" w:hAnsi="Gotham Book"/>
          <w:sz w:val="24"/>
          <w:szCs w:val="24"/>
        </w:rPr>
        <w:t xml:space="preserve"> By </w:t>
      </w:r>
      <w:r w:rsidR="00FA3CE6" w:rsidRPr="00B80B40">
        <w:rPr>
          <w:rFonts w:ascii="Gotham Book" w:hAnsi="Gotham Book"/>
          <w:sz w:val="24"/>
          <w:szCs w:val="24"/>
        </w:rPr>
        <w:lastRenderedPageBreak/>
        <w:t>contrast</w:t>
      </w:r>
      <w:r>
        <w:rPr>
          <w:rFonts w:ascii="Gotham Book" w:hAnsi="Gotham Book"/>
          <w:sz w:val="24"/>
          <w:szCs w:val="24"/>
        </w:rPr>
        <w:t>, in New Zealand</w:t>
      </w:r>
      <w:r w:rsidR="00FA3CE6" w:rsidRPr="00B80B40">
        <w:rPr>
          <w:rFonts w:ascii="Gotham Book" w:hAnsi="Gotham Book"/>
          <w:sz w:val="24"/>
          <w:szCs w:val="24"/>
        </w:rPr>
        <w:t xml:space="preserve"> it has decreased in line with other OECD countries.</w:t>
      </w:r>
      <w:r w:rsidR="00FA3CE6">
        <w:rPr>
          <w:rStyle w:val="FootnoteReference"/>
          <w:rFonts w:ascii="Gotham Book" w:hAnsi="Gotham Book"/>
          <w:sz w:val="24"/>
          <w:szCs w:val="24"/>
        </w:rPr>
        <w:footnoteReference w:id="8"/>
      </w:r>
    </w:p>
    <w:p w:rsidR="000E5821" w:rsidRPr="00B80B40" w:rsidRDefault="00326285" w:rsidP="00B80B40">
      <w:pPr>
        <w:rPr>
          <w:rFonts w:ascii="Gotham Book" w:hAnsi="Gotham Book"/>
          <w:sz w:val="24"/>
          <w:szCs w:val="24"/>
        </w:rPr>
      </w:pPr>
      <w:r w:rsidRPr="00642EFF">
        <w:rPr>
          <w:rFonts w:ascii="Gotham Book" w:hAnsi="Gotham Book"/>
          <w:sz w:val="24"/>
          <w:szCs w:val="24"/>
        </w:rPr>
        <w:t xml:space="preserve">Black thermal coal </w:t>
      </w:r>
      <w:r>
        <w:rPr>
          <w:rFonts w:ascii="Gotham Book" w:hAnsi="Gotham Book"/>
          <w:sz w:val="24"/>
          <w:szCs w:val="24"/>
        </w:rPr>
        <w:t xml:space="preserve">and </w:t>
      </w:r>
      <w:r w:rsidRPr="00642EFF">
        <w:rPr>
          <w:rFonts w:ascii="Gotham Book" w:hAnsi="Gotham Book"/>
          <w:sz w:val="24"/>
          <w:szCs w:val="24"/>
        </w:rPr>
        <w:t>gas are inter</w:t>
      </w:r>
      <w:r>
        <w:rPr>
          <w:rFonts w:ascii="Gotham Book" w:hAnsi="Gotham Book"/>
          <w:sz w:val="24"/>
          <w:szCs w:val="24"/>
        </w:rPr>
        <w:t>nationally tradable commodities although is only recently that the latter has become so for east coast customers</w:t>
      </w:r>
      <w:r>
        <w:rPr>
          <w:rStyle w:val="FootnoteReference"/>
          <w:rFonts w:ascii="Gotham Book" w:hAnsi="Gotham Book"/>
          <w:sz w:val="24"/>
          <w:szCs w:val="24"/>
        </w:rPr>
        <w:footnoteReference w:id="9"/>
      </w:r>
      <w:r>
        <w:rPr>
          <w:rFonts w:ascii="Gotham Book" w:hAnsi="Gotham Book"/>
          <w:sz w:val="24"/>
          <w:szCs w:val="24"/>
        </w:rPr>
        <w:t>. International policy efforts to hold global warming to a 2° C limit are likely first  to reduce producer prices received by Australian</w:t>
      </w:r>
      <w:r w:rsidR="00C05C1C">
        <w:rPr>
          <w:rFonts w:ascii="Gotham Book" w:hAnsi="Gotham Book"/>
          <w:sz w:val="24"/>
          <w:szCs w:val="24"/>
        </w:rPr>
        <w:t xml:space="preserve"> and foreign country</w:t>
      </w:r>
      <w:r>
        <w:rPr>
          <w:rFonts w:ascii="Gotham Book" w:hAnsi="Gotham Book"/>
          <w:sz w:val="24"/>
          <w:szCs w:val="24"/>
        </w:rPr>
        <w:t xml:space="preserve"> thermal coal exporters. This will mean a</w:t>
      </w:r>
      <w:r w:rsidR="0056233A">
        <w:rPr>
          <w:rFonts w:ascii="Gotham Book" w:hAnsi="Gotham Book"/>
          <w:sz w:val="24"/>
          <w:szCs w:val="24"/>
        </w:rPr>
        <w:t>n</w:t>
      </w:r>
      <w:r>
        <w:rPr>
          <w:rFonts w:ascii="Gotham Book" w:hAnsi="Gotham Book"/>
          <w:sz w:val="24"/>
          <w:szCs w:val="24"/>
        </w:rPr>
        <w:t xml:space="preserve"> initial reduction of prices paid by Australian coal buyers. Thus Australia,</w:t>
      </w:r>
      <w:r w:rsidR="00C05C1C">
        <w:rPr>
          <w:rFonts w:ascii="Gotham Book" w:hAnsi="Gotham Book"/>
          <w:sz w:val="24"/>
          <w:szCs w:val="24"/>
        </w:rPr>
        <w:t xml:space="preserve"> if it were to </w:t>
      </w:r>
      <w:proofErr w:type="gramStart"/>
      <w:r w:rsidR="00C05C1C">
        <w:rPr>
          <w:rFonts w:ascii="Gotham Book" w:hAnsi="Gotham Book"/>
          <w:sz w:val="24"/>
          <w:szCs w:val="24"/>
        </w:rPr>
        <w:t>choose</w:t>
      </w:r>
      <w:r>
        <w:rPr>
          <w:rFonts w:ascii="Gotham Book" w:hAnsi="Gotham Book"/>
          <w:sz w:val="24"/>
          <w:szCs w:val="24"/>
        </w:rPr>
        <w:t xml:space="preserve">  to</w:t>
      </w:r>
      <w:proofErr w:type="gramEnd"/>
      <w:r>
        <w:rPr>
          <w:rFonts w:ascii="Gotham Book" w:hAnsi="Gotham Book"/>
          <w:sz w:val="24"/>
          <w:szCs w:val="24"/>
        </w:rPr>
        <w:t xml:space="preserve"> remain an international </w:t>
      </w:r>
      <w:r w:rsidR="00C05C1C">
        <w:rPr>
          <w:rFonts w:ascii="Gotham Book" w:hAnsi="Gotham Book"/>
          <w:sz w:val="24"/>
          <w:szCs w:val="24"/>
        </w:rPr>
        <w:t xml:space="preserve">laggard with respect to its </w:t>
      </w:r>
      <w:r>
        <w:rPr>
          <w:rFonts w:ascii="Gotham Book" w:hAnsi="Gotham Book"/>
          <w:sz w:val="24"/>
          <w:szCs w:val="24"/>
        </w:rPr>
        <w:t xml:space="preserve">climate change response, could likely enjoy lower wholesale power prices for a time. </w:t>
      </w:r>
      <w:r w:rsidR="00F850CC">
        <w:rPr>
          <w:rFonts w:ascii="Gotham Book" w:hAnsi="Gotham Book"/>
          <w:sz w:val="24"/>
          <w:szCs w:val="24"/>
        </w:rPr>
        <w:t>Though</w:t>
      </w:r>
      <w:r w:rsidR="00223D84">
        <w:rPr>
          <w:rFonts w:ascii="Gotham Book" w:hAnsi="Gotham Book"/>
          <w:sz w:val="24"/>
          <w:szCs w:val="24"/>
        </w:rPr>
        <w:t xml:space="preserve"> note </w:t>
      </w:r>
      <w:r w:rsidR="00F850CC">
        <w:rPr>
          <w:rFonts w:ascii="Gotham Book" w:hAnsi="Gotham Book"/>
          <w:sz w:val="24"/>
          <w:szCs w:val="24"/>
        </w:rPr>
        <w:t xml:space="preserve">recent </w:t>
      </w:r>
      <w:r w:rsidR="00223D84">
        <w:rPr>
          <w:rFonts w:ascii="Gotham Book" w:hAnsi="Gotham Book"/>
          <w:sz w:val="24"/>
          <w:szCs w:val="24"/>
        </w:rPr>
        <w:t>excessive investment in the grid has resulted in rapid escalation of retail electricity prices which has materially curtailed demand</w:t>
      </w:r>
      <w:r w:rsidR="000E5821">
        <w:rPr>
          <w:rFonts w:ascii="Gotham Book" w:hAnsi="Gotham Book"/>
          <w:sz w:val="24"/>
          <w:szCs w:val="24"/>
        </w:rPr>
        <w:t xml:space="preserve">. </w:t>
      </w:r>
    </w:p>
    <w:p w:rsidR="00FA3CE6" w:rsidRDefault="00FA3CE6" w:rsidP="00B80B40">
      <w:pPr>
        <w:rPr>
          <w:rFonts w:ascii="Gotham Book" w:hAnsi="Gotham Book"/>
          <w:sz w:val="24"/>
          <w:szCs w:val="24"/>
        </w:rPr>
      </w:pPr>
      <w:r w:rsidRPr="00B80B40">
        <w:rPr>
          <w:rFonts w:ascii="Gotham Book" w:hAnsi="Gotham Book"/>
          <w:sz w:val="24"/>
          <w:szCs w:val="24"/>
        </w:rPr>
        <w:t xml:space="preserve">The Australian government recently published an Energy White Paper. </w:t>
      </w:r>
      <w:r w:rsidR="00C05C1C">
        <w:rPr>
          <w:rFonts w:ascii="Gotham Book" w:hAnsi="Gotham Book"/>
          <w:sz w:val="24"/>
          <w:szCs w:val="24"/>
        </w:rPr>
        <w:t>Inexplicably,</w:t>
      </w:r>
      <w:r w:rsidR="00020C0D">
        <w:rPr>
          <w:rFonts w:ascii="Gotham Book" w:hAnsi="Gotham Book"/>
          <w:sz w:val="24"/>
          <w:szCs w:val="24"/>
        </w:rPr>
        <w:t xml:space="preserve"> </w:t>
      </w:r>
      <w:r w:rsidRPr="00B80B40">
        <w:rPr>
          <w:rFonts w:ascii="Gotham Book" w:hAnsi="Gotham Book"/>
          <w:sz w:val="24"/>
          <w:szCs w:val="24"/>
        </w:rPr>
        <w:t>it contains minimal reference to climate change.</w:t>
      </w:r>
      <w:r>
        <w:rPr>
          <w:rStyle w:val="FootnoteReference"/>
          <w:rFonts w:ascii="Gotham Book" w:hAnsi="Gotham Book"/>
          <w:sz w:val="24"/>
          <w:szCs w:val="24"/>
        </w:rPr>
        <w:footnoteReference w:id="10"/>
      </w:r>
      <w:r w:rsidRPr="00B80B40">
        <w:rPr>
          <w:rFonts w:ascii="Gotham Book" w:hAnsi="Gotham Book"/>
          <w:sz w:val="24"/>
          <w:szCs w:val="24"/>
        </w:rPr>
        <w:t xml:space="preserve"> Nevertheless, given the figures above</w:t>
      </w:r>
      <w:r w:rsidR="00020C0D">
        <w:rPr>
          <w:rFonts w:ascii="Gotham Book" w:hAnsi="Gotham Book"/>
          <w:sz w:val="24"/>
          <w:szCs w:val="24"/>
        </w:rPr>
        <w:t xml:space="preserve"> and the recently announced </w:t>
      </w:r>
      <w:r w:rsidR="00466ED1">
        <w:rPr>
          <w:rFonts w:ascii="Gotham Book" w:hAnsi="Gotham Book"/>
          <w:sz w:val="24"/>
          <w:szCs w:val="24"/>
        </w:rPr>
        <w:t xml:space="preserve">26-28% </w:t>
      </w:r>
      <w:r w:rsidR="00020C0D">
        <w:rPr>
          <w:rFonts w:ascii="Gotham Book" w:hAnsi="Gotham Book"/>
          <w:sz w:val="24"/>
          <w:szCs w:val="24"/>
        </w:rPr>
        <w:t>emission reduction target</w:t>
      </w:r>
      <w:r w:rsidRPr="00B80B40">
        <w:rPr>
          <w:rFonts w:ascii="Gotham Book" w:hAnsi="Gotham Book"/>
          <w:sz w:val="24"/>
          <w:szCs w:val="24"/>
        </w:rPr>
        <w:t xml:space="preserve"> it is hard to imagine, viewed over </w:t>
      </w:r>
      <w:r w:rsidR="003015B6">
        <w:rPr>
          <w:rFonts w:ascii="Gotham Book" w:hAnsi="Gotham Book"/>
          <w:sz w:val="24"/>
          <w:szCs w:val="24"/>
        </w:rPr>
        <w:t>a</w:t>
      </w:r>
      <w:r w:rsidRPr="00B80B40">
        <w:rPr>
          <w:rFonts w:ascii="Gotham Book" w:hAnsi="Gotham Book"/>
          <w:sz w:val="24"/>
          <w:szCs w:val="24"/>
        </w:rPr>
        <w:t xml:space="preserve"> period of </w:t>
      </w:r>
      <w:r w:rsidR="00C05C1C">
        <w:rPr>
          <w:rFonts w:ascii="Gotham Book" w:hAnsi="Gotham Book"/>
          <w:sz w:val="24"/>
          <w:szCs w:val="24"/>
        </w:rPr>
        <w:t xml:space="preserve">the next </w:t>
      </w:r>
      <w:r w:rsidRPr="00B80B40">
        <w:rPr>
          <w:rFonts w:ascii="Gotham Book" w:hAnsi="Gotham Book"/>
          <w:sz w:val="24"/>
          <w:szCs w:val="24"/>
        </w:rPr>
        <w:t>decade or more</w:t>
      </w:r>
      <w:r w:rsidR="00B80B40">
        <w:rPr>
          <w:rStyle w:val="FootnoteReference"/>
          <w:rFonts w:ascii="Gotham Book" w:hAnsi="Gotham Book"/>
          <w:sz w:val="24"/>
          <w:szCs w:val="24"/>
        </w:rPr>
        <w:footnoteReference w:id="11"/>
      </w:r>
      <w:r w:rsidRPr="00B80B40">
        <w:rPr>
          <w:rFonts w:ascii="Gotham Book" w:hAnsi="Gotham Book"/>
          <w:sz w:val="24"/>
          <w:szCs w:val="24"/>
        </w:rPr>
        <w:t>,</w:t>
      </w:r>
      <w:r w:rsidR="0056233A">
        <w:rPr>
          <w:rFonts w:ascii="Gotham Book" w:hAnsi="Gotham Book"/>
          <w:sz w:val="24"/>
          <w:szCs w:val="24"/>
        </w:rPr>
        <w:t xml:space="preserve"> </w:t>
      </w:r>
      <w:r w:rsidR="00326285">
        <w:rPr>
          <w:rFonts w:ascii="Gotham Book" w:hAnsi="Gotham Book"/>
          <w:sz w:val="24"/>
          <w:szCs w:val="24"/>
        </w:rPr>
        <w:t xml:space="preserve">that </w:t>
      </w:r>
      <w:r w:rsidRPr="00B80B40">
        <w:rPr>
          <w:rFonts w:ascii="Gotham Book" w:hAnsi="Gotham Book"/>
          <w:sz w:val="24"/>
          <w:szCs w:val="24"/>
        </w:rPr>
        <w:t>Australia will not</w:t>
      </w:r>
      <w:r w:rsidR="003015B6">
        <w:rPr>
          <w:rFonts w:ascii="Gotham Book" w:hAnsi="Gotham Book"/>
          <w:sz w:val="24"/>
          <w:szCs w:val="24"/>
        </w:rPr>
        <w:t xml:space="preserve"> </w:t>
      </w:r>
      <w:r w:rsidR="00C05C1C">
        <w:rPr>
          <w:rFonts w:ascii="Gotham Book" w:hAnsi="Gotham Book"/>
          <w:sz w:val="24"/>
          <w:szCs w:val="24"/>
        </w:rPr>
        <w:t xml:space="preserve">implement policies </w:t>
      </w:r>
      <w:r w:rsidRPr="00B80B40">
        <w:rPr>
          <w:rFonts w:ascii="Gotham Book" w:hAnsi="Gotham Book"/>
          <w:sz w:val="24"/>
          <w:szCs w:val="24"/>
        </w:rPr>
        <w:t xml:space="preserve">to reduce the carbon intensity of its energy supply by significant amounts </w:t>
      </w:r>
      <w:r w:rsidR="00326285">
        <w:rPr>
          <w:rFonts w:ascii="Gotham Book" w:hAnsi="Gotham Book"/>
          <w:sz w:val="24"/>
          <w:szCs w:val="24"/>
        </w:rPr>
        <w:t xml:space="preserve">in order </w:t>
      </w:r>
      <w:r w:rsidRPr="00B80B40">
        <w:rPr>
          <w:rFonts w:ascii="Gotham Book" w:hAnsi="Gotham Book"/>
          <w:sz w:val="24"/>
          <w:szCs w:val="24"/>
        </w:rPr>
        <w:t xml:space="preserve">to make some contribution to assist global efforts to keep emissions </w:t>
      </w:r>
      <w:r w:rsidRPr="00B80B40">
        <w:rPr>
          <w:rFonts w:ascii="Gotham Book" w:hAnsi="Gotham Book"/>
          <w:sz w:val="24"/>
          <w:szCs w:val="24"/>
        </w:rPr>
        <w:lastRenderedPageBreak/>
        <w:t>consistent with a 2° warming outcome.</w:t>
      </w:r>
      <w:r>
        <w:rPr>
          <w:rStyle w:val="FootnoteReference"/>
          <w:rFonts w:ascii="Gotham Book" w:hAnsi="Gotham Book"/>
          <w:sz w:val="24"/>
          <w:szCs w:val="24"/>
        </w:rPr>
        <w:footnoteReference w:id="12"/>
      </w:r>
      <w:r w:rsidR="00642EFF">
        <w:rPr>
          <w:rFonts w:ascii="Gotham Book" w:hAnsi="Gotham Book"/>
          <w:sz w:val="24"/>
          <w:szCs w:val="24"/>
        </w:rPr>
        <w:t xml:space="preserve"> Given its current position any similar international pressure on New Zealand will be muted.</w:t>
      </w:r>
    </w:p>
    <w:p w:rsidR="00082F47" w:rsidRDefault="000E5821" w:rsidP="00B80B40">
      <w:pPr>
        <w:rPr>
          <w:rFonts w:ascii="Gotham Book" w:hAnsi="Gotham Book"/>
          <w:sz w:val="24"/>
          <w:szCs w:val="24"/>
        </w:rPr>
      </w:pPr>
      <w:r>
        <w:rPr>
          <w:rFonts w:ascii="Gotham Book" w:hAnsi="Gotham Book"/>
          <w:sz w:val="24"/>
          <w:szCs w:val="24"/>
        </w:rPr>
        <w:t>If it is assumed the most likely scenario is that Australia will adopt public policy intended to make, say, a ‘world average’ contribution what might that policy looked like?</w:t>
      </w:r>
      <w:r w:rsidR="00143429">
        <w:rPr>
          <w:rFonts w:ascii="Gotham Book" w:hAnsi="Gotham Book"/>
          <w:sz w:val="24"/>
          <w:szCs w:val="24"/>
        </w:rPr>
        <w:t xml:space="preserve"> Energy taxes are attractive even to a climate change sceptic.</w:t>
      </w:r>
      <w:r w:rsidR="00143429">
        <w:rPr>
          <w:rStyle w:val="FootnoteReference"/>
          <w:rFonts w:ascii="Gotham Book" w:hAnsi="Gotham Book"/>
          <w:sz w:val="24"/>
          <w:szCs w:val="24"/>
        </w:rPr>
        <w:footnoteReference w:id="13"/>
      </w:r>
      <w:r w:rsidR="00143429">
        <w:rPr>
          <w:rFonts w:ascii="Gotham Book" w:hAnsi="Gotham Book"/>
          <w:sz w:val="24"/>
          <w:szCs w:val="24"/>
        </w:rPr>
        <w:t xml:space="preserve"> Carbon taxes are attractive to any government seeking to reduce carbon emissions because they satisfy ‘polluter pays’ principles.</w:t>
      </w:r>
      <w:r w:rsidR="00143429">
        <w:rPr>
          <w:rStyle w:val="FootnoteReference"/>
          <w:rFonts w:ascii="Gotham Book" w:hAnsi="Gotham Book"/>
          <w:sz w:val="24"/>
          <w:szCs w:val="24"/>
        </w:rPr>
        <w:footnoteReference w:id="14"/>
      </w:r>
      <w:r w:rsidR="006F0E37">
        <w:rPr>
          <w:rFonts w:ascii="Gotham Book" w:hAnsi="Gotham Book"/>
          <w:sz w:val="24"/>
          <w:szCs w:val="24"/>
        </w:rPr>
        <w:t xml:space="preserve"> </w:t>
      </w:r>
    </w:p>
    <w:p w:rsidR="000817CA" w:rsidRDefault="006F0E37" w:rsidP="00B80B40">
      <w:pPr>
        <w:rPr>
          <w:rFonts w:ascii="Gotham Book" w:hAnsi="Gotham Book"/>
          <w:sz w:val="24"/>
          <w:szCs w:val="24"/>
        </w:rPr>
      </w:pPr>
      <w:r>
        <w:rPr>
          <w:rFonts w:ascii="Gotham Book" w:hAnsi="Gotham Book"/>
          <w:sz w:val="24"/>
          <w:szCs w:val="24"/>
        </w:rPr>
        <w:t>By contrast the current policy approach comprises no taxes</w:t>
      </w:r>
      <w:r w:rsidR="00C05C1C">
        <w:rPr>
          <w:rFonts w:ascii="Gotham Book" w:hAnsi="Gotham Book"/>
          <w:sz w:val="24"/>
          <w:szCs w:val="24"/>
        </w:rPr>
        <w:t>. Instead we have</w:t>
      </w:r>
      <w:r>
        <w:rPr>
          <w:rFonts w:ascii="Gotham Book" w:hAnsi="Gotham Book"/>
          <w:sz w:val="24"/>
          <w:szCs w:val="24"/>
        </w:rPr>
        <w:t xml:space="preserve"> </w:t>
      </w:r>
      <w:r w:rsidR="00376555">
        <w:rPr>
          <w:rFonts w:ascii="Gotham Book" w:hAnsi="Gotham Book"/>
          <w:sz w:val="24"/>
          <w:szCs w:val="24"/>
        </w:rPr>
        <w:t xml:space="preserve"> </w:t>
      </w:r>
      <w:r w:rsidR="00223D84">
        <w:rPr>
          <w:rFonts w:ascii="Gotham Book" w:hAnsi="Gotham Book"/>
          <w:sz w:val="24"/>
          <w:szCs w:val="24"/>
        </w:rPr>
        <w:t xml:space="preserve">four </w:t>
      </w:r>
      <w:r w:rsidR="00A7132E">
        <w:rPr>
          <w:rFonts w:ascii="Gotham Book" w:hAnsi="Gotham Book"/>
          <w:sz w:val="24"/>
          <w:szCs w:val="24"/>
        </w:rPr>
        <w:t xml:space="preserve">somewhat contradictory </w:t>
      </w:r>
      <w:r>
        <w:rPr>
          <w:rFonts w:ascii="Gotham Book" w:hAnsi="Gotham Book"/>
          <w:sz w:val="24"/>
          <w:szCs w:val="24"/>
        </w:rPr>
        <w:t xml:space="preserve">‘subsidy’ streams – ‘Direct Action’ subsidies for delivery against </w:t>
      </w:r>
      <w:r w:rsidR="009422BD">
        <w:rPr>
          <w:rFonts w:ascii="Gotham Book" w:hAnsi="Gotham Book"/>
          <w:sz w:val="24"/>
          <w:szCs w:val="24"/>
        </w:rPr>
        <w:t xml:space="preserve">a </w:t>
      </w:r>
      <w:r>
        <w:rPr>
          <w:rFonts w:ascii="Gotham Book" w:hAnsi="Gotham Book"/>
          <w:sz w:val="24"/>
          <w:szCs w:val="24"/>
        </w:rPr>
        <w:t xml:space="preserve">notional benchmark of </w:t>
      </w:r>
      <w:r w:rsidR="00466ED1">
        <w:rPr>
          <w:rFonts w:ascii="Gotham Book" w:hAnsi="Gotham Book"/>
          <w:sz w:val="24"/>
          <w:szCs w:val="24"/>
        </w:rPr>
        <w:t xml:space="preserve">specifically identified and </w:t>
      </w:r>
      <w:r>
        <w:rPr>
          <w:rFonts w:ascii="Gotham Book" w:hAnsi="Gotham Book"/>
          <w:sz w:val="24"/>
          <w:szCs w:val="24"/>
        </w:rPr>
        <w:t>contracted emission reductions</w:t>
      </w:r>
      <w:r w:rsidR="00CF0723">
        <w:rPr>
          <w:rStyle w:val="FootnoteReference"/>
          <w:rFonts w:ascii="Gotham Book" w:hAnsi="Gotham Book"/>
          <w:sz w:val="24"/>
          <w:szCs w:val="24"/>
        </w:rPr>
        <w:footnoteReference w:id="15"/>
      </w:r>
      <w:r>
        <w:rPr>
          <w:rFonts w:ascii="Gotham Book" w:hAnsi="Gotham Book"/>
          <w:sz w:val="24"/>
          <w:szCs w:val="24"/>
        </w:rPr>
        <w:t>, the RET</w:t>
      </w:r>
      <w:r w:rsidR="00ED6C30">
        <w:rPr>
          <w:rStyle w:val="FootnoteReference"/>
          <w:rFonts w:ascii="Gotham Book" w:hAnsi="Gotham Book"/>
          <w:sz w:val="24"/>
          <w:szCs w:val="24"/>
        </w:rPr>
        <w:footnoteReference w:id="16"/>
      </w:r>
      <w:r w:rsidR="00376555">
        <w:rPr>
          <w:rFonts w:ascii="Gotham Book" w:hAnsi="Gotham Book"/>
          <w:sz w:val="24"/>
          <w:szCs w:val="24"/>
        </w:rPr>
        <w:t xml:space="preserve">, </w:t>
      </w:r>
      <w:r w:rsidR="00326285">
        <w:rPr>
          <w:rFonts w:ascii="Gotham Book" w:hAnsi="Gotham Book"/>
          <w:sz w:val="24"/>
          <w:szCs w:val="24"/>
        </w:rPr>
        <w:t xml:space="preserve">the </w:t>
      </w:r>
      <w:r w:rsidR="00376555">
        <w:rPr>
          <w:rFonts w:ascii="Gotham Book" w:hAnsi="Gotham Book"/>
          <w:sz w:val="24"/>
          <w:szCs w:val="24"/>
        </w:rPr>
        <w:t>Federal government</w:t>
      </w:r>
      <w:r w:rsidR="00326285">
        <w:rPr>
          <w:rFonts w:ascii="Gotham Book" w:hAnsi="Gotham Book"/>
          <w:sz w:val="24"/>
          <w:szCs w:val="24"/>
        </w:rPr>
        <w:t>’s</w:t>
      </w:r>
      <w:r w:rsidR="00376555">
        <w:rPr>
          <w:rFonts w:ascii="Gotham Book" w:hAnsi="Gotham Book"/>
          <w:sz w:val="24"/>
          <w:szCs w:val="24"/>
        </w:rPr>
        <w:t xml:space="preserve"> fossil fuel </w:t>
      </w:r>
      <w:r w:rsidR="0060441B">
        <w:rPr>
          <w:rFonts w:ascii="Gotham Book" w:hAnsi="Gotham Book"/>
          <w:sz w:val="24"/>
          <w:szCs w:val="24"/>
        </w:rPr>
        <w:t xml:space="preserve">use and industry </w:t>
      </w:r>
      <w:r w:rsidR="00082F47">
        <w:rPr>
          <w:rFonts w:ascii="Gotham Book" w:hAnsi="Gotham Book"/>
          <w:sz w:val="24"/>
          <w:szCs w:val="24"/>
        </w:rPr>
        <w:t xml:space="preserve">tax </w:t>
      </w:r>
      <w:r w:rsidR="00376555">
        <w:rPr>
          <w:rFonts w:ascii="Gotham Book" w:hAnsi="Gotham Book"/>
          <w:sz w:val="24"/>
          <w:szCs w:val="24"/>
        </w:rPr>
        <w:t>exemptions and concessions</w:t>
      </w:r>
      <w:r w:rsidR="00376555">
        <w:rPr>
          <w:rStyle w:val="FootnoteReference"/>
          <w:rFonts w:ascii="Gotham Book" w:hAnsi="Gotham Book"/>
          <w:sz w:val="24"/>
          <w:szCs w:val="24"/>
        </w:rPr>
        <w:footnoteReference w:id="17"/>
      </w:r>
      <w:r w:rsidR="00376555">
        <w:rPr>
          <w:rFonts w:ascii="Gotham Book" w:hAnsi="Gotham Book"/>
          <w:sz w:val="24"/>
          <w:szCs w:val="24"/>
        </w:rPr>
        <w:t xml:space="preserve"> and </w:t>
      </w:r>
      <w:r w:rsidR="00326285">
        <w:rPr>
          <w:rFonts w:ascii="Gotham Book" w:hAnsi="Gotham Book"/>
          <w:sz w:val="24"/>
          <w:szCs w:val="24"/>
        </w:rPr>
        <w:t xml:space="preserve">the </w:t>
      </w:r>
      <w:r w:rsidR="00376555">
        <w:rPr>
          <w:rFonts w:ascii="Gotham Book" w:hAnsi="Gotham Book"/>
          <w:sz w:val="24"/>
          <w:szCs w:val="24"/>
        </w:rPr>
        <w:t xml:space="preserve">state </w:t>
      </w:r>
      <w:r w:rsidR="00376555">
        <w:rPr>
          <w:rFonts w:ascii="Gotham Book" w:hAnsi="Gotham Book"/>
          <w:sz w:val="24"/>
          <w:szCs w:val="24"/>
        </w:rPr>
        <w:lastRenderedPageBreak/>
        <w:t>government</w:t>
      </w:r>
      <w:r w:rsidR="00326285">
        <w:rPr>
          <w:rFonts w:ascii="Gotham Book" w:hAnsi="Gotham Book"/>
          <w:sz w:val="24"/>
          <w:szCs w:val="24"/>
        </w:rPr>
        <w:t>s’</w:t>
      </w:r>
      <w:r w:rsidR="00BF068A">
        <w:rPr>
          <w:rFonts w:ascii="Gotham Book" w:hAnsi="Gotham Book"/>
          <w:sz w:val="24"/>
          <w:szCs w:val="24"/>
        </w:rPr>
        <w:t xml:space="preserve"> fossil fuel industry</w:t>
      </w:r>
      <w:r w:rsidR="00376555">
        <w:rPr>
          <w:rFonts w:ascii="Gotham Book" w:hAnsi="Gotham Book"/>
          <w:sz w:val="24"/>
          <w:szCs w:val="24"/>
        </w:rPr>
        <w:t xml:space="preserve"> assistance</w:t>
      </w:r>
      <w:r w:rsidR="00BF068A">
        <w:rPr>
          <w:rFonts w:ascii="Gotham Book" w:hAnsi="Gotham Book"/>
          <w:sz w:val="24"/>
          <w:szCs w:val="24"/>
        </w:rPr>
        <w:t>.</w:t>
      </w:r>
      <w:r w:rsidR="00376555">
        <w:rPr>
          <w:rStyle w:val="FootnoteReference"/>
          <w:rFonts w:ascii="Gotham Book" w:hAnsi="Gotham Book"/>
          <w:sz w:val="24"/>
          <w:szCs w:val="24"/>
        </w:rPr>
        <w:footnoteReference w:id="18"/>
      </w:r>
      <w:r w:rsidR="00BF068A">
        <w:rPr>
          <w:rFonts w:ascii="Gotham Book" w:hAnsi="Gotham Book"/>
          <w:sz w:val="24"/>
          <w:szCs w:val="24"/>
        </w:rPr>
        <w:t xml:space="preserve"> </w:t>
      </w:r>
      <w:r w:rsidR="001722B8">
        <w:rPr>
          <w:rFonts w:ascii="Gotham Book" w:hAnsi="Gotham Book"/>
          <w:sz w:val="24"/>
          <w:szCs w:val="24"/>
        </w:rPr>
        <w:t>In total</w:t>
      </w:r>
      <w:r w:rsidR="009A44E8">
        <w:rPr>
          <w:rFonts w:ascii="Gotham Book" w:hAnsi="Gotham Book"/>
          <w:sz w:val="24"/>
          <w:szCs w:val="24"/>
        </w:rPr>
        <w:t>,</w:t>
      </w:r>
      <w:r w:rsidR="00FE4AD2">
        <w:rPr>
          <w:rFonts w:ascii="Gotham Book" w:hAnsi="Gotham Book"/>
          <w:sz w:val="24"/>
          <w:szCs w:val="24"/>
        </w:rPr>
        <w:t xml:space="preserve"> </w:t>
      </w:r>
      <w:r w:rsidR="00693BF1">
        <w:rPr>
          <w:rFonts w:ascii="Gotham Book" w:hAnsi="Gotham Book"/>
          <w:sz w:val="24"/>
          <w:szCs w:val="24"/>
        </w:rPr>
        <w:t>the cost to Australian taxpayers</w:t>
      </w:r>
      <w:r w:rsidR="00082F47">
        <w:rPr>
          <w:rFonts w:ascii="Gotham Book" w:hAnsi="Gotham Book"/>
          <w:sz w:val="24"/>
          <w:szCs w:val="24"/>
        </w:rPr>
        <w:t xml:space="preserve"> </w:t>
      </w:r>
      <w:r w:rsidR="00693BF1">
        <w:rPr>
          <w:rFonts w:ascii="Gotham Book" w:hAnsi="Gotham Book"/>
          <w:sz w:val="24"/>
          <w:szCs w:val="24"/>
        </w:rPr>
        <w:t xml:space="preserve">of </w:t>
      </w:r>
      <w:r w:rsidR="001722B8">
        <w:rPr>
          <w:rFonts w:ascii="Gotham Book" w:hAnsi="Gotham Book"/>
          <w:sz w:val="24"/>
          <w:szCs w:val="24"/>
        </w:rPr>
        <w:t>this suite of ‘subsidies’</w:t>
      </w:r>
      <w:r w:rsidR="00082F47">
        <w:rPr>
          <w:rFonts w:ascii="Gotham Book" w:hAnsi="Gotham Book"/>
          <w:sz w:val="24"/>
          <w:szCs w:val="24"/>
        </w:rPr>
        <w:t>,</w:t>
      </w:r>
      <w:r w:rsidR="002C0A75">
        <w:rPr>
          <w:rFonts w:ascii="Gotham Book" w:hAnsi="Gotham Book"/>
          <w:sz w:val="24"/>
          <w:szCs w:val="24"/>
        </w:rPr>
        <w:t xml:space="preserve"> </w:t>
      </w:r>
      <w:r w:rsidR="00FE4AD2">
        <w:rPr>
          <w:rFonts w:ascii="Gotham Book" w:hAnsi="Gotham Book"/>
          <w:sz w:val="24"/>
          <w:szCs w:val="24"/>
        </w:rPr>
        <w:t>is some</w:t>
      </w:r>
      <w:r w:rsidR="009A44E8">
        <w:rPr>
          <w:rFonts w:ascii="Gotham Book" w:hAnsi="Gotham Book"/>
          <w:sz w:val="24"/>
          <w:szCs w:val="24"/>
        </w:rPr>
        <w:t xml:space="preserve"> $5b</w:t>
      </w:r>
      <w:r w:rsidR="002C0A75">
        <w:rPr>
          <w:rFonts w:ascii="Gotham Book" w:hAnsi="Gotham Book"/>
          <w:sz w:val="24"/>
          <w:szCs w:val="24"/>
        </w:rPr>
        <w:t xml:space="preserve"> pa</w:t>
      </w:r>
      <w:r w:rsidR="009A44E8">
        <w:rPr>
          <w:rFonts w:ascii="Gotham Book" w:hAnsi="Gotham Book"/>
          <w:sz w:val="24"/>
          <w:szCs w:val="24"/>
        </w:rPr>
        <w:t xml:space="preserve">. </w:t>
      </w:r>
      <w:r w:rsidR="000817CA">
        <w:rPr>
          <w:rFonts w:ascii="Gotham Book" w:hAnsi="Gotham Book"/>
          <w:sz w:val="24"/>
          <w:szCs w:val="24"/>
        </w:rPr>
        <w:t>If the RET was brought on budget this might increase to $6</w:t>
      </w:r>
      <w:r w:rsidR="00F35110">
        <w:rPr>
          <w:rFonts w:ascii="Gotham Book" w:hAnsi="Gotham Book"/>
          <w:sz w:val="24"/>
          <w:szCs w:val="24"/>
        </w:rPr>
        <w:t>.5</w:t>
      </w:r>
      <w:r w:rsidR="00307B36">
        <w:rPr>
          <w:rFonts w:ascii="Gotham Book" w:hAnsi="Gotham Book"/>
          <w:sz w:val="24"/>
          <w:szCs w:val="24"/>
        </w:rPr>
        <w:t>b</w:t>
      </w:r>
      <w:r w:rsidR="007A4834">
        <w:rPr>
          <w:rStyle w:val="FootnoteReference"/>
          <w:rFonts w:ascii="Gotham Book" w:hAnsi="Gotham Book"/>
          <w:sz w:val="24"/>
          <w:szCs w:val="24"/>
        </w:rPr>
        <w:footnoteReference w:id="19"/>
      </w:r>
      <w:r w:rsidR="00C05C1C">
        <w:rPr>
          <w:rFonts w:ascii="Gotham Book" w:hAnsi="Gotham Book"/>
          <w:sz w:val="24"/>
          <w:szCs w:val="24"/>
        </w:rPr>
        <w:t>,</w:t>
      </w:r>
      <w:r w:rsidR="000817CA">
        <w:rPr>
          <w:rFonts w:ascii="Gotham Book" w:hAnsi="Gotham Book"/>
          <w:sz w:val="24"/>
          <w:szCs w:val="24"/>
        </w:rPr>
        <w:t xml:space="preserve"> roughly comprising $</w:t>
      </w:r>
      <w:r w:rsidR="00F35110">
        <w:rPr>
          <w:rFonts w:ascii="Gotham Book" w:hAnsi="Gotham Book"/>
          <w:sz w:val="24"/>
          <w:szCs w:val="24"/>
        </w:rPr>
        <w:t>2.0</w:t>
      </w:r>
      <w:r w:rsidR="000817CA">
        <w:rPr>
          <w:rFonts w:ascii="Gotham Book" w:hAnsi="Gotham Book"/>
          <w:sz w:val="24"/>
          <w:szCs w:val="24"/>
        </w:rPr>
        <w:t>b</w:t>
      </w:r>
      <w:r w:rsidR="000817CA">
        <w:rPr>
          <w:rStyle w:val="FootnoteReference"/>
          <w:rFonts w:ascii="Gotham Book" w:hAnsi="Gotham Book"/>
          <w:sz w:val="24"/>
          <w:szCs w:val="24"/>
        </w:rPr>
        <w:footnoteReference w:id="20"/>
      </w:r>
      <w:r w:rsidR="000817CA">
        <w:rPr>
          <w:rFonts w:ascii="Gotham Book" w:hAnsi="Gotham Book"/>
          <w:sz w:val="24"/>
          <w:szCs w:val="24"/>
        </w:rPr>
        <w:t xml:space="preserve"> </w:t>
      </w:r>
      <w:r w:rsidR="0060441B">
        <w:rPr>
          <w:rFonts w:ascii="Gotham Book" w:hAnsi="Gotham Book"/>
          <w:sz w:val="24"/>
          <w:szCs w:val="24"/>
        </w:rPr>
        <w:t xml:space="preserve">public policy </w:t>
      </w:r>
      <w:r w:rsidR="000817CA">
        <w:rPr>
          <w:rFonts w:ascii="Gotham Book" w:hAnsi="Gotham Book"/>
          <w:sz w:val="24"/>
          <w:szCs w:val="24"/>
        </w:rPr>
        <w:t xml:space="preserve">contribution towards emissions reduction </w:t>
      </w:r>
      <w:r w:rsidR="00326285">
        <w:rPr>
          <w:rFonts w:ascii="Gotham Book" w:hAnsi="Gotham Book"/>
          <w:sz w:val="24"/>
          <w:szCs w:val="24"/>
        </w:rPr>
        <w:t xml:space="preserve">and </w:t>
      </w:r>
      <w:r w:rsidR="000817CA">
        <w:rPr>
          <w:rFonts w:ascii="Gotham Book" w:hAnsi="Gotham Book"/>
          <w:sz w:val="24"/>
          <w:szCs w:val="24"/>
        </w:rPr>
        <w:t xml:space="preserve">offset by $4.5b </w:t>
      </w:r>
      <w:r w:rsidR="0060441B">
        <w:rPr>
          <w:rFonts w:ascii="Gotham Book" w:hAnsi="Gotham Book"/>
          <w:sz w:val="24"/>
          <w:szCs w:val="24"/>
        </w:rPr>
        <w:t xml:space="preserve">public policy </w:t>
      </w:r>
      <w:r w:rsidR="000817CA">
        <w:rPr>
          <w:rFonts w:ascii="Gotham Book" w:hAnsi="Gotham Book"/>
          <w:sz w:val="24"/>
          <w:szCs w:val="24"/>
        </w:rPr>
        <w:t>contribution towards emissions increase</w:t>
      </w:r>
      <w:r w:rsidR="000817CA">
        <w:rPr>
          <w:rStyle w:val="FootnoteReference"/>
          <w:rFonts w:ascii="Gotham Book" w:hAnsi="Gotham Book"/>
          <w:sz w:val="24"/>
          <w:szCs w:val="24"/>
        </w:rPr>
        <w:footnoteReference w:id="21"/>
      </w:r>
      <w:r w:rsidR="000817CA">
        <w:rPr>
          <w:rFonts w:ascii="Gotham Book" w:hAnsi="Gotham Book"/>
          <w:sz w:val="24"/>
          <w:szCs w:val="24"/>
        </w:rPr>
        <w:t xml:space="preserve">. </w:t>
      </w:r>
      <w:r w:rsidR="0060441B">
        <w:rPr>
          <w:rFonts w:ascii="Gotham Book" w:hAnsi="Gotham Book"/>
          <w:sz w:val="24"/>
          <w:szCs w:val="24"/>
        </w:rPr>
        <w:t xml:space="preserve">Further, it is unclear whether, </w:t>
      </w:r>
      <w:r w:rsidR="00326285">
        <w:rPr>
          <w:rFonts w:ascii="Gotham Book" w:hAnsi="Gotham Book"/>
          <w:sz w:val="24"/>
          <w:szCs w:val="24"/>
        </w:rPr>
        <w:t xml:space="preserve">even </w:t>
      </w:r>
      <w:r w:rsidR="0060441B">
        <w:rPr>
          <w:rFonts w:ascii="Gotham Book" w:hAnsi="Gotham Book"/>
          <w:sz w:val="24"/>
          <w:szCs w:val="24"/>
        </w:rPr>
        <w:t>with this suite of contradictory subsidies</w:t>
      </w:r>
      <w:r w:rsidR="0060441B">
        <w:rPr>
          <w:rStyle w:val="FootnoteReference"/>
          <w:rFonts w:ascii="Gotham Book" w:hAnsi="Gotham Book"/>
          <w:sz w:val="24"/>
          <w:szCs w:val="24"/>
        </w:rPr>
        <w:footnoteReference w:id="22"/>
      </w:r>
      <w:r w:rsidR="00C05C1C">
        <w:rPr>
          <w:rFonts w:ascii="Gotham Book" w:hAnsi="Gotham Book"/>
          <w:sz w:val="24"/>
          <w:szCs w:val="24"/>
        </w:rPr>
        <w:t xml:space="preserve">, </w:t>
      </w:r>
      <w:r w:rsidR="009A44E8">
        <w:rPr>
          <w:rFonts w:ascii="Gotham Book" w:hAnsi="Gotham Book"/>
          <w:sz w:val="24"/>
          <w:szCs w:val="24"/>
        </w:rPr>
        <w:t>Australia will meet its</w:t>
      </w:r>
      <w:r w:rsidR="00F73FE4">
        <w:rPr>
          <w:rFonts w:ascii="Gotham Book" w:hAnsi="Gotham Book"/>
          <w:sz w:val="24"/>
          <w:szCs w:val="24"/>
        </w:rPr>
        <w:t>, comparatively undemanding</w:t>
      </w:r>
      <w:r w:rsidR="002C0A75">
        <w:rPr>
          <w:rFonts w:ascii="Gotham Book" w:hAnsi="Gotham Book"/>
          <w:sz w:val="24"/>
          <w:szCs w:val="24"/>
        </w:rPr>
        <w:t>,</w:t>
      </w:r>
      <w:r w:rsidR="009A44E8">
        <w:rPr>
          <w:rFonts w:ascii="Gotham Book" w:hAnsi="Gotham Book"/>
          <w:sz w:val="24"/>
          <w:szCs w:val="24"/>
        </w:rPr>
        <w:t xml:space="preserve"> 2020 emissions target.</w:t>
      </w:r>
      <w:r w:rsidR="009A44E8">
        <w:rPr>
          <w:rStyle w:val="FootnoteReference"/>
          <w:rFonts w:ascii="Gotham Book" w:hAnsi="Gotham Book"/>
          <w:sz w:val="24"/>
          <w:szCs w:val="24"/>
        </w:rPr>
        <w:footnoteReference w:id="23"/>
      </w:r>
      <w:r w:rsidR="00F73FE4">
        <w:rPr>
          <w:rFonts w:ascii="Gotham Book" w:hAnsi="Gotham Book"/>
          <w:sz w:val="24"/>
          <w:szCs w:val="24"/>
        </w:rPr>
        <w:t xml:space="preserve"> </w:t>
      </w:r>
      <w:r w:rsidR="00223D84">
        <w:rPr>
          <w:rFonts w:ascii="Gotham Book" w:hAnsi="Gotham Book"/>
          <w:sz w:val="24"/>
          <w:szCs w:val="24"/>
        </w:rPr>
        <w:t>Given the excessive budget deficit and the increasing international pressure, t</w:t>
      </w:r>
      <w:r w:rsidR="00F73FE4">
        <w:rPr>
          <w:rFonts w:ascii="Gotham Book" w:hAnsi="Gotham Book"/>
          <w:sz w:val="24"/>
          <w:szCs w:val="24"/>
        </w:rPr>
        <w:t>he</w:t>
      </w:r>
      <w:r w:rsidR="002C0A75">
        <w:rPr>
          <w:rFonts w:ascii="Gotham Book" w:hAnsi="Gotham Book"/>
          <w:sz w:val="24"/>
          <w:szCs w:val="24"/>
        </w:rPr>
        <w:t xml:space="preserve"> longevity </w:t>
      </w:r>
      <w:r w:rsidR="00F73FE4">
        <w:rPr>
          <w:rFonts w:ascii="Gotham Book" w:hAnsi="Gotham Book"/>
          <w:sz w:val="24"/>
          <w:szCs w:val="24"/>
        </w:rPr>
        <w:t xml:space="preserve">of this ‘subsidy’ suite </w:t>
      </w:r>
      <w:r w:rsidR="002C0A75">
        <w:rPr>
          <w:rFonts w:ascii="Gotham Book" w:hAnsi="Gotham Book"/>
          <w:sz w:val="24"/>
          <w:szCs w:val="24"/>
        </w:rPr>
        <w:t xml:space="preserve">must be in serious doubt. </w:t>
      </w:r>
    </w:p>
    <w:p w:rsidR="000E5821" w:rsidRDefault="002C0A75" w:rsidP="00B80B40">
      <w:pPr>
        <w:rPr>
          <w:rFonts w:ascii="Gotham Book" w:hAnsi="Gotham Book"/>
          <w:sz w:val="24"/>
          <w:szCs w:val="24"/>
        </w:rPr>
      </w:pPr>
      <w:r>
        <w:rPr>
          <w:rFonts w:ascii="Gotham Book" w:hAnsi="Gotham Book"/>
          <w:sz w:val="24"/>
          <w:szCs w:val="24"/>
        </w:rPr>
        <w:t xml:space="preserve">The board and shareholders of any </w:t>
      </w:r>
      <w:proofErr w:type="spellStart"/>
      <w:r>
        <w:rPr>
          <w:rFonts w:ascii="Gotham Book" w:hAnsi="Gotham Book"/>
          <w:sz w:val="24"/>
          <w:szCs w:val="24"/>
        </w:rPr>
        <w:t>gentailer</w:t>
      </w:r>
      <w:proofErr w:type="spellEnd"/>
      <w:r>
        <w:rPr>
          <w:rFonts w:ascii="Gotham Book" w:hAnsi="Gotham Book"/>
          <w:sz w:val="24"/>
          <w:szCs w:val="24"/>
        </w:rPr>
        <w:t xml:space="preserve"> operating in Australia should reasonably plan for long-term reductions in fossil fuel use subsidisation</w:t>
      </w:r>
      <w:r w:rsidR="00326285">
        <w:rPr>
          <w:rFonts w:ascii="Gotham Book" w:hAnsi="Gotham Book"/>
          <w:sz w:val="24"/>
          <w:szCs w:val="24"/>
        </w:rPr>
        <w:t xml:space="preserve">, </w:t>
      </w:r>
      <w:r>
        <w:rPr>
          <w:rFonts w:ascii="Gotham Book" w:hAnsi="Gotham Book"/>
          <w:sz w:val="24"/>
          <w:szCs w:val="24"/>
        </w:rPr>
        <w:t>reintroduction of carbon taxes</w:t>
      </w:r>
      <w:r w:rsidR="00326285">
        <w:rPr>
          <w:rFonts w:ascii="Gotham Book" w:hAnsi="Gotham Book"/>
          <w:sz w:val="24"/>
          <w:szCs w:val="24"/>
        </w:rPr>
        <w:t xml:space="preserve">, </w:t>
      </w:r>
      <w:r>
        <w:rPr>
          <w:rFonts w:ascii="Gotham Book" w:hAnsi="Gotham Book"/>
          <w:sz w:val="24"/>
          <w:szCs w:val="24"/>
        </w:rPr>
        <w:t>emissions trading schemes</w:t>
      </w:r>
      <w:r w:rsidR="00326285">
        <w:rPr>
          <w:rFonts w:ascii="Gotham Book" w:hAnsi="Gotham Book"/>
          <w:sz w:val="24"/>
          <w:szCs w:val="24"/>
        </w:rPr>
        <w:t xml:space="preserve"> and</w:t>
      </w:r>
      <w:r w:rsidR="00F73FE4">
        <w:rPr>
          <w:rFonts w:ascii="Gotham Book" w:hAnsi="Gotham Book"/>
          <w:sz w:val="24"/>
          <w:szCs w:val="24"/>
        </w:rPr>
        <w:t>/</w:t>
      </w:r>
      <w:r w:rsidR="00326285">
        <w:rPr>
          <w:rFonts w:ascii="Gotham Book" w:hAnsi="Gotham Book"/>
          <w:sz w:val="24"/>
          <w:szCs w:val="24"/>
        </w:rPr>
        <w:t xml:space="preserve">or </w:t>
      </w:r>
      <w:r w:rsidR="00F73FE4">
        <w:rPr>
          <w:rFonts w:ascii="Gotham Book" w:hAnsi="Gotham Book"/>
          <w:sz w:val="24"/>
          <w:szCs w:val="24"/>
        </w:rPr>
        <w:t xml:space="preserve">direct regulation of power station </w:t>
      </w:r>
      <w:r w:rsidR="00F850CC">
        <w:rPr>
          <w:rFonts w:ascii="Gotham Book" w:hAnsi="Gotham Book"/>
          <w:sz w:val="24"/>
          <w:szCs w:val="24"/>
        </w:rPr>
        <w:t xml:space="preserve">technology or </w:t>
      </w:r>
      <w:r w:rsidR="00223D84">
        <w:rPr>
          <w:rFonts w:ascii="Gotham Book" w:hAnsi="Gotham Book"/>
          <w:sz w:val="24"/>
          <w:szCs w:val="24"/>
        </w:rPr>
        <w:t>emissions</w:t>
      </w:r>
      <w:r w:rsidR="009F296F">
        <w:rPr>
          <w:rStyle w:val="FootnoteReference"/>
          <w:rFonts w:ascii="Gotham Book" w:hAnsi="Gotham Book"/>
          <w:sz w:val="24"/>
          <w:szCs w:val="24"/>
        </w:rPr>
        <w:footnoteReference w:id="24"/>
      </w:r>
      <w:r>
        <w:rPr>
          <w:rFonts w:ascii="Gotham Book" w:hAnsi="Gotham Book"/>
          <w:sz w:val="24"/>
          <w:szCs w:val="24"/>
        </w:rPr>
        <w:t>.</w:t>
      </w:r>
      <w:r w:rsidR="00487EC5">
        <w:rPr>
          <w:rFonts w:ascii="Gotham Book" w:hAnsi="Gotham Book"/>
          <w:sz w:val="24"/>
          <w:szCs w:val="24"/>
        </w:rPr>
        <w:t xml:space="preserve"> Institutional investors </w:t>
      </w:r>
      <w:r w:rsidR="00C05C1C">
        <w:rPr>
          <w:rFonts w:ascii="Gotham Book" w:hAnsi="Gotham Book"/>
          <w:sz w:val="24"/>
          <w:szCs w:val="24"/>
        </w:rPr>
        <w:t xml:space="preserve">already </w:t>
      </w:r>
      <w:r w:rsidR="00487EC5">
        <w:rPr>
          <w:rFonts w:ascii="Gotham Book" w:hAnsi="Gotham Book"/>
          <w:sz w:val="24"/>
          <w:szCs w:val="24"/>
        </w:rPr>
        <w:t>recognise this need.</w:t>
      </w:r>
      <w:r w:rsidR="00487EC5">
        <w:rPr>
          <w:rStyle w:val="FootnoteReference"/>
          <w:rFonts w:ascii="Gotham Book" w:hAnsi="Gotham Book"/>
          <w:sz w:val="24"/>
          <w:szCs w:val="24"/>
        </w:rPr>
        <w:footnoteReference w:id="25"/>
      </w:r>
    </w:p>
    <w:p w:rsidR="00BD0653" w:rsidRDefault="00BD0653" w:rsidP="00B80B40">
      <w:pPr>
        <w:rPr>
          <w:rFonts w:ascii="Gotham Book" w:hAnsi="Gotham Book"/>
          <w:b/>
          <w:i/>
          <w:sz w:val="24"/>
          <w:szCs w:val="24"/>
        </w:rPr>
      </w:pPr>
      <w:r w:rsidRPr="00BD0653">
        <w:rPr>
          <w:rFonts w:ascii="Gotham Book" w:hAnsi="Gotham Book"/>
          <w:b/>
          <w:i/>
          <w:sz w:val="24"/>
          <w:szCs w:val="24"/>
        </w:rPr>
        <w:lastRenderedPageBreak/>
        <w:t xml:space="preserve">1.2 Potential impact on </w:t>
      </w:r>
      <w:r w:rsidR="00917603">
        <w:rPr>
          <w:rFonts w:ascii="Gotham Book" w:hAnsi="Gotham Book"/>
          <w:b/>
          <w:i/>
          <w:sz w:val="24"/>
          <w:szCs w:val="24"/>
        </w:rPr>
        <w:t xml:space="preserve">the operations and </w:t>
      </w:r>
      <w:r w:rsidRPr="00BD0653">
        <w:rPr>
          <w:rFonts w:ascii="Gotham Book" w:hAnsi="Gotham Book"/>
          <w:b/>
          <w:i/>
          <w:sz w:val="24"/>
          <w:szCs w:val="24"/>
        </w:rPr>
        <w:t>balance sheets</w:t>
      </w:r>
      <w:r w:rsidR="00917603">
        <w:rPr>
          <w:rFonts w:ascii="Gotham Book" w:hAnsi="Gotham Book"/>
          <w:b/>
          <w:i/>
          <w:sz w:val="24"/>
          <w:szCs w:val="24"/>
        </w:rPr>
        <w:t xml:space="preserve"> of the </w:t>
      </w:r>
      <w:r w:rsidR="0000744F">
        <w:rPr>
          <w:rFonts w:ascii="Gotham Book" w:hAnsi="Gotham Book"/>
          <w:b/>
          <w:i/>
          <w:sz w:val="24"/>
          <w:szCs w:val="24"/>
        </w:rPr>
        <w:t xml:space="preserve">Australian </w:t>
      </w:r>
      <w:proofErr w:type="spellStart"/>
      <w:r w:rsidR="00917603">
        <w:rPr>
          <w:rFonts w:ascii="Gotham Book" w:hAnsi="Gotham Book"/>
          <w:b/>
          <w:i/>
          <w:sz w:val="24"/>
          <w:szCs w:val="24"/>
        </w:rPr>
        <w:t>gentailers</w:t>
      </w:r>
      <w:proofErr w:type="spellEnd"/>
    </w:p>
    <w:p w:rsidR="00105BCF" w:rsidRDefault="008E1254" w:rsidP="00B80B40">
      <w:pPr>
        <w:rPr>
          <w:rFonts w:ascii="Gotham Book" w:hAnsi="Gotham Book"/>
          <w:b/>
          <w:sz w:val="24"/>
          <w:szCs w:val="24"/>
        </w:rPr>
      </w:pPr>
      <w:r w:rsidRPr="008E1254">
        <w:rPr>
          <w:rFonts w:ascii="Gotham Book" w:hAnsi="Gotham Book"/>
          <w:b/>
          <w:sz w:val="24"/>
          <w:szCs w:val="24"/>
        </w:rPr>
        <w:t>1.2.1 Operations</w:t>
      </w:r>
    </w:p>
    <w:p w:rsidR="003042C6" w:rsidRDefault="00105BCF" w:rsidP="00B80B40">
      <w:pPr>
        <w:rPr>
          <w:rFonts w:ascii="Gotham Book" w:hAnsi="Gotham Book"/>
          <w:sz w:val="24"/>
          <w:szCs w:val="24"/>
        </w:rPr>
      </w:pPr>
      <w:r w:rsidRPr="00105BCF">
        <w:rPr>
          <w:rFonts w:ascii="Gotham Book" w:hAnsi="Gotham Book"/>
          <w:sz w:val="24"/>
          <w:szCs w:val="24"/>
        </w:rPr>
        <w:t xml:space="preserve">In the short term, the combination of international </w:t>
      </w:r>
      <w:r w:rsidR="00693BF1">
        <w:rPr>
          <w:rFonts w:ascii="Gotham Book" w:hAnsi="Gotham Book"/>
          <w:sz w:val="24"/>
          <w:szCs w:val="24"/>
        </w:rPr>
        <w:t xml:space="preserve">climate change </w:t>
      </w:r>
      <w:r w:rsidRPr="00105BCF">
        <w:rPr>
          <w:rFonts w:ascii="Gotham Book" w:hAnsi="Gotham Book"/>
          <w:sz w:val="24"/>
          <w:szCs w:val="24"/>
        </w:rPr>
        <w:t>action</w:t>
      </w:r>
      <w:r w:rsidR="0030647E">
        <w:rPr>
          <w:rFonts w:ascii="Gotham Book" w:hAnsi="Gotham Book"/>
          <w:sz w:val="24"/>
          <w:szCs w:val="24"/>
        </w:rPr>
        <w:t>,</w:t>
      </w:r>
      <w:r w:rsidRPr="00105BCF">
        <w:rPr>
          <w:rFonts w:ascii="Gotham Book" w:hAnsi="Gotham Book"/>
          <w:sz w:val="24"/>
          <w:szCs w:val="24"/>
        </w:rPr>
        <w:t xml:space="preserve"> </w:t>
      </w:r>
      <w:r w:rsidR="0030647E">
        <w:rPr>
          <w:rFonts w:ascii="Gotham Book" w:hAnsi="Gotham Book"/>
          <w:sz w:val="24"/>
          <w:szCs w:val="24"/>
        </w:rPr>
        <w:t xml:space="preserve">downward </w:t>
      </w:r>
      <w:r w:rsidRPr="00105BCF">
        <w:rPr>
          <w:rFonts w:ascii="Gotham Book" w:hAnsi="Gotham Book"/>
          <w:sz w:val="24"/>
          <w:szCs w:val="24"/>
        </w:rPr>
        <w:t>pressure on t</w:t>
      </w:r>
      <w:r>
        <w:rPr>
          <w:rFonts w:ascii="Gotham Book" w:hAnsi="Gotham Book"/>
          <w:sz w:val="24"/>
          <w:szCs w:val="24"/>
        </w:rPr>
        <w:t>herm</w:t>
      </w:r>
      <w:r w:rsidR="00693BF1">
        <w:rPr>
          <w:rFonts w:ascii="Gotham Book" w:hAnsi="Gotham Book"/>
          <w:sz w:val="24"/>
          <w:szCs w:val="24"/>
        </w:rPr>
        <w:t>al coal prices and</w:t>
      </w:r>
      <w:r>
        <w:rPr>
          <w:rFonts w:ascii="Gotham Book" w:hAnsi="Gotham Book"/>
          <w:sz w:val="24"/>
          <w:szCs w:val="24"/>
        </w:rPr>
        <w:t xml:space="preserve"> </w:t>
      </w:r>
      <w:r w:rsidRPr="00105BCF">
        <w:rPr>
          <w:rFonts w:ascii="Gotham Book" w:hAnsi="Gotham Book"/>
          <w:sz w:val="24"/>
          <w:szCs w:val="24"/>
        </w:rPr>
        <w:t>local in</w:t>
      </w:r>
      <w:r w:rsidR="00693BF1">
        <w:rPr>
          <w:rFonts w:ascii="Gotham Book" w:hAnsi="Gotham Book"/>
          <w:sz w:val="24"/>
          <w:szCs w:val="24"/>
        </w:rPr>
        <w:t xml:space="preserve">action </w:t>
      </w:r>
      <w:r w:rsidRPr="00105BCF">
        <w:rPr>
          <w:rFonts w:ascii="Gotham Book" w:hAnsi="Gotham Book"/>
          <w:sz w:val="24"/>
          <w:szCs w:val="24"/>
        </w:rPr>
        <w:t xml:space="preserve">could benefit </w:t>
      </w:r>
      <w:r w:rsidR="00693BF1">
        <w:rPr>
          <w:rFonts w:ascii="Gotham Book" w:hAnsi="Gotham Book"/>
          <w:sz w:val="24"/>
          <w:szCs w:val="24"/>
        </w:rPr>
        <w:t xml:space="preserve">the margins of the </w:t>
      </w:r>
      <w:r w:rsidRPr="00105BCF">
        <w:rPr>
          <w:rFonts w:ascii="Gotham Book" w:hAnsi="Gotham Book"/>
          <w:sz w:val="24"/>
          <w:szCs w:val="24"/>
        </w:rPr>
        <w:t xml:space="preserve">Australian </w:t>
      </w:r>
      <w:r>
        <w:rPr>
          <w:rFonts w:ascii="Gotham Book" w:hAnsi="Gotham Book"/>
          <w:sz w:val="24"/>
          <w:szCs w:val="24"/>
        </w:rPr>
        <w:t>coal</w:t>
      </w:r>
      <w:r w:rsidR="00C05C1C">
        <w:rPr>
          <w:rFonts w:ascii="Gotham Book" w:hAnsi="Gotham Book"/>
          <w:sz w:val="24"/>
          <w:szCs w:val="24"/>
        </w:rPr>
        <w:t>-</w:t>
      </w:r>
      <w:r>
        <w:rPr>
          <w:rFonts w:ascii="Gotham Book" w:hAnsi="Gotham Book"/>
          <w:sz w:val="24"/>
          <w:szCs w:val="24"/>
        </w:rPr>
        <w:t xml:space="preserve">dominated </w:t>
      </w:r>
      <w:proofErr w:type="spellStart"/>
      <w:r w:rsidRPr="00105BCF">
        <w:rPr>
          <w:rFonts w:ascii="Gotham Book" w:hAnsi="Gotham Book"/>
          <w:sz w:val="24"/>
          <w:szCs w:val="24"/>
        </w:rPr>
        <w:t>gentailer</w:t>
      </w:r>
      <w:r w:rsidR="00693BF1">
        <w:rPr>
          <w:rFonts w:ascii="Gotham Book" w:hAnsi="Gotham Book"/>
          <w:sz w:val="24"/>
          <w:szCs w:val="24"/>
        </w:rPr>
        <w:t>s</w:t>
      </w:r>
      <w:proofErr w:type="spellEnd"/>
      <w:r w:rsidR="00693BF1">
        <w:rPr>
          <w:rFonts w:ascii="Gotham Book" w:hAnsi="Gotham Book"/>
          <w:sz w:val="24"/>
          <w:szCs w:val="24"/>
        </w:rPr>
        <w:t>.</w:t>
      </w:r>
      <w:r w:rsidR="003042C6">
        <w:rPr>
          <w:rStyle w:val="FootnoteReference"/>
          <w:rFonts w:ascii="Gotham Book" w:hAnsi="Gotham Book"/>
          <w:sz w:val="24"/>
          <w:szCs w:val="24"/>
        </w:rPr>
        <w:footnoteReference w:id="26"/>
      </w:r>
      <w:r w:rsidR="00693BF1">
        <w:rPr>
          <w:rFonts w:ascii="Gotham Book" w:hAnsi="Gotham Book"/>
          <w:sz w:val="24"/>
          <w:szCs w:val="24"/>
        </w:rPr>
        <w:t xml:space="preserve"> </w:t>
      </w:r>
    </w:p>
    <w:p w:rsidR="008B623B" w:rsidRPr="009E4DAF" w:rsidRDefault="003042C6" w:rsidP="00B80B40">
      <w:pPr>
        <w:rPr>
          <w:rFonts w:ascii="Gotham Book" w:hAnsi="Gotham Book"/>
          <w:sz w:val="24"/>
          <w:szCs w:val="24"/>
        </w:rPr>
      </w:pPr>
      <w:r w:rsidRPr="009E4DAF">
        <w:rPr>
          <w:rFonts w:ascii="Gotham Book" w:hAnsi="Gotham Book"/>
          <w:sz w:val="24"/>
          <w:szCs w:val="24"/>
        </w:rPr>
        <w:t>In the medium</w:t>
      </w:r>
      <w:r w:rsidR="00693BF1" w:rsidRPr="009E4DAF">
        <w:rPr>
          <w:rFonts w:ascii="Gotham Book" w:hAnsi="Gotham Book"/>
          <w:sz w:val="24"/>
          <w:szCs w:val="24"/>
        </w:rPr>
        <w:t xml:space="preserve"> term,</w:t>
      </w:r>
      <w:r w:rsidR="009E4DAF">
        <w:rPr>
          <w:rFonts w:ascii="Gotham Book" w:hAnsi="Gotham Book"/>
          <w:sz w:val="24"/>
          <w:szCs w:val="24"/>
        </w:rPr>
        <w:t xml:space="preserve"> </w:t>
      </w:r>
      <w:proofErr w:type="spellStart"/>
      <w:r w:rsidR="009E4DAF">
        <w:rPr>
          <w:rFonts w:ascii="Gotham Book" w:hAnsi="Gotham Book"/>
          <w:sz w:val="24"/>
          <w:szCs w:val="24"/>
        </w:rPr>
        <w:t>gentailers</w:t>
      </w:r>
      <w:proofErr w:type="spellEnd"/>
      <w:r w:rsidRPr="009E4DAF">
        <w:rPr>
          <w:rFonts w:ascii="Gotham Book" w:hAnsi="Gotham Book"/>
          <w:sz w:val="24"/>
          <w:szCs w:val="24"/>
        </w:rPr>
        <w:t xml:space="preserve"> </w:t>
      </w:r>
      <w:r w:rsidR="00FD275B">
        <w:rPr>
          <w:rFonts w:ascii="Gotham Book" w:hAnsi="Gotham Book"/>
          <w:sz w:val="24"/>
          <w:szCs w:val="24"/>
        </w:rPr>
        <w:t xml:space="preserve">will likely </w:t>
      </w:r>
      <w:r w:rsidR="005303AA">
        <w:rPr>
          <w:rFonts w:ascii="Gotham Book" w:hAnsi="Gotham Book"/>
          <w:sz w:val="24"/>
          <w:szCs w:val="24"/>
        </w:rPr>
        <w:t xml:space="preserve">face </w:t>
      </w:r>
      <w:r w:rsidR="00326285">
        <w:rPr>
          <w:rFonts w:ascii="Gotham Book" w:hAnsi="Gotham Book"/>
          <w:sz w:val="24"/>
          <w:szCs w:val="24"/>
        </w:rPr>
        <w:t>three</w:t>
      </w:r>
      <w:r w:rsidR="0000744F">
        <w:rPr>
          <w:rFonts w:ascii="Gotham Book" w:hAnsi="Gotham Book"/>
          <w:sz w:val="24"/>
          <w:szCs w:val="24"/>
        </w:rPr>
        <w:t xml:space="preserve"> significant</w:t>
      </w:r>
      <w:r w:rsidRPr="009E4DAF">
        <w:rPr>
          <w:rFonts w:ascii="Gotham Book" w:hAnsi="Gotham Book"/>
          <w:sz w:val="24"/>
          <w:szCs w:val="24"/>
        </w:rPr>
        <w:t xml:space="preserve"> pressures - </w:t>
      </w:r>
      <w:r w:rsidR="005303AA">
        <w:rPr>
          <w:rFonts w:ascii="Gotham Book" w:hAnsi="Gotham Book"/>
          <w:sz w:val="24"/>
          <w:szCs w:val="24"/>
        </w:rPr>
        <w:t xml:space="preserve">falling demand, </w:t>
      </w:r>
      <w:r w:rsidR="009E4DAF">
        <w:rPr>
          <w:rFonts w:ascii="Gotham Book" w:hAnsi="Gotham Book"/>
          <w:sz w:val="24"/>
          <w:szCs w:val="24"/>
        </w:rPr>
        <w:t>the need to discontinue the practice of recovering</w:t>
      </w:r>
      <w:r w:rsidR="009E4DAF" w:rsidRPr="009E4DAF">
        <w:rPr>
          <w:rFonts w:ascii="Gotham Book" w:hAnsi="Gotham Book"/>
          <w:sz w:val="24"/>
          <w:szCs w:val="24"/>
        </w:rPr>
        <w:t xml:space="preserve"> access costs through usage charges</w:t>
      </w:r>
      <w:r w:rsidR="009E4DAF">
        <w:rPr>
          <w:rStyle w:val="FootnoteReference"/>
          <w:rFonts w:ascii="Gotham Book" w:hAnsi="Gotham Book"/>
          <w:sz w:val="24"/>
          <w:szCs w:val="24"/>
        </w:rPr>
        <w:footnoteReference w:id="27"/>
      </w:r>
      <w:r w:rsidR="00FD275B">
        <w:rPr>
          <w:rFonts w:ascii="Gotham Book" w:hAnsi="Gotham Book"/>
          <w:sz w:val="24"/>
          <w:szCs w:val="24"/>
        </w:rPr>
        <w:t xml:space="preserve"> </w:t>
      </w:r>
      <w:r w:rsidR="0000744F">
        <w:rPr>
          <w:rFonts w:ascii="Gotham Book" w:hAnsi="Gotham Book"/>
          <w:sz w:val="24"/>
          <w:szCs w:val="24"/>
        </w:rPr>
        <w:t xml:space="preserve">and </w:t>
      </w:r>
      <w:r w:rsidR="00FD275B">
        <w:rPr>
          <w:rFonts w:ascii="Gotham Book" w:hAnsi="Gotham Book"/>
          <w:sz w:val="24"/>
          <w:szCs w:val="24"/>
        </w:rPr>
        <w:t>the introduction/reintroduction of policies</w:t>
      </w:r>
      <w:r w:rsidR="0000744F">
        <w:rPr>
          <w:rFonts w:ascii="Gotham Book" w:hAnsi="Gotham Book"/>
          <w:sz w:val="24"/>
          <w:szCs w:val="24"/>
        </w:rPr>
        <w:t xml:space="preserve"> </w:t>
      </w:r>
      <w:r w:rsidR="00326285">
        <w:rPr>
          <w:rFonts w:ascii="Gotham Book" w:hAnsi="Gotham Book"/>
          <w:sz w:val="24"/>
          <w:szCs w:val="24"/>
        </w:rPr>
        <w:t xml:space="preserve">genuinely </w:t>
      </w:r>
      <w:r w:rsidR="0000744F">
        <w:rPr>
          <w:rFonts w:ascii="Gotham Book" w:hAnsi="Gotham Book"/>
          <w:sz w:val="24"/>
          <w:szCs w:val="24"/>
        </w:rPr>
        <w:t>intended</w:t>
      </w:r>
      <w:r w:rsidR="00FD275B">
        <w:rPr>
          <w:rFonts w:ascii="Gotham Book" w:hAnsi="Gotham Book"/>
          <w:sz w:val="24"/>
          <w:szCs w:val="24"/>
        </w:rPr>
        <w:t xml:space="preserve"> to </w:t>
      </w:r>
      <w:r w:rsidR="0000744F">
        <w:rPr>
          <w:rFonts w:ascii="Gotham Book" w:hAnsi="Gotham Book"/>
          <w:sz w:val="24"/>
          <w:szCs w:val="24"/>
        </w:rPr>
        <w:t xml:space="preserve">substantially </w:t>
      </w:r>
      <w:r w:rsidR="00FD275B">
        <w:rPr>
          <w:rFonts w:ascii="Gotham Book" w:hAnsi="Gotham Book"/>
          <w:sz w:val="24"/>
          <w:szCs w:val="24"/>
        </w:rPr>
        <w:t>curb carbon emissions</w:t>
      </w:r>
      <w:r w:rsidR="00F850CC">
        <w:rPr>
          <w:rFonts w:ascii="Gotham Book" w:hAnsi="Gotham Book"/>
          <w:sz w:val="24"/>
          <w:szCs w:val="24"/>
        </w:rPr>
        <w:t xml:space="preserve"> or emissions</w:t>
      </w:r>
      <w:r w:rsidR="00522F41">
        <w:rPr>
          <w:rFonts w:ascii="Gotham Book" w:hAnsi="Gotham Book"/>
          <w:sz w:val="24"/>
          <w:szCs w:val="24"/>
        </w:rPr>
        <w:t xml:space="preserve"> intensity</w:t>
      </w:r>
      <w:r w:rsidR="0000744F">
        <w:rPr>
          <w:rFonts w:ascii="Gotham Book" w:hAnsi="Gotham Book"/>
          <w:sz w:val="24"/>
          <w:szCs w:val="24"/>
        </w:rPr>
        <w:t>.</w:t>
      </w:r>
      <w:r w:rsidR="00FD275B">
        <w:rPr>
          <w:rStyle w:val="FootnoteReference"/>
          <w:rFonts w:ascii="Gotham Book" w:hAnsi="Gotham Book"/>
          <w:sz w:val="24"/>
          <w:szCs w:val="24"/>
        </w:rPr>
        <w:footnoteReference w:id="28"/>
      </w:r>
      <w:r w:rsidR="0000744F">
        <w:rPr>
          <w:rFonts w:ascii="Gotham Book" w:hAnsi="Gotham Book"/>
          <w:sz w:val="24"/>
          <w:szCs w:val="24"/>
        </w:rPr>
        <w:t xml:space="preserve"> </w:t>
      </w:r>
    </w:p>
    <w:p w:rsidR="008E1254" w:rsidRPr="008E1254" w:rsidRDefault="008E1254" w:rsidP="00B80B40">
      <w:pPr>
        <w:rPr>
          <w:rFonts w:ascii="Gotham Book" w:hAnsi="Gotham Book"/>
          <w:b/>
          <w:sz w:val="24"/>
          <w:szCs w:val="24"/>
        </w:rPr>
      </w:pPr>
      <w:r>
        <w:rPr>
          <w:rFonts w:ascii="Gotham Book" w:hAnsi="Gotham Book"/>
          <w:b/>
          <w:sz w:val="24"/>
          <w:szCs w:val="24"/>
        </w:rPr>
        <w:t xml:space="preserve">1.2.2 </w:t>
      </w:r>
      <w:r w:rsidR="001B129C">
        <w:rPr>
          <w:rFonts w:ascii="Gotham Book" w:hAnsi="Gotham Book"/>
          <w:b/>
          <w:sz w:val="24"/>
          <w:szCs w:val="24"/>
        </w:rPr>
        <w:t>Power stations and reserves</w:t>
      </w:r>
    </w:p>
    <w:p w:rsidR="00917603" w:rsidRPr="001B129C" w:rsidRDefault="00917603" w:rsidP="00B80B40">
      <w:pPr>
        <w:rPr>
          <w:rFonts w:ascii="Gotham Book" w:hAnsi="Gotham Book"/>
          <w:b/>
          <w:sz w:val="24"/>
          <w:szCs w:val="24"/>
        </w:rPr>
      </w:pPr>
      <w:r>
        <w:rPr>
          <w:rFonts w:ascii="Gotham Book" w:hAnsi="Gotham Book"/>
          <w:sz w:val="24"/>
          <w:szCs w:val="24"/>
        </w:rPr>
        <w:t>Power stations are long-lived assets.</w:t>
      </w:r>
      <w:r>
        <w:rPr>
          <w:rStyle w:val="FootnoteReference"/>
          <w:rFonts w:ascii="Gotham Book" w:hAnsi="Gotham Book"/>
          <w:sz w:val="24"/>
          <w:szCs w:val="24"/>
        </w:rPr>
        <w:footnoteReference w:id="29"/>
      </w:r>
      <w:r>
        <w:rPr>
          <w:rFonts w:ascii="Gotham Book" w:hAnsi="Gotham Book"/>
          <w:sz w:val="24"/>
          <w:szCs w:val="24"/>
        </w:rPr>
        <w:t xml:space="preserve"> </w:t>
      </w:r>
      <w:r w:rsidR="0098275C">
        <w:rPr>
          <w:rFonts w:ascii="Gotham Book" w:hAnsi="Gotham Book"/>
          <w:sz w:val="24"/>
          <w:szCs w:val="24"/>
        </w:rPr>
        <w:t xml:space="preserve">If Australia’s public policy response to climate change shifts from the current scepticism towards </w:t>
      </w:r>
      <w:r w:rsidR="00326285">
        <w:rPr>
          <w:rFonts w:ascii="Gotham Book" w:hAnsi="Gotham Book"/>
          <w:sz w:val="24"/>
          <w:szCs w:val="24"/>
        </w:rPr>
        <w:t xml:space="preserve">a </w:t>
      </w:r>
      <w:r w:rsidR="0098275C">
        <w:rPr>
          <w:rFonts w:ascii="Gotham Book" w:hAnsi="Gotham Book"/>
          <w:sz w:val="24"/>
          <w:szCs w:val="24"/>
        </w:rPr>
        <w:t>‘we will be a world average citizen</w:t>
      </w:r>
      <w:r w:rsidR="009844B5">
        <w:rPr>
          <w:rFonts w:ascii="Gotham Book" w:hAnsi="Gotham Book"/>
          <w:sz w:val="24"/>
          <w:szCs w:val="24"/>
        </w:rPr>
        <w:t xml:space="preserve">, so we need at least </w:t>
      </w:r>
      <w:r w:rsidR="00326285">
        <w:rPr>
          <w:rFonts w:ascii="Gotham Book" w:hAnsi="Gotham Book"/>
          <w:sz w:val="24"/>
          <w:szCs w:val="24"/>
        </w:rPr>
        <w:t xml:space="preserve">to </w:t>
      </w:r>
      <w:r w:rsidR="009844B5">
        <w:rPr>
          <w:rFonts w:ascii="Gotham Book" w:hAnsi="Gotham Book"/>
          <w:sz w:val="24"/>
          <w:szCs w:val="24"/>
        </w:rPr>
        <w:t>catch up</w:t>
      </w:r>
      <w:r w:rsidR="0098275C">
        <w:rPr>
          <w:rFonts w:ascii="Gotham Book" w:hAnsi="Gotham Book"/>
          <w:sz w:val="24"/>
          <w:szCs w:val="24"/>
        </w:rPr>
        <w:t xml:space="preserve">’ </w:t>
      </w:r>
      <w:r w:rsidR="00326285">
        <w:rPr>
          <w:rFonts w:ascii="Gotham Book" w:hAnsi="Gotham Book"/>
          <w:sz w:val="24"/>
          <w:szCs w:val="24"/>
        </w:rPr>
        <w:t xml:space="preserve">attitude </w:t>
      </w:r>
      <w:r w:rsidR="008950AF">
        <w:rPr>
          <w:rFonts w:ascii="Gotham Book" w:hAnsi="Gotham Book"/>
          <w:sz w:val="24"/>
          <w:szCs w:val="24"/>
        </w:rPr>
        <w:t xml:space="preserve">some of our </w:t>
      </w:r>
      <w:r w:rsidR="0097270F">
        <w:rPr>
          <w:rFonts w:ascii="Gotham Book" w:hAnsi="Gotham Book"/>
          <w:sz w:val="24"/>
          <w:szCs w:val="24"/>
        </w:rPr>
        <w:t xml:space="preserve">younger </w:t>
      </w:r>
      <w:r w:rsidR="0098275C">
        <w:rPr>
          <w:rFonts w:ascii="Gotham Book" w:hAnsi="Gotham Book"/>
          <w:sz w:val="24"/>
          <w:szCs w:val="24"/>
        </w:rPr>
        <w:t>coal</w:t>
      </w:r>
      <w:r w:rsidR="00C05C1C">
        <w:rPr>
          <w:rFonts w:ascii="Gotham Book" w:hAnsi="Gotham Book"/>
          <w:sz w:val="24"/>
          <w:szCs w:val="24"/>
        </w:rPr>
        <w:t>-</w:t>
      </w:r>
      <w:r w:rsidR="0098275C">
        <w:rPr>
          <w:rFonts w:ascii="Gotham Book" w:hAnsi="Gotham Book"/>
          <w:sz w:val="24"/>
          <w:szCs w:val="24"/>
        </w:rPr>
        <w:t>fired power stations are likely to become ‘stranded’.</w:t>
      </w:r>
      <w:r w:rsidR="003E7EDC">
        <w:rPr>
          <w:rStyle w:val="FootnoteReference"/>
          <w:rFonts w:ascii="Gotham Book" w:hAnsi="Gotham Book"/>
          <w:sz w:val="24"/>
          <w:szCs w:val="24"/>
        </w:rPr>
        <w:footnoteReference w:id="30"/>
      </w:r>
      <w:r w:rsidR="0098275C">
        <w:rPr>
          <w:rFonts w:ascii="Gotham Book" w:hAnsi="Gotham Book"/>
          <w:sz w:val="24"/>
          <w:szCs w:val="24"/>
        </w:rPr>
        <w:t xml:space="preserve"> It is very unlikely there will be similar pressure on NZ </w:t>
      </w:r>
      <w:proofErr w:type="spellStart"/>
      <w:r w:rsidR="0098275C">
        <w:rPr>
          <w:rFonts w:ascii="Gotham Book" w:hAnsi="Gotham Book"/>
          <w:sz w:val="24"/>
          <w:szCs w:val="24"/>
        </w:rPr>
        <w:t>gentailers</w:t>
      </w:r>
      <w:proofErr w:type="spellEnd"/>
      <w:r w:rsidR="0098275C">
        <w:rPr>
          <w:rFonts w:ascii="Gotham Book" w:hAnsi="Gotham Book"/>
          <w:sz w:val="24"/>
          <w:szCs w:val="24"/>
        </w:rPr>
        <w:t>.</w:t>
      </w:r>
    </w:p>
    <w:p w:rsidR="00BD0653" w:rsidRDefault="00326285" w:rsidP="00BD0653">
      <w:pPr>
        <w:rPr>
          <w:rFonts w:ascii="Gotham Book" w:hAnsi="Gotham Book"/>
          <w:sz w:val="24"/>
          <w:szCs w:val="24"/>
        </w:rPr>
      </w:pPr>
      <w:r w:rsidRPr="00BD0653">
        <w:rPr>
          <w:rFonts w:ascii="Gotham Book" w:hAnsi="Gotham Book"/>
          <w:sz w:val="24"/>
          <w:szCs w:val="24"/>
        </w:rPr>
        <w:lastRenderedPageBreak/>
        <w:t>Global carbon reserves</w:t>
      </w:r>
      <w:r>
        <w:rPr>
          <w:rFonts w:ascii="Gotham Book" w:hAnsi="Gotham Book"/>
          <w:sz w:val="24"/>
          <w:szCs w:val="24"/>
        </w:rPr>
        <w:t>, if used, will</w:t>
      </w:r>
      <w:r w:rsidRPr="00BD0653">
        <w:rPr>
          <w:rFonts w:ascii="Gotham Book" w:hAnsi="Gotham Book"/>
          <w:sz w:val="24"/>
          <w:szCs w:val="24"/>
        </w:rPr>
        <w:t xml:space="preserve"> exceed the 2° C compatible global carbon budget by </w:t>
      </w:r>
      <w:r>
        <w:rPr>
          <w:rFonts w:ascii="Gotham Book" w:hAnsi="Gotham Book"/>
          <w:sz w:val="24"/>
          <w:szCs w:val="24"/>
        </w:rPr>
        <w:t>about 300%,</w:t>
      </w:r>
      <w:r w:rsidR="00C05C1C">
        <w:rPr>
          <w:rFonts w:ascii="Gotham Book" w:hAnsi="Gotham Book"/>
          <w:sz w:val="24"/>
          <w:szCs w:val="24"/>
        </w:rPr>
        <w:t xml:space="preserve"> </w:t>
      </w:r>
      <w:r>
        <w:rPr>
          <w:rFonts w:ascii="Gotham Book" w:hAnsi="Gotham Book"/>
          <w:sz w:val="24"/>
          <w:szCs w:val="24"/>
        </w:rPr>
        <w:t>that is</w:t>
      </w:r>
      <w:r w:rsidR="00C05C1C">
        <w:rPr>
          <w:rFonts w:ascii="Gotham Book" w:hAnsi="Gotham Book"/>
          <w:sz w:val="24"/>
          <w:szCs w:val="24"/>
        </w:rPr>
        <w:t>,</w:t>
      </w:r>
      <w:r>
        <w:rPr>
          <w:rFonts w:ascii="Gotham Book" w:hAnsi="Gotham Book"/>
          <w:sz w:val="24"/>
          <w:szCs w:val="24"/>
        </w:rPr>
        <w:t xml:space="preserve"> by a factor of four!</w:t>
      </w:r>
      <w:r w:rsidRPr="00BD0653">
        <w:rPr>
          <w:rFonts w:ascii="Gotham Book" w:hAnsi="Gotham Book"/>
          <w:sz w:val="24"/>
          <w:szCs w:val="24"/>
        </w:rPr>
        <w:t xml:space="preserve"> </w:t>
      </w:r>
      <w:r w:rsidR="00FA3CE6" w:rsidRPr="00BD0653">
        <w:rPr>
          <w:rFonts w:ascii="Gotham Book" w:hAnsi="Gotham Book"/>
          <w:sz w:val="24"/>
          <w:szCs w:val="24"/>
        </w:rPr>
        <w:t>In order to achieve a 2° warming outcome only one quarter of listed company reserves can be used.</w:t>
      </w:r>
      <w:r w:rsidR="00FA3CE6">
        <w:rPr>
          <w:rStyle w:val="FootnoteReference"/>
          <w:rFonts w:ascii="Gotham Book" w:hAnsi="Gotham Book"/>
          <w:sz w:val="24"/>
          <w:szCs w:val="24"/>
        </w:rPr>
        <w:footnoteReference w:id="31"/>
      </w:r>
      <w:r w:rsidR="00FA3CE6" w:rsidRPr="00BD0653">
        <w:rPr>
          <w:rFonts w:ascii="Gotham Book" w:hAnsi="Gotham Book"/>
          <w:sz w:val="24"/>
          <w:szCs w:val="24"/>
        </w:rPr>
        <w:t xml:space="preserve"> </w:t>
      </w:r>
    </w:p>
    <w:p w:rsidR="003015B6" w:rsidRPr="003015B6" w:rsidRDefault="0030647E" w:rsidP="003015B6">
      <w:pPr>
        <w:rPr>
          <w:rFonts w:ascii="Gotham Book" w:hAnsi="Gotham Book"/>
          <w:sz w:val="24"/>
          <w:szCs w:val="24"/>
        </w:rPr>
      </w:pPr>
      <w:r>
        <w:rPr>
          <w:rFonts w:ascii="Gotham Book" w:hAnsi="Gotham Book"/>
          <w:sz w:val="24"/>
          <w:szCs w:val="24"/>
        </w:rPr>
        <w:t>C</w:t>
      </w:r>
      <w:r w:rsidR="00FA3CE6" w:rsidRPr="00BD0653">
        <w:rPr>
          <w:rFonts w:ascii="Gotham Book" w:hAnsi="Gotham Book"/>
          <w:sz w:val="24"/>
          <w:szCs w:val="24"/>
        </w:rPr>
        <w:t>oal reserves would appear to be a stronger candidate</w:t>
      </w:r>
      <w:r w:rsidR="00326285">
        <w:rPr>
          <w:rFonts w:ascii="Gotham Book" w:hAnsi="Gotham Book"/>
          <w:sz w:val="24"/>
          <w:szCs w:val="24"/>
        </w:rPr>
        <w:t xml:space="preserve"> than gas</w:t>
      </w:r>
      <w:r w:rsidR="00FA3CE6" w:rsidRPr="00BD0653">
        <w:rPr>
          <w:rFonts w:ascii="Gotham Book" w:hAnsi="Gotham Book"/>
          <w:sz w:val="24"/>
          <w:szCs w:val="24"/>
        </w:rPr>
        <w:t xml:space="preserve"> for </w:t>
      </w:r>
      <w:r w:rsidR="000E5821">
        <w:rPr>
          <w:rFonts w:ascii="Gotham Book" w:hAnsi="Gotham Book"/>
          <w:sz w:val="24"/>
          <w:szCs w:val="24"/>
        </w:rPr>
        <w:t xml:space="preserve">earlier </w:t>
      </w:r>
      <w:r w:rsidR="00FA3CE6" w:rsidRPr="00BD0653">
        <w:rPr>
          <w:rFonts w:ascii="Gotham Book" w:hAnsi="Gotham Book"/>
          <w:sz w:val="24"/>
          <w:szCs w:val="24"/>
        </w:rPr>
        <w:t>write-downs</w:t>
      </w:r>
      <w:r w:rsidR="00326285">
        <w:rPr>
          <w:rFonts w:ascii="Gotham Book" w:hAnsi="Gotham Book"/>
          <w:sz w:val="24"/>
          <w:szCs w:val="24"/>
        </w:rPr>
        <w:t xml:space="preserve"> and</w:t>
      </w:r>
      <w:r w:rsidR="00FA3CE6" w:rsidRPr="00BD0653">
        <w:rPr>
          <w:rFonts w:ascii="Gotham Book" w:hAnsi="Gotham Book"/>
          <w:sz w:val="24"/>
          <w:szCs w:val="24"/>
        </w:rPr>
        <w:t>/</w:t>
      </w:r>
      <w:r w:rsidR="00326285">
        <w:rPr>
          <w:rFonts w:ascii="Gotham Book" w:hAnsi="Gotham Book"/>
          <w:sz w:val="24"/>
          <w:szCs w:val="24"/>
        </w:rPr>
        <w:t>or</w:t>
      </w:r>
      <w:r w:rsidR="003015B6">
        <w:rPr>
          <w:rFonts w:ascii="Gotham Book" w:hAnsi="Gotham Book"/>
          <w:sz w:val="24"/>
          <w:szCs w:val="24"/>
        </w:rPr>
        <w:t xml:space="preserve"> </w:t>
      </w:r>
      <w:r w:rsidR="0098275C">
        <w:rPr>
          <w:rFonts w:ascii="Gotham Book" w:hAnsi="Gotham Book"/>
          <w:sz w:val="24"/>
          <w:szCs w:val="24"/>
        </w:rPr>
        <w:t xml:space="preserve">effective </w:t>
      </w:r>
      <w:r w:rsidR="00FA3CE6" w:rsidRPr="00BD0653">
        <w:rPr>
          <w:rFonts w:ascii="Gotham Book" w:hAnsi="Gotham Book"/>
          <w:sz w:val="24"/>
          <w:szCs w:val="24"/>
        </w:rPr>
        <w:t>proscriptions on use.</w:t>
      </w:r>
      <w:r w:rsidR="00020C0D">
        <w:rPr>
          <w:rFonts w:ascii="Gotham Book" w:hAnsi="Gotham Book"/>
          <w:sz w:val="24"/>
          <w:szCs w:val="24"/>
        </w:rPr>
        <w:t xml:space="preserve"> But, the current focus on coal could easily be ‘replayed’ in future years prior to the end of the economic life of gas assets.</w:t>
      </w:r>
    </w:p>
    <w:p w:rsidR="002944BC" w:rsidRPr="002944BC" w:rsidRDefault="00AF584F" w:rsidP="002944BC">
      <w:pPr>
        <w:rPr>
          <w:rFonts w:ascii="Gotham Book" w:hAnsi="Gotham Book"/>
          <w:b/>
          <w:sz w:val="32"/>
          <w:szCs w:val="32"/>
        </w:rPr>
      </w:pPr>
      <w:r w:rsidRPr="003015B6">
        <w:rPr>
          <w:rFonts w:ascii="Gotham Book" w:hAnsi="Gotham Book"/>
          <w:sz w:val="24"/>
          <w:szCs w:val="24"/>
        </w:rPr>
        <w:t>Section 2 provides some background to a</w:t>
      </w:r>
      <w:r w:rsidR="003015B6">
        <w:rPr>
          <w:rFonts w:ascii="Gotham Book" w:hAnsi="Gotham Book"/>
          <w:sz w:val="24"/>
          <w:szCs w:val="24"/>
        </w:rPr>
        <w:t>ssist with the assessment of the</w:t>
      </w:r>
      <w:r w:rsidR="00782252" w:rsidRPr="003015B6">
        <w:rPr>
          <w:rFonts w:ascii="Gotham Book" w:hAnsi="Gotham Book"/>
          <w:sz w:val="24"/>
          <w:szCs w:val="24"/>
        </w:rPr>
        <w:t xml:space="preserve"> nature of the</w:t>
      </w:r>
      <w:r w:rsidR="003015B6">
        <w:rPr>
          <w:rFonts w:ascii="Gotham Book" w:hAnsi="Gotham Book"/>
          <w:sz w:val="24"/>
          <w:szCs w:val="24"/>
        </w:rPr>
        <w:t>se</w:t>
      </w:r>
      <w:r w:rsidR="00782252" w:rsidRPr="003015B6">
        <w:rPr>
          <w:rFonts w:ascii="Gotham Book" w:hAnsi="Gotham Book"/>
          <w:sz w:val="24"/>
          <w:szCs w:val="24"/>
        </w:rPr>
        <w:t xml:space="preserve"> risk</w:t>
      </w:r>
      <w:r w:rsidR="003015B6">
        <w:rPr>
          <w:rFonts w:ascii="Gotham Book" w:hAnsi="Gotham Book"/>
          <w:sz w:val="24"/>
          <w:szCs w:val="24"/>
        </w:rPr>
        <w:t xml:space="preserve">s </w:t>
      </w:r>
      <w:r w:rsidR="00326285">
        <w:rPr>
          <w:rFonts w:ascii="Gotham Book" w:hAnsi="Gotham Book"/>
          <w:sz w:val="24"/>
          <w:szCs w:val="24"/>
        </w:rPr>
        <w:t>as they relate to</w:t>
      </w:r>
      <w:r w:rsidR="003015B6">
        <w:rPr>
          <w:rFonts w:ascii="Gotham Book" w:hAnsi="Gotham Book"/>
          <w:sz w:val="24"/>
          <w:szCs w:val="24"/>
        </w:rPr>
        <w:t xml:space="preserve"> particular companies.</w:t>
      </w:r>
      <w:r w:rsidR="001B317B">
        <w:rPr>
          <w:rFonts w:ascii="Gotham Book" w:hAnsi="Gotham Book"/>
          <w:sz w:val="24"/>
          <w:szCs w:val="24"/>
        </w:rPr>
        <w:t xml:space="preserve"> The New Zealand companies are insulated by that country’s current, significant use of renewables. By contrast, the potential impact on operations as a consequence of Australian policy response is significant. </w:t>
      </w:r>
    </w:p>
    <w:p w:rsidR="0029609A" w:rsidRDefault="0029609A" w:rsidP="0015644D">
      <w:pPr>
        <w:pStyle w:val="ListParagraph"/>
        <w:numPr>
          <w:ilvl w:val="0"/>
          <w:numId w:val="2"/>
        </w:numPr>
        <w:rPr>
          <w:rFonts w:ascii="Gotham Book" w:hAnsi="Gotham Book"/>
          <w:b/>
          <w:sz w:val="32"/>
          <w:szCs w:val="32"/>
        </w:rPr>
      </w:pPr>
      <w:r>
        <w:rPr>
          <w:rFonts w:ascii="Gotham Book" w:hAnsi="Gotham Book"/>
          <w:b/>
          <w:sz w:val="32"/>
          <w:szCs w:val="32"/>
        </w:rPr>
        <w:t>Exposure</w:t>
      </w:r>
    </w:p>
    <w:p w:rsidR="0029609A" w:rsidRDefault="002944BC" w:rsidP="002944BC">
      <w:pPr>
        <w:rPr>
          <w:rFonts w:ascii="Gotham Book" w:hAnsi="Gotham Book"/>
          <w:sz w:val="24"/>
          <w:szCs w:val="24"/>
        </w:rPr>
      </w:pPr>
      <w:r w:rsidRPr="002944BC">
        <w:rPr>
          <w:rFonts w:ascii="Gotham Book" w:hAnsi="Gotham Book"/>
          <w:sz w:val="24"/>
          <w:szCs w:val="24"/>
        </w:rPr>
        <w:t>Figure 2.1 describes the nature of the operations of the</w:t>
      </w:r>
      <w:r>
        <w:rPr>
          <w:rFonts w:ascii="Gotham Book" w:hAnsi="Gotham Book"/>
          <w:sz w:val="24"/>
          <w:szCs w:val="24"/>
        </w:rPr>
        <w:t xml:space="preserve"> five ASX and N</w:t>
      </w:r>
      <w:r w:rsidRPr="002944BC">
        <w:rPr>
          <w:rFonts w:ascii="Gotham Book" w:hAnsi="Gotham Book"/>
          <w:sz w:val="24"/>
          <w:szCs w:val="24"/>
        </w:rPr>
        <w:t>ZX listed companies.</w:t>
      </w:r>
      <w:r>
        <w:rPr>
          <w:rFonts w:ascii="Gotham Book" w:hAnsi="Gotham Book"/>
          <w:sz w:val="24"/>
          <w:szCs w:val="24"/>
        </w:rPr>
        <w:t xml:space="preserve"> </w:t>
      </w:r>
    </w:p>
    <w:p w:rsidR="002944BC" w:rsidRPr="000006C5" w:rsidRDefault="002944BC" w:rsidP="002944BC">
      <w:pPr>
        <w:rPr>
          <w:rFonts w:ascii="Gotham Book" w:hAnsi="Gotham Book"/>
          <w:b/>
          <w:sz w:val="24"/>
          <w:szCs w:val="24"/>
        </w:rPr>
      </w:pPr>
      <w:r w:rsidRPr="000006C5">
        <w:rPr>
          <w:rFonts w:ascii="Gotham Book" w:hAnsi="Gotham Book"/>
          <w:b/>
          <w:sz w:val="24"/>
          <w:szCs w:val="24"/>
        </w:rPr>
        <w:t>Figure 2.1:</w:t>
      </w:r>
      <w:r w:rsidR="000006C5" w:rsidRPr="000006C5">
        <w:rPr>
          <w:rFonts w:ascii="Gotham Book" w:hAnsi="Gotham Book"/>
          <w:b/>
          <w:sz w:val="24"/>
          <w:szCs w:val="24"/>
        </w:rPr>
        <w:t xml:space="preserve"> </w:t>
      </w:r>
      <w:r w:rsidRPr="000006C5">
        <w:rPr>
          <w:rFonts w:ascii="Gotham Book" w:hAnsi="Gotham Book"/>
          <w:b/>
          <w:sz w:val="24"/>
          <w:szCs w:val="24"/>
        </w:rPr>
        <w:t>5 Australasian listed</w:t>
      </w:r>
      <w:r w:rsidR="000006C5" w:rsidRPr="000006C5">
        <w:rPr>
          <w:rFonts w:ascii="Gotham Book" w:hAnsi="Gotham Book"/>
          <w:b/>
          <w:sz w:val="24"/>
          <w:szCs w:val="24"/>
        </w:rPr>
        <w:t xml:space="preserve"> energy suppliers and retailers</w:t>
      </w:r>
    </w:p>
    <w:tbl>
      <w:tblPr>
        <w:tblStyle w:val="TableGrid"/>
        <w:tblW w:w="0" w:type="auto"/>
        <w:tblLayout w:type="fixed"/>
        <w:tblLook w:val="04A0" w:firstRow="1" w:lastRow="0" w:firstColumn="1" w:lastColumn="0" w:noHBand="0" w:noVBand="1"/>
      </w:tblPr>
      <w:tblGrid>
        <w:gridCol w:w="2802"/>
        <w:gridCol w:w="2317"/>
        <w:gridCol w:w="1793"/>
        <w:gridCol w:w="2330"/>
      </w:tblGrid>
      <w:tr w:rsidR="0029609A" w:rsidRPr="0015644D" w:rsidTr="00B635AC">
        <w:tc>
          <w:tcPr>
            <w:tcW w:w="2802" w:type="dxa"/>
          </w:tcPr>
          <w:p w:rsidR="0029609A" w:rsidRPr="0015644D" w:rsidRDefault="0029609A" w:rsidP="00223D84">
            <w:pPr>
              <w:rPr>
                <w:rFonts w:ascii="Gotham Book" w:hAnsi="Gotham Book"/>
                <w:b/>
                <w:sz w:val="24"/>
                <w:szCs w:val="24"/>
              </w:rPr>
            </w:pPr>
            <w:r w:rsidRPr="0015644D">
              <w:rPr>
                <w:rFonts w:ascii="Gotham Book" w:hAnsi="Gotham Book"/>
                <w:b/>
                <w:sz w:val="24"/>
                <w:szCs w:val="24"/>
              </w:rPr>
              <w:t>Company</w:t>
            </w:r>
          </w:p>
        </w:tc>
        <w:tc>
          <w:tcPr>
            <w:tcW w:w="2317" w:type="dxa"/>
          </w:tcPr>
          <w:p w:rsidR="0029609A" w:rsidRPr="0015644D" w:rsidRDefault="0029609A" w:rsidP="00223D84">
            <w:pPr>
              <w:rPr>
                <w:rFonts w:ascii="Gotham Book" w:hAnsi="Gotham Book"/>
                <w:b/>
                <w:sz w:val="24"/>
                <w:szCs w:val="24"/>
              </w:rPr>
            </w:pPr>
            <w:r>
              <w:rPr>
                <w:rFonts w:ascii="Gotham Book" w:hAnsi="Gotham Book"/>
                <w:b/>
                <w:sz w:val="24"/>
                <w:szCs w:val="24"/>
              </w:rPr>
              <w:t>Nature of operation</w:t>
            </w:r>
          </w:p>
        </w:tc>
        <w:tc>
          <w:tcPr>
            <w:tcW w:w="1793" w:type="dxa"/>
          </w:tcPr>
          <w:p w:rsidR="0029609A" w:rsidRPr="0015644D" w:rsidRDefault="003A039E" w:rsidP="00223D84">
            <w:pPr>
              <w:rPr>
                <w:rFonts w:ascii="Gotham Book" w:hAnsi="Gotham Book"/>
                <w:b/>
                <w:sz w:val="24"/>
                <w:szCs w:val="24"/>
              </w:rPr>
            </w:pPr>
            <w:r>
              <w:rPr>
                <w:rFonts w:ascii="Gotham Book" w:hAnsi="Gotham Book"/>
                <w:b/>
                <w:sz w:val="24"/>
                <w:szCs w:val="24"/>
              </w:rPr>
              <w:t xml:space="preserve">Portion of </w:t>
            </w:r>
            <w:r w:rsidR="00007E62">
              <w:rPr>
                <w:rFonts w:ascii="Gotham Book" w:hAnsi="Gotham Book"/>
                <w:b/>
                <w:sz w:val="24"/>
                <w:szCs w:val="24"/>
              </w:rPr>
              <w:t>generation</w:t>
            </w:r>
            <w:r>
              <w:rPr>
                <w:rFonts w:ascii="Gotham Book" w:hAnsi="Gotham Book"/>
                <w:b/>
                <w:sz w:val="24"/>
                <w:szCs w:val="24"/>
              </w:rPr>
              <w:t xml:space="preserve"> </w:t>
            </w:r>
            <w:r w:rsidR="0029609A">
              <w:rPr>
                <w:rFonts w:ascii="Gotham Book" w:hAnsi="Gotham Book"/>
                <w:b/>
                <w:sz w:val="24"/>
                <w:szCs w:val="24"/>
              </w:rPr>
              <w:t>from renewables</w:t>
            </w:r>
            <w:r>
              <w:rPr>
                <w:rStyle w:val="FootnoteReference"/>
                <w:rFonts w:ascii="Gotham Book" w:hAnsi="Gotham Book"/>
                <w:b/>
                <w:sz w:val="24"/>
                <w:szCs w:val="24"/>
              </w:rPr>
              <w:footnoteReference w:id="32"/>
            </w:r>
          </w:p>
        </w:tc>
        <w:tc>
          <w:tcPr>
            <w:tcW w:w="2330" w:type="dxa"/>
          </w:tcPr>
          <w:p w:rsidR="0029609A" w:rsidRDefault="0029609A" w:rsidP="00223D84">
            <w:pPr>
              <w:rPr>
                <w:rFonts w:ascii="Gotham Book" w:hAnsi="Gotham Book"/>
                <w:b/>
                <w:sz w:val="24"/>
                <w:szCs w:val="24"/>
              </w:rPr>
            </w:pPr>
            <w:r>
              <w:rPr>
                <w:rFonts w:ascii="Gotham Book" w:hAnsi="Gotham Book"/>
                <w:b/>
                <w:sz w:val="24"/>
                <w:szCs w:val="24"/>
              </w:rPr>
              <w:t>Comment</w:t>
            </w:r>
          </w:p>
        </w:tc>
      </w:tr>
      <w:tr w:rsidR="0029609A" w:rsidTr="00B635AC">
        <w:tc>
          <w:tcPr>
            <w:tcW w:w="2802" w:type="dxa"/>
          </w:tcPr>
          <w:p w:rsidR="0029609A" w:rsidRPr="0015644D" w:rsidRDefault="0029609A" w:rsidP="00223D84">
            <w:pPr>
              <w:rPr>
                <w:rFonts w:ascii="Gotham Book" w:hAnsi="Gotham Book"/>
                <w:b/>
                <w:sz w:val="24"/>
                <w:szCs w:val="24"/>
              </w:rPr>
            </w:pPr>
            <w:r w:rsidRPr="0015644D">
              <w:rPr>
                <w:rFonts w:ascii="Gotham Book" w:hAnsi="Gotham Book"/>
                <w:b/>
                <w:sz w:val="24"/>
                <w:szCs w:val="24"/>
              </w:rPr>
              <w:t>ASX listed</w:t>
            </w:r>
          </w:p>
        </w:tc>
        <w:tc>
          <w:tcPr>
            <w:tcW w:w="2317" w:type="dxa"/>
          </w:tcPr>
          <w:p w:rsidR="0029609A" w:rsidRPr="0015644D" w:rsidRDefault="0029609A" w:rsidP="00223D84">
            <w:pPr>
              <w:rPr>
                <w:rFonts w:ascii="Gotham Book" w:hAnsi="Gotham Book"/>
                <w:b/>
                <w:sz w:val="24"/>
                <w:szCs w:val="24"/>
              </w:rPr>
            </w:pPr>
          </w:p>
        </w:tc>
        <w:tc>
          <w:tcPr>
            <w:tcW w:w="1793" w:type="dxa"/>
          </w:tcPr>
          <w:p w:rsidR="0029609A" w:rsidRDefault="0029609A" w:rsidP="00223D84">
            <w:pPr>
              <w:rPr>
                <w:rFonts w:ascii="Gotham Book" w:hAnsi="Gotham Book"/>
                <w:b/>
                <w:sz w:val="32"/>
                <w:szCs w:val="32"/>
              </w:rPr>
            </w:pPr>
          </w:p>
        </w:tc>
        <w:tc>
          <w:tcPr>
            <w:tcW w:w="2330" w:type="dxa"/>
          </w:tcPr>
          <w:p w:rsidR="0029609A" w:rsidRDefault="0029609A" w:rsidP="00223D84">
            <w:pPr>
              <w:rPr>
                <w:rFonts w:ascii="Gotham Book" w:hAnsi="Gotham Book"/>
                <w:b/>
                <w:sz w:val="32"/>
                <w:szCs w:val="32"/>
              </w:rPr>
            </w:pPr>
          </w:p>
        </w:tc>
      </w:tr>
      <w:tr w:rsidR="0029609A" w:rsidTr="00B635AC">
        <w:tc>
          <w:tcPr>
            <w:tcW w:w="2802" w:type="dxa"/>
          </w:tcPr>
          <w:p w:rsidR="0029609A" w:rsidRPr="0015644D" w:rsidRDefault="0029609A" w:rsidP="00223D84">
            <w:pPr>
              <w:pStyle w:val="ListParagraph"/>
              <w:numPr>
                <w:ilvl w:val="0"/>
                <w:numId w:val="3"/>
              </w:numPr>
              <w:rPr>
                <w:rFonts w:ascii="Gotham Book" w:hAnsi="Gotham Book"/>
                <w:b/>
                <w:sz w:val="24"/>
                <w:szCs w:val="24"/>
              </w:rPr>
            </w:pPr>
            <w:r w:rsidRPr="0015644D">
              <w:rPr>
                <w:rFonts w:ascii="Gotham Book" w:hAnsi="Gotham Book"/>
                <w:b/>
                <w:sz w:val="24"/>
                <w:szCs w:val="24"/>
              </w:rPr>
              <w:t>AGL</w:t>
            </w:r>
          </w:p>
        </w:tc>
        <w:tc>
          <w:tcPr>
            <w:tcW w:w="2317" w:type="dxa"/>
          </w:tcPr>
          <w:p w:rsidR="0029609A" w:rsidRPr="003A039E" w:rsidRDefault="003A039E" w:rsidP="00223D84">
            <w:pPr>
              <w:rPr>
                <w:rFonts w:ascii="Gotham Book" w:hAnsi="Gotham Book"/>
                <w:sz w:val="24"/>
                <w:szCs w:val="24"/>
              </w:rPr>
            </w:pPr>
            <w:r>
              <w:rPr>
                <w:rFonts w:ascii="Gotham Book" w:hAnsi="Gotham Book"/>
                <w:sz w:val="24"/>
                <w:szCs w:val="24"/>
              </w:rPr>
              <w:t>Power generator</w:t>
            </w:r>
            <w:r w:rsidR="0029609A" w:rsidRPr="003A039E">
              <w:rPr>
                <w:rFonts w:ascii="Gotham Book" w:hAnsi="Gotham Book"/>
                <w:sz w:val="24"/>
                <w:szCs w:val="24"/>
              </w:rPr>
              <w:t xml:space="preserve">, </w:t>
            </w:r>
            <w:r>
              <w:rPr>
                <w:rFonts w:ascii="Gotham Book" w:hAnsi="Gotham Book"/>
                <w:sz w:val="24"/>
                <w:szCs w:val="24"/>
              </w:rPr>
              <w:t>gas</w:t>
            </w:r>
            <w:r w:rsidR="00A818BD">
              <w:rPr>
                <w:rFonts w:ascii="Gotham Book" w:hAnsi="Gotham Book"/>
                <w:sz w:val="24"/>
                <w:szCs w:val="24"/>
              </w:rPr>
              <w:t xml:space="preserve"> storage operator and gas</w:t>
            </w:r>
            <w:r>
              <w:rPr>
                <w:rFonts w:ascii="Gotham Book" w:hAnsi="Gotham Book"/>
                <w:sz w:val="24"/>
                <w:szCs w:val="24"/>
              </w:rPr>
              <w:t xml:space="preserve"> and electricity </w:t>
            </w:r>
            <w:r w:rsidR="0029609A" w:rsidRPr="003A039E">
              <w:rPr>
                <w:rFonts w:ascii="Gotham Book" w:hAnsi="Gotham Book"/>
                <w:sz w:val="24"/>
                <w:szCs w:val="24"/>
              </w:rPr>
              <w:t xml:space="preserve">retailer and </w:t>
            </w:r>
            <w:r w:rsidR="00B654CF">
              <w:rPr>
                <w:rFonts w:ascii="Gotham Book" w:hAnsi="Gotham Book"/>
                <w:sz w:val="24"/>
                <w:szCs w:val="24"/>
              </w:rPr>
              <w:t xml:space="preserve">brown </w:t>
            </w:r>
            <w:r w:rsidR="005841F6" w:rsidRPr="003A039E">
              <w:rPr>
                <w:rFonts w:ascii="Gotham Book" w:hAnsi="Gotham Book"/>
                <w:sz w:val="24"/>
                <w:szCs w:val="24"/>
              </w:rPr>
              <w:t xml:space="preserve">coal </w:t>
            </w:r>
            <w:r w:rsidR="0029609A" w:rsidRPr="003A039E">
              <w:rPr>
                <w:rFonts w:ascii="Gotham Book" w:hAnsi="Gotham Book"/>
                <w:sz w:val="24"/>
                <w:szCs w:val="24"/>
              </w:rPr>
              <w:t>reserve owner</w:t>
            </w:r>
            <w:r w:rsidR="000006C5">
              <w:rPr>
                <w:rFonts w:ascii="Gotham Book" w:hAnsi="Gotham Book"/>
                <w:sz w:val="24"/>
                <w:szCs w:val="24"/>
              </w:rPr>
              <w:t xml:space="preserve"> in Australia</w:t>
            </w:r>
            <w:r w:rsidR="00D06806">
              <w:rPr>
                <w:rStyle w:val="FootnoteReference"/>
                <w:rFonts w:ascii="Gotham Book" w:hAnsi="Gotham Book"/>
                <w:sz w:val="24"/>
                <w:szCs w:val="24"/>
              </w:rPr>
              <w:footnoteReference w:id="33"/>
            </w:r>
          </w:p>
        </w:tc>
        <w:tc>
          <w:tcPr>
            <w:tcW w:w="1793" w:type="dxa"/>
          </w:tcPr>
          <w:p w:rsidR="0029609A" w:rsidRPr="003A039E" w:rsidRDefault="005165D0" w:rsidP="00007E62">
            <w:pPr>
              <w:rPr>
                <w:rFonts w:ascii="Gotham Book" w:hAnsi="Gotham Book"/>
                <w:b/>
                <w:sz w:val="24"/>
                <w:szCs w:val="24"/>
              </w:rPr>
            </w:pPr>
            <w:r w:rsidRPr="00A82DBE">
              <w:rPr>
                <w:rFonts w:ascii="Gotham Book" w:hAnsi="Gotham Book"/>
                <w:sz w:val="24"/>
                <w:szCs w:val="24"/>
              </w:rPr>
              <w:t>1</w:t>
            </w:r>
            <w:r w:rsidR="0029609A" w:rsidRPr="00A82DBE">
              <w:rPr>
                <w:rFonts w:ascii="Gotham Book" w:hAnsi="Gotham Book"/>
                <w:sz w:val="24"/>
                <w:szCs w:val="24"/>
              </w:rPr>
              <w:t>9%</w:t>
            </w:r>
            <w:r w:rsidR="00426B38">
              <w:rPr>
                <w:rFonts w:ascii="Gotham Book" w:hAnsi="Gotham Book"/>
                <w:sz w:val="24"/>
                <w:szCs w:val="24"/>
              </w:rPr>
              <w:t xml:space="preserve"> / 9.1</w:t>
            </w:r>
            <w:r w:rsidR="00A82DBE">
              <w:rPr>
                <w:rFonts w:ascii="Gotham Book" w:hAnsi="Gotham Book"/>
                <w:sz w:val="24"/>
                <w:szCs w:val="24"/>
              </w:rPr>
              <w:t xml:space="preserve">% </w:t>
            </w:r>
            <w:r w:rsidR="0029609A" w:rsidRPr="00803FE4">
              <w:rPr>
                <w:rStyle w:val="FootnoteReference"/>
                <w:rFonts w:ascii="Gotham Book" w:hAnsi="Gotham Book"/>
                <w:sz w:val="24"/>
                <w:szCs w:val="24"/>
              </w:rPr>
              <w:footnoteReference w:id="34"/>
            </w:r>
          </w:p>
        </w:tc>
        <w:tc>
          <w:tcPr>
            <w:tcW w:w="2330" w:type="dxa"/>
          </w:tcPr>
          <w:p w:rsidR="0029609A" w:rsidRPr="003A039E" w:rsidRDefault="0029609A" w:rsidP="00223D84">
            <w:pPr>
              <w:rPr>
                <w:rFonts w:ascii="Gotham Book" w:hAnsi="Gotham Book"/>
                <w:sz w:val="24"/>
                <w:szCs w:val="24"/>
              </w:rPr>
            </w:pPr>
            <w:r w:rsidRPr="003A039E">
              <w:rPr>
                <w:rFonts w:ascii="Gotham Book" w:hAnsi="Gotham Book"/>
                <w:sz w:val="24"/>
                <w:szCs w:val="24"/>
              </w:rPr>
              <w:t>O</w:t>
            </w:r>
            <w:r w:rsidR="00B654CF">
              <w:rPr>
                <w:rFonts w:ascii="Gotham Book" w:hAnsi="Gotham Book"/>
                <w:sz w:val="24"/>
                <w:szCs w:val="24"/>
              </w:rPr>
              <w:t>wns and o</w:t>
            </w:r>
            <w:r w:rsidRPr="003A039E">
              <w:rPr>
                <w:rFonts w:ascii="Gotham Book" w:hAnsi="Gotham Book"/>
                <w:sz w:val="24"/>
                <w:szCs w:val="24"/>
              </w:rPr>
              <w:t>perates Loy Yang A and</w:t>
            </w:r>
            <w:r w:rsidR="00B654CF">
              <w:rPr>
                <w:rFonts w:ascii="Gotham Book" w:hAnsi="Gotham Book"/>
                <w:sz w:val="24"/>
                <w:szCs w:val="24"/>
              </w:rPr>
              <w:t xml:space="preserve"> the adjacent brown coal mine</w:t>
            </w:r>
            <w:r w:rsidR="00B654CF">
              <w:rPr>
                <w:rStyle w:val="FootnoteReference"/>
                <w:rFonts w:ascii="Gotham Book" w:hAnsi="Gotham Book"/>
                <w:sz w:val="24"/>
                <w:szCs w:val="24"/>
              </w:rPr>
              <w:footnoteReference w:id="35"/>
            </w:r>
            <w:r w:rsidRPr="003A039E">
              <w:rPr>
                <w:rFonts w:ascii="Gotham Book" w:hAnsi="Gotham Book"/>
                <w:sz w:val="24"/>
                <w:szCs w:val="24"/>
              </w:rPr>
              <w:t xml:space="preserve">, in September 2014 acquired Macquarie </w:t>
            </w:r>
            <w:r w:rsidRPr="003A039E">
              <w:rPr>
                <w:rFonts w:ascii="Gotham Book" w:hAnsi="Gotham Book"/>
                <w:sz w:val="24"/>
                <w:szCs w:val="24"/>
              </w:rPr>
              <w:lastRenderedPageBreak/>
              <w:t>Generation</w:t>
            </w:r>
            <w:r w:rsidR="00B654CF">
              <w:rPr>
                <w:rStyle w:val="FootnoteReference"/>
                <w:rFonts w:ascii="Gotham Book" w:hAnsi="Gotham Book"/>
                <w:sz w:val="24"/>
                <w:szCs w:val="24"/>
              </w:rPr>
              <w:footnoteReference w:id="36"/>
            </w:r>
          </w:p>
        </w:tc>
      </w:tr>
      <w:tr w:rsidR="0029609A" w:rsidTr="00B635AC">
        <w:tc>
          <w:tcPr>
            <w:tcW w:w="2802" w:type="dxa"/>
          </w:tcPr>
          <w:p w:rsidR="0029609A" w:rsidRPr="006D663B" w:rsidRDefault="0029609A" w:rsidP="00223D84">
            <w:pPr>
              <w:pStyle w:val="ListParagraph"/>
              <w:numPr>
                <w:ilvl w:val="0"/>
                <w:numId w:val="3"/>
              </w:numPr>
              <w:rPr>
                <w:rFonts w:ascii="Gotham Book" w:hAnsi="Gotham Book"/>
                <w:b/>
                <w:sz w:val="24"/>
                <w:szCs w:val="24"/>
              </w:rPr>
            </w:pPr>
            <w:proofErr w:type="spellStart"/>
            <w:r>
              <w:rPr>
                <w:rFonts w:ascii="Gotham Book" w:hAnsi="Gotham Book"/>
                <w:b/>
                <w:sz w:val="24"/>
                <w:szCs w:val="24"/>
              </w:rPr>
              <w:lastRenderedPageBreak/>
              <w:t>Infratil</w:t>
            </w:r>
            <w:proofErr w:type="spellEnd"/>
          </w:p>
        </w:tc>
        <w:tc>
          <w:tcPr>
            <w:tcW w:w="2317" w:type="dxa"/>
          </w:tcPr>
          <w:p w:rsidR="0029609A" w:rsidRPr="003A039E" w:rsidRDefault="0029609A" w:rsidP="00223D84">
            <w:pPr>
              <w:rPr>
                <w:rFonts w:ascii="Gotham Book" w:hAnsi="Gotham Book"/>
                <w:sz w:val="24"/>
                <w:szCs w:val="24"/>
              </w:rPr>
            </w:pPr>
            <w:r w:rsidRPr="003A039E">
              <w:rPr>
                <w:rFonts w:ascii="Gotham Book" w:hAnsi="Gotham Book"/>
                <w:sz w:val="24"/>
                <w:szCs w:val="24"/>
              </w:rPr>
              <w:t>Diversified</w:t>
            </w:r>
            <w:r w:rsidR="005841F6" w:rsidRPr="003A039E">
              <w:rPr>
                <w:rFonts w:ascii="Gotham Book" w:hAnsi="Gotham Book"/>
                <w:sz w:val="24"/>
                <w:szCs w:val="24"/>
              </w:rPr>
              <w:t xml:space="preserve"> NZ-based infrastructure owner</w:t>
            </w:r>
            <w:r w:rsidR="003F6111">
              <w:rPr>
                <w:rStyle w:val="FootnoteReference"/>
                <w:rFonts w:ascii="Gotham Book" w:hAnsi="Gotham Book"/>
                <w:sz w:val="24"/>
                <w:szCs w:val="24"/>
              </w:rPr>
              <w:footnoteReference w:id="37"/>
            </w:r>
            <w:r w:rsidR="000006C5">
              <w:rPr>
                <w:rFonts w:ascii="Gotham Book" w:hAnsi="Gotham Book"/>
                <w:sz w:val="24"/>
                <w:szCs w:val="24"/>
              </w:rPr>
              <w:t>, owner of gas generation facilities in Australia</w:t>
            </w:r>
            <w:r w:rsidR="003F6111">
              <w:rPr>
                <w:rStyle w:val="FootnoteReference"/>
                <w:rFonts w:ascii="Gotham Book" w:hAnsi="Gotham Book"/>
                <w:sz w:val="24"/>
                <w:szCs w:val="24"/>
              </w:rPr>
              <w:footnoteReference w:id="38"/>
            </w:r>
          </w:p>
        </w:tc>
        <w:tc>
          <w:tcPr>
            <w:tcW w:w="1793" w:type="dxa"/>
          </w:tcPr>
          <w:p w:rsidR="00917603" w:rsidRDefault="00CF021F" w:rsidP="00223D84">
            <w:pPr>
              <w:rPr>
                <w:rFonts w:ascii="Gotham Book" w:hAnsi="Gotham Book"/>
                <w:sz w:val="24"/>
                <w:szCs w:val="24"/>
              </w:rPr>
            </w:pPr>
            <w:r w:rsidRPr="00CF021F">
              <w:rPr>
                <w:rFonts w:ascii="Gotham Book" w:hAnsi="Gotham Book"/>
                <w:sz w:val="24"/>
                <w:szCs w:val="24"/>
              </w:rPr>
              <w:t>0</w:t>
            </w:r>
            <w:r w:rsidR="00223D84">
              <w:rPr>
                <w:rFonts w:ascii="Gotham Book" w:hAnsi="Gotham Book"/>
                <w:sz w:val="24"/>
                <w:szCs w:val="24"/>
              </w:rPr>
              <w:t>%</w:t>
            </w:r>
            <w:r w:rsidR="00983996">
              <w:rPr>
                <w:rFonts w:ascii="Gotham Book" w:hAnsi="Gotham Book"/>
                <w:sz w:val="24"/>
                <w:szCs w:val="24"/>
              </w:rPr>
              <w:t xml:space="preserve"> </w:t>
            </w:r>
            <w:r w:rsidR="003F6111">
              <w:rPr>
                <w:rFonts w:ascii="Gotham Book" w:hAnsi="Gotham Book"/>
                <w:sz w:val="24"/>
                <w:szCs w:val="24"/>
              </w:rPr>
              <w:t>direct</w:t>
            </w:r>
            <w:r w:rsidR="00473DBF">
              <w:rPr>
                <w:rFonts w:ascii="Gotham Book" w:hAnsi="Gotham Book"/>
                <w:sz w:val="24"/>
                <w:szCs w:val="24"/>
              </w:rPr>
              <w:t xml:space="preserve">, 40% </w:t>
            </w:r>
          </w:p>
          <w:p w:rsidR="0029609A" w:rsidRPr="00CF021F" w:rsidRDefault="00917603" w:rsidP="00223D84">
            <w:pPr>
              <w:rPr>
                <w:rFonts w:ascii="Gotham Book" w:hAnsi="Gotham Book"/>
                <w:sz w:val="24"/>
                <w:szCs w:val="24"/>
              </w:rPr>
            </w:pPr>
            <w:r>
              <w:rPr>
                <w:rFonts w:ascii="Gotham Book" w:hAnsi="Gotham Book"/>
                <w:sz w:val="24"/>
                <w:szCs w:val="24"/>
              </w:rPr>
              <w:t>in</w:t>
            </w:r>
            <w:r w:rsidR="00473DBF">
              <w:rPr>
                <w:rFonts w:ascii="Gotham Book" w:hAnsi="Gotham Book"/>
                <w:sz w:val="24"/>
                <w:szCs w:val="24"/>
              </w:rPr>
              <w:t>direct by book value</w:t>
            </w:r>
            <w:r w:rsidR="003F6111">
              <w:rPr>
                <w:rStyle w:val="FootnoteReference"/>
                <w:rFonts w:ascii="Gotham Book" w:hAnsi="Gotham Book"/>
                <w:sz w:val="24"/>
                <w:szCs w:val="24"/>
              </w:rPr>
              <w:footnoteReference w:id="39"/>
            </w:r>
          </w:p>
        </w:tc>
        <w:tc>
          <w:tcPr>
            <w:tcW w:w="2330" w:type="dxa"/>
          </w:tcPr>
          <w:p w:rsidR="0029609A" w:rsidRPr="003A039E" w:rsidRDefault="003A039E" w:rsidP="00223D84">
            <w:pPr>
              <w:rPr>
                <w:rFonts w:ascii="Gotham Book" w:hAnsi="Gotham Book"/>
                <w:sz w:val="24"/>
                <w:szCs w:val="24"/>
              </w:rPr>
            </w:pPr>
            <w:r w:rsidRPr="003A039E">
              <w:rPr>
                <w:rFonts w:ascii="Gotham Book" w:hAnsi="Gotham Book"/>
                <w:sz w:val="24"/>
                <w:szCs w:val="24"/>
              </w:rPr>
              <w:t>Dual ASX &amp; NZX listed</w:t>
            </w:r>
          </w:p>
        </w:tc>
      </w:tr>
      <w:tr w:rsidR="0029609A" w:rsidTr="00B635AC">
        <w:tc>
          <w:tcPr>
            <w:tcW w:w="2802" w:type="dxa"/>
          </w:tcPr>
          <w:p w:rsidR="0029609A" w:rsidRPr="006D663B" w:rsidRDefault="0029609A" w:rsidP="00223D84">
            <w:pPr>
              <w:pStyle w:val="ListParagraph"/>
              <w:numPr>
                <w:ilvl w:val="0"/>
                <w:numId w:val="3"/>
              </w:numPr>
              <w:rPr>
                <w:rFonts w:ascii="Gotham Book" w:hAnsi="Gotham Book"/>
                <w:b/>
                <w:sz w:val="24"/>
                <w:szCs w:val="24"/>
              </w:rPr>
            </w:pPr>
            <w:r>
              <w:rPr>
                <w:rFonts w:ascii="Gotham Book" w:hAnsi="Gotham Book"/>
                <w:b/>
                <w:sz w:val="24"/>
                <w:szCs w:val="24"/>
              </w:rPr>
              <w:t>Origin</w:t>
            </w:r>
          </w:p>
        </w:tc>
        <w:tc>
          <w:tcPr>
            <w:tcW w:w="2317" w:type="dxa"/>
          </w:tcPr>
          <w:p w:rsidR="0029609A" w:rsidRPr="003A039E" w:rsidRDefault="00B635AC" w:rsidP="00223D84">
            <w:pPr>
              <w:rPr>
                <w:rFonts w:ascii="Gotham Book" w:hAnsi="Gotham Book"/>
                <w:sz w:val="24"/>
                <w:szCs w:val="24"/>
              </w:rPr>
            </w:pPr>
            <w:r>
              <w:rPr>
                <w:rFonts w:ascii="Gotham Book" w:hAnsi="Gotham Book"/>
                <w:sz w:val="24"/>
                <w:szCs w:val="24"/>
              </w:rPr>
              <w:t xml:space="preserve">Generator, retailer, </w:t>
            </w:r>
            <w:r w:rsidR="005841F6" w:rsidRPr="003A039E">
              <w:rPr>
                <w:rFonts w:ascii="Gotham Book" w:hAnsi="Gotham Book"/>
                <w:sz w:val="24"/>
                <w:szCs w:val="24"/>
              </w:rPr>
              <w:t>oil and gas reserve owner</w:t>
            </w:r>
            <w:r w:rsidR="000006C5">
              <w:rPr>
                <w:rFonts w:ascii="Gotham Book" w:hAnsi="Gotham Book"/>
                <w:sz w:val="24"/>
                <w:szCs w:val="24"/>
              </w:rPr>
              <w:t xml:space="preserve"> in Australia</w:t>
            </w:r>
            <w:r>
              <w:rPr>
                <w:rFonts w:ascii="Gotham Book" w:hAnsi="Gotham Book"/>
                <w:sz w:val="24"/>
                <w:szCs w:val="24"/>
              </w:rPr>
              <w:t>, LNG exporter</w:t>
            </w:r>
            <w:r w:rsidR="007C6028">
              <w:rPr>
                <w:rFonts w:ascii="Gotham Book" w:hAnsi="Gotham Book"/>
                <w:sz w:val="24"/>
                <w:szCs w:val="24"/>
              </w:rPr>
              <w:t xml:space="preserve"> from 15/16</w:t>
            </w:r>
            <w:r w:rsidR="007C6028">
              <w:rPr>
                <w:rStyle w:val="FootnoteReference"/>
                <w:rFonts w:ascii="Gotham Book" w:hAnsi="Gotham Book"/>
                <w:sz w:val="24"/>
                <w:szCs w:val="24"/>
              </w:rPr>
              <w:footnoteReference w:id="40"/>
            </w:r>
          </w:p>
        </w:tc>
        <w:tc>
          <w:tcPr>
            <w:tcW w:w="1793" w:type="dxa"/>
          </w:tcPr>
          <w:p w:rsidR="0029609A" w:rsidRPr="005165D0" w:rsidRDefault="005165D0" w:rsidP="0097270F">
            <w:pPr>
              <w:rPr>
                <w:rFonts w:ascii="Gotham Book" w:hAnsi="Gotham Book"/>
                <w:sz w:val="24"/>
                <w:szCs w:val="24"/>
              </w:rPr>
            </w:pPr>
            <w:r w:rsidRPr="005165D0">
              <w:rPr>
                <w:rFonts w:ascii="Gotham Book" w:hAnsi="Gotham Book"/>
                <w:sz w:val="24"/>
                <w:szCs w:val="24"/>
              </w:rPr>
              <w:t>0.06%</w:t>
            </w:r>
            <w:r w:rsidR="00917603">
              <w:rPr>
                <w:rFonts w:ascii="Gotham Book" w:hAnsi="Gotham Book"/>
                <w:sz w:val="24"/>
                <w:szCs w:val="24"/>
              </w:rPr>
              <w:t xml:space="preserve"> </w:t>
            </w:r>
            <w:r>
              <w:rPr>
                <w:rStyle w:val="FootnoteReference"/>
                <w:rFonts w:ascii="Gotham Book" w:hAnsi="Gotham Book"/>
                <w:sz w:val="24"/>
                <w:szCs w:val="24"/>
              </w:rPr>
              <w:footnoteReference w:id="41"/>
            </w:r>
          </w:p>
        </w:tc>
        <w:tc>
          <w:tcPr>
            <w:tcW w:w="2330" w:type="dxa"/>
          </w:tcPr>
          <w:p w:rsidR="0029609A" w:rsidRPr="00B635AC" w:rsidRDefault="00FF29A6" w:rsidP="00223D84">
            <w:pPr>
              <w:rPr>
                <w:rFonts w:ascii="Gotham Book" w:hAnsi="Gotham Book"/>
                <w:sz w:val="24"/>
                <w:szCs w:val="24"/>
              </w:rPr>
            </w:pPr>
            <w:r>
              <w:rPr>
                <w:rFonts w:ascii="Gotham Book" w:hAnsi="Gotham Book"/>
                <w:sz w:val="24"/>
                <w:szCs w:val="24"/>
              </w:rPr>
              <w:t>Also owns 37.5% of Australia</w:t>
            </w:r>
            <w:r w:rsidR="00917603" w:rsidRPr="00B635AC">
              <w:rPr>
                <w:rFonts w:ascii="Gotham Book" w:hAnsi="Gotham Book"/>
                <w:sz w:val="24"/>
                <w:szCs w:val="24"/>
              </w:rPr>
              <w:t xml:space="preserve"> Pacifi</w:t>
            </w:r>
            <w:r w:rsidR="00B635AC">
              <w:rPr>
                <w:rFonts w:ascii="Gotham Book" w:hAnsi="Gotham Book"/>
                <w:sz w:val="24"/>
                <w:szCs w:val="24"/>
              </w:rPr>
              <w:t>c LNG</w:t>
            </w:r>
            <w:r w:rsidR="00B635AC">
              <w:rPr>
                <w:rStyle w:val="FootnoteReference"/>
                <w:rFonts w:ascii="Gotham Book" w:hAnsi="Gotham Book"/>
                <w:sz w:val="24"/>
                <w:szCs w:val="24"/>
              </w:rPr>
              <w:footnoteReference w:id="42"/>
            </w:r>
          </w:p>
        </w:tc>
      </w:tr>
      <w:tr w:rsidR="0029609A" w:rsidTr="00B635AC">
        <w:tc>
          <w:tcPr>
            <w:tcW w:w="2802" w:type="dxa"/>
          </w:tcPr>
          <w:p w:rsidR="0029609A" w:rsidRPr="006D663B" w:rsidRDefault="0029609A" w:rsidP="00223D84">
            <w:pPr>
              <w:rPr>
                <w:rFonts w:ascii="Gotham Book" w:hAnsi="Gotham Book"/>
                <w:b/>
                <w:sz w:val="24"/>
                <w:szCs w:val="24"/>
              </w:rPr>
            </w:pPr>
            <w:r>
              <w:rPr>
                <w:rFonts w:ascii="Gotham Book" w:hAnsi="Gotham Book"/>
                <w:b/>
                <w:sz w:val="24"/>
                <w:szCs w:val="24"/>
              </w:rPr>
              <w:t>NZX listed</w:t>
            </w:r>
          </w:p>
        </w:tc>
        <w:tc>
          <w:tcPr>
            <w:tcW w:w="2317" w:type="dxa"/>
          </w:tcPr>
          <w:p w:rsidR="0029609A" w:rsidRPr="003A039E" w:rsidRDefault="0029609A" w:rsidP="00223D84">
            <w:pPr>
              <w:rPr>
                <w:rFonts w:ascii="Gotham Book" w:hAnsi="Gotham Book"/>
                <w:sz w:val="24"/>
                <w:szCs w:val="24"/>
              </w:rPr>
            </w:pPr>
          </w:p>
        </w:tc>
        <w:tc>
          <w:tcPr>
            <w:tcW w:w="1793" w:type="dxa"/>
          </w:tcPr>
          <w:p w:rsidR="0029609A" w:rsidRPr="003A039E" w:rsidRDefault="0029609A" w:rsidP="00223D84">
            <w:pPr>
              <w:rPr>
                <w:rFonts w:ascii="Gotham Book" w:hAnsi="Gotham Book"/>
                <w:b/>
                <w:sz w:val="24"/>
                <w:szCs w:val="24"/>
              </w:rPr>
            </w:pPr>
          </w:p>
        </w:tc>
        <w:tc>
          <w:tcPr>
            <w:tcW w:w="2330" w:type="dxa"/>
          </w:tcPr>
          <w:p w:rsidR="0029609A" w:rsidRPr="003A039E" w:rsidRDefault="0029609A" w:rsidP="00223D84">
            <w:pPr>
              <w:rPr>
                <w:rFonts w:ascii="Gotham Book" w:hAnsi="Gotham Book"/>
                <w:b/>
                <w:sz w:val="24"/>
                <w:szCs w:val="24"/>
              </w:rPr>
            </w:pPr>
          </w:p>
        </w:tc>
      </w:tr>
      <w:tr w:rsidR="0029609A" w:rsidTr="00B635AC">
        <w:tc>
          <w:tcPr>
            <w:tcW w:w="2802" w:type="dxa"/>
          </w:tcPr>
          <w:p w:rsidR="0029609A" w:rsidRPr="006D663B" w:rsidRDefault="00B635AC" w:rsidP="00223D84">
            <w:pPr>
              <w:pStyle w:val="ListParagraph"/>
              <w:numPr>
                <w:ilvl w:val="0"/>
                <w:numId w:val="4"/>
              </w:numPr>
              <w:rPr>
                <w:rFonts w:ascii="Gotham Book" w:hAnsi="Gotham Book"/>
                <w:b/>
                <w:sz w:val="24"/>
                <w:szCs w:val="24"/>
              </w:rPr>
            </w:pPr>
            <w:r>
              <w:rPr>
                <w:rFonts w:ascii="Gotham Book" w:hAnsi="Gotham Book"/>
                <w:b/>
                <w:sz w:val="24"/>
                <w:szCs w:val="24"/>
              </w:rPr>
              <w:t>Contac</w:t>
            </w:r>
            <w:r w:rsidR="0029609A">
              <w:rPr>
                <w:rFonts w:ascii="Gotham Book" w:hAnsi="Gotham Book"/>
                <w:b/>
                <w:sz w:val="24"/>
                <w:szCs w:val="24"/>
              </w:rPr>
              <w:t>t Energy</w:t>
            </w:r>
          </w:p>
        </w:tc>
        <w:tc>
          <w:tcPr>
            <w:tcW w:w="2317" w:type="dxa"/>
          </w:tcPr>
          <w:p w:rsidR="0029609A" w:rsidRPr="003A039E" w:rsidRDefault="003A039E" w:rsidP="00223D84">
            <w:pPr>
              <w:rPr>
                <w:rFonts w:ascii="Gotham Book" w:hAnsi="Gotham Book"/>
                <w:sz w:val="24"/>
                <w:szCs w:val="24"/>
              </w:rPr>
            </w:pPr>
            <w:r>
              <w:rPr>
                <w:rFonts w:ascii="Gotham Book" w:hAnsi="Gotham Book"/>
                <w:sz w:val="24"/>
                <w:szCs w:val="24"/>
              </w:rPr>
              <w:t>Power generator and retailer of electricity and gas</w:t>
            </w:r>
            <w:r w:rsidR="000006C5">
              <w:rPr>
                <w:rFonts w:ascii="Gotham Book" w:hAnsi="Gotham Book"/>
                <w:sz w:val="24"/>
                <w:szCs w:val="24"/>
              </w:rPr>
              <w:t xml:space="preserve"> in NZ</w:t>
            </w:r>
          </w:p>
        </w:tc>
        <w:tc>
          <w:tcPr>
            <w:tcW w:w="1793" w:type="dxa"/>
          </w:tcPr>
          <w:p w:rsidR="0029609A" w:rsidRPr="003A039E" w:rsidRDefault="006C3C34" w:rsidP="00223D84">
            <w:pPr>
              <w:rPr>
                <w:rFonts w:ascii="Gotham Book" w:hAnsi="Gotham Book"/>
                <w:sz w:val="24"/>
                <w:szCs w:val="24"/>
              </w:rPr>
            </w:pPr>
            <w:r>
              <w:rPr>
                <w:rFonts w:ascii="Gotham Book" w:hAnsi="Gotham Book"/>
                <w:sz w:val="24"/>
                <w:szCs w:val="24"/>
              </w:rPr>
              <w:t>69</w:t>
            </w:r>
            <w:r w:rsidR="003A039E" w:rsidRPr="003A039E">
              <w:rPr>
                <w:rFonts w:ascii="Gotham Book" w:hAnsi="Gotham Book"/>
                <w:sz w:val="24"/>
                <w:szCs w:val="24"/>
              </w:rPr>
              <w:t>%</w:t>
            </w:r>
            <w:r w:rsidR="00897732">
              <w:rPr>
                <w:rStyle w:val="FootnoteReference"/>
                <w:rFonts w:ascii="Gotham Book" w:hAnsi="Gotham Book"/>
                <w:sz w:val="24"/>
                <w:szCs w:val="24"/>
              </w:rPr>
              <w:footnoteReference w:id="43"/>
            </w:r>
          </w:p>
        </w:tc>
        <w:tc>
          <w:tcPr>
            <w:tcW w:w="2330" w:type="dxa"/>
          </w:tcPr>
          <w:p w:rsidR="0029609A" w:rsidRPr="00007E62" w:rsidRDefault="000C6EF7" w:rsidP="00223D84">
            <w:pPr>
              <w:rPr>
                <w:rFonts w:ascii="Gotham Book" w:hAnsi="Gotham Book"/>
                <w:sz w:val="24"/>
                <w:szCs w:val="24"/>
              </w:rPr>
            </w:pPr>
            <w:r>
              <w:rPr>
                <w:rFonts w:ascii="Gotham Book" w:hAnsi="Gotham Book"/>
                <w:sz w:val="24"/>
                <w:szCs w:val="24"/>
              </w:rPr>
              <w:t xml:space="preserve">Was </w:t>
            </w:r>
            <w:r w:rsidR="00897732">
              <w:rPr>
                <w:rFonts w:ascii="Gotham Book" w:hAnsi="Gotham Book"/>
                <w:sz w:val="24"/>
                <w:szCs w:val="24"/>
              </w:rPr>
              <w:t>5</w:t>
            </w:r>
            <w:r>
              <w:rPr>
                <w:rFonts w:ascii="Gotham Book" w:hAnsi="Gotham Book"/>
                <w:sz w:val="24"/>
                <w:szCs w:val="24"/>
              </w:rPr>
              <w:t>3</w:t>
            </w:r>
            <w:r w:rsidR="00007E62" w:rsidRPr="00007E62">
              <w:rPr>
                <w:rFonts w:ascii="Gotham Book" w:hAnsi="Gotham Book"/>
                <w:sz w:val="24"/>
                <w:szCs w:val="24"/>
              </w:rPr>
              <w:t>% owned by Origin</w:t>
            </w:r>
            <w:r>
              <w:rPr>
                <w:rFonts w:ascii="Gotham Book" w:hAnsi="Gotham Book"/>
                <w:sz w:val="24"/>
                <w:szCs w:val="24"/>
              </w:rPr>
              <w:t xml:space="preserve"> until August 2015</w:t>
            </w:r>
          </w:p>
        </w:tc>
      </w:tr>
      <w:tr w:rsidR="0029609A" w:rsidTr="00B635AC">
        <w:tc>
          <w:tcPr>
            <w:tcW w:w="2802" w:type="dxa"/>
          </w:tcPr>
          <w:p w:rsidR="0029609A" w:rsidRDefault="00B635AC" w:rsidP="00223D84">
            <w:pPr>
              <w:pStyle w:val="ListParagraph"/>
              <w:numPr>
                <w:ilvl w:val="0"/>
                <w:numId w:val="4"/>
              </w:numPr>
              <w:rPr>
                <w:rFonts w:ascii="Gotham Book" w:hAnsi="Gotham Book"/>
                <w:b/>
                <w:sz w:val="24"/>
                <w:szCs w:val="24"/>
              </w:rPr>
            </w:pPr>
            <w:proofErr w:type="spellStart"/>
            <w:r>
              <w:rPr>
                <w:rFonts w:ascii="Gotham Book" w:hAnsi="Gotham Book"/>
                <w:b/>
                <w:sz w:val="24"/>
                <w:szCs w:val="24"/>
              </w:rPr>
              <w:t>Trustp</w:t>
            </w:r>
            <w:r w:rsidR="0029609A">
              <w:rPr>
                <w:rFonts w:ascii="Gotham Book" w:hAnsi="Gotham Book"/>
                <w:b/>
                <w:sz w:val="24"/>
                <w:szCs w:val="24"/>
              </w:rPr>
              <w:t>ower</w:t>
            </w:r>
            <w:proofErr w:type="spellEnd"/>
          </w:p>
        </w:tc>
        <w:tc>
          <w:tcPr>
            <w:tcW w:w="2317" w:type="dxa"/>
          </w:tcPr>
          <w:p w:rsidR="0029609A" w:rsidRPr="003A039E" w:rsidRDefault="005841F6" w:rsidP="00223D84">
            <w:pPr>
              <w:rPr>
                <w:rFonts w:ascii="Gotham Book" w:hAnsi="Gotham Book"/>
                <w:sz w:val="24"/>
                <w:szCs w:val="24"/>
              </w:rPr>
            </w:pPr>
            <w:r w:rsidRPr="003A039E">
              <w:rPr>
                <w:rFonts w:ascii="Gotham Book" w:hAnsi="Gotham Book"/>
                <w:sz w:val="24"/>
                <w:szCs w:val="24"/>
              </w:rPr>
              <w:t>Hydro and wind generator</w:t>
            </w:r>
            <w:r w:rsidR="000006C5">
              <w:rPr>
                <w:rFonts w:ascii="Gotham Book" w:hAnsi="Gotham Book"/>
                <w:sz w:val="24"/>
                <w:szCs w:val="24"/>
              </w:rPr>
              <w:t xml:space="preserve"> in NZ</w:t>
            </w:r>
            <w:r w:rsidR="00917603">
              <w:rPr>
                <w:rFonts w:ascii="Gotham Book" w:hAnsi="Gotham Book"/>
                <w:sz w:val="24"/>
                <w:szCs w:val="24"/>
              </w:rPr>
              <w:t xml:space="preserve"> and Australia</w:t>
            </w:r>
          </w:p>
        </w:tc>
        <w:tc>
          <w:tcPr>
            <w:tcW w:w="1793" w:type="dxa"/>
          </w:tcPr>
          <w:p w:rsidR="0029609A" w:rsidRPr="003A039E" w:rsidRDefault="005841F6" w:rsidP="00223D84">
            <w:pPr>
              <w:rPr>
                <w:rFonts w:ascii="Gotham Book" w:hAnsi="Gotham Book"/>
                <w:sz w:val="24"/>
                <w:szCs w:val="24"/>
              </w:rPr>
            </w:pPr>
            <w:r w:rsidRPr="003A039E">
              <w:rPr>
                <w:rFonts w:ascii="Gotham Book" w:hAnsi="Gotham Book"/>
                <w:sz w:val="24"/>
                <w:szCs w:val="24"/>
              </w:rPr>
              <w:t>100%</w:t>
            </w:r>
          </w:p>
        </w:tc>
        <w:tc>
          <w:tcPr>
            <w:tcW w:w="2330" w:type="dxa"/>
          </w:tcPr>
          <w:p w:rsidR="0029609A" w:rsidRPr="003A039E" w:rsidRDefault="003A039E" w:rsidP="00223D84">
            <w:pPr>
              <w:rPr>
                <w:rFonts w:ascii="Gotham Book" w:hAnsi="Gotham Book"/>
                <w:sz w:val="24"/>
                <w:szCs w:val="24"/>
              </w:rPr>
            </w:pPr>
            <w:r w:rsidRPr="003A039E">
              <w:rPr>
                <w:rFonts w:ascii="Gotham Book" w:hAnsi="Gotham Book"/>
                <w:sz w:val="24"/>
                <w:szCs w:val="24"/>
              </w:rPr>
              <w:t xml:space="preserve">51% owned by </w:t>
            </w:r>
            <w:proofErr w:type="spellStart"/>
            <w:r w:rsidRPr="003A039E">
              <w:rPr>
                <w:rFonts w:ascii="Gotham Book" w:hAnsi="Gotham Book"/>
                <w:sz w:val="24"/>
                <w:szCs w:val="24"/>
              </w:rPr>
              <w:t>Infratil</w:t>
            </w:r>
            <w:proofErr w:type="spellEnd"/>
          </w:p>
        </w:tc>
      </w:tr>
    </w:tbl>
    <w:p w:rsidR="0029609A" w:rsidRDefault="0029609A" w:rsidP="0029609A">
      <w:pPr>
        <w:pStyle w:val="ListParagraph"/>
        <w:ind w:left="644"/>
        <w:rPr>
          <w:rFonts w:ascii="Gotham Book" w:hAnsi="Gotham Book"/>
          <w:b/>
          <w:sz w:val="32"/>
          <w:szCs w:val="32"/>
        </w:rPr>
      </w:pPr>
    </w:p>
    <w:p w:rsidR="000006C5" w:rsidRDefault="00326285" w:rsidP="000006C5">
      <w:pPr>
        <w:rPr>
          <w:rFonts w:ascii="Gotham Book" w:hAnsi="Gotham Book"/>
          <w:sz w:val="24"/>
          <w:szCs w:val="24"/>
        </w:rPr>
      </w:pPr>
      <w:r>
        <w:rPr>
          <w:rFonts w:ascii="Gotham Book" w:hAnsi="Gotham Book"/>
          <w:sz w:val="24"/>
          <w:szCs w:val="24"/>
        </w:rPr>
        <w:t>Two</w:t>
      </w:r>
      <w:r w:rsidR="000006C5" w:rsidRPr="000006C5">
        <w:rPr>
          <w:rFonts w:ascii="Gotham Book" w:hAnsi="Gotham Book"/>
          <w:sz w:val="24"/>
          <w:szCs w:val="24"/>
        </w:rPr>
        <w:t xml:space="preserve"> observations stem from this table:</w:t>
      </w:r>
    </w:p>
    <w:p w:rsidR="000006C5" w:rsidRDefault="000006C5" w:rsidP="000006C5">
      <w:pPr>
        <w:pStyle w:val="ListParagraph"/>
        <w:numPr>
          <w:ilvl w:val="0"/>
          <w:numId w:val="6"/>
        </w:numPr>
        <w:rPr>
          <w:rFonts w:ascii="Gotham Book" w:hAnsi="Gotham Book"/>
          <w:sz w:val="24"/>
          <w:szCs w:val="24"/>
        </w:rPr>
      </w:pPr>
      <w:r>
        <w:rPr>
          <w:rFonts w:ascii="Gotham Book" w:hAnsi="Gotham Book"/>
          <w:sz w:val="24"/>
          <w:szCs w:val="24"/>
        </w:rPr>
        <w:t xml:space="preserve">firstly, the </w:t>
      </w:r>
      <w:r w:rsidR="00CE4F49">
        <w:rPr>
          <w:rFonts w:ascii="Gotham Book" w:hAnsi="Gotham Book"/>
          <w:sz w:val="24"/>
          <w:szCs w:val="24"/>
        </w:rPr>
        <w:t>three</w:t>
      </w:r>
      <w:r>
        <w:rPr>
          <w:rFonts w:ascii="Gotham Book" w:hAnsi="Gotham Book"/>
          <w:sz w:val="24"/>
          <w:szCs w:val="24"/>
        </w:rPr>
        <w:t xml:space="preserve"> NZX listed comp</w:t>
      </w:r>
      <w:r w:rsidR="00F66928">
        <w:rPr>
          <w:rFonts w:ascii="Gotham Book" w:hAnsi="Gotham Book"/>
          <w:sz w:val="24"/>
          <w:szCs w:val="24"/>
        </w:rPr>
        <w:t>anies (Contact Energy</w:t>
      </w:r>
      <w:r w:rsidR="00CE4F49">
        <w:rPr>
          <w:rFonts w:ascii="Gotham Book" w:hAnsi="Gotham Book"/>
          <w:sz w:val="24"/>
          <w:szCs w:val="24"/>
        </w:rPr>
        <w:t xml:space="preserve">, </w:t>
      </w:r>
      <w:proofErr w:type="spellStart"/>
      <w:r w:rsidR="00CE4F49">
        <w:rPr>
          <w:rFonts w:ascii="Gotham Book" w:hAnsi="Gotham Book"/>
          <w:sz w:val="24"/>
          <w:szCs w:val="24"/>
        </w:rPr>
        <w:t>Infratil</w:t>
      </w:r>
      <w:proofErr w:type="spellEnd"/>
      <w:r w:rsidR="00F66928">
        <w:rPr>
          <w:rFonts w:ascii="Gotham Book" w:hAnsi="Gotham Book"/>
          <w:sz w:val="24"/>
          <w:szCs w:val="24"/>
        </w:rPr>
        <w:t xml:space="preserve"> and </w:t>
      </w:r>
      <w:proofErr w:type="spellStart"/>
      <w:r w:rsidR="00F66928">
        <w:rPr>
          <w:rFonts w:ascii="Gotham Book" w:hAnsi="Gotham Book"/>
          <w:sz w:val="24"/>
          <w:szCs w:val="24"/>
        </w:rPr>
        <w:t>Trustp</w:t>
      </w:r>
      <w:r>
        <w:rPr>
          <w:rFonts w:ascii="Gotham Book" w:hAnsi="Gotham Book"/>
          <w:sz w:val="24"/>
          <w:szCs w:val="24"/>
        </w:rPr>
        <w:t>ower</w:t>
      </w:r>
      <w:proofErr w:type="spellEnd"/>
      <w:r>
        <w:rPr>
          <w:rFonts w:ascii="Gotham Book" w:hAnsi="Gotham Book"/>
          <w:sz w:val="24"/>
          <w:szCs w:val="24"/>
        </w:rPr>
        <w:t xml:space="preserve">) are </w:t>
      </w:r>
      <w:r w:rsidR="006125C5">
        <w:rPr>
          <w:rFonts w:ascii="Gotham Book" w:hAnsi="Gotham Book"/>
          <w:sz w:val="24"/>
          <w:szCs w:val="24"/>
        </w:rPr>
        <w:t xml:space="preserve">all </w:t>
      </w:r>
      <w:r>
        <w:rPr>
          <w:rFonts w:ascii="Gotham Book" w:hAnsi="Gotham Book"/>
          <w:sz w:val="24"/>
          <w:szCs w:val="24"/>
        </w:rPr>
        <w:t xml:space="preserve">considerably less exposed to </w:t>
      </w:r>
      <w:proofErr w:type="spellStart"/>
      <w:r>
        <w:rPr>
          <w:rFonts w:ascii="Gotham Book" w:hAnsi="Gotham Book"/>
          <w:sz w:val="24"/>
          <w:szCs w:val="24"/>
        </w:rPr>
        <w:t>unburnable</w:t>
      </w:r>
      <w:proofErr w:type="spellEnd"/>
      <w:r>
        <w:rPr>
          <w:rFonts w:ascii="Gotham Book" w:hAnsi="Gotham Book"/>
          <w:sz w:val="24"/>
          <w:szCs w:val="24"/>
        </w:rPr>
        <w:t xml:space="preserve"> carbon</w:t>
      </w:r>
      <w:r w:rsidR="006125C5">
        <w:rPr>
          <w:rFonts w:ascii="Gotham Book" w:hAnsi="Gotham Book"/>
          <w:sz w:val="24"/>
          <w:szCs w:val="24"/>
        </w:rPr>
        <w:t xml:space="preserve"> related risks because they</w:t>
      </w:r>
      <w:r>
        <w:rPr>
          <w:rFonts w:ascii="Gotham Book" w:hAnsi="Gotham Book"/>
          <w:sz w:val="24"/>
          <w:szCs w:val="24"/>
        </w:rPr>
        <w:t xml:space="preserve"> generate far higher fractions of their </w:t>
      </w:r>
      <w:r>
        <w:rPr>
          <w:rFonts w:ascii="Gotham Book" w:hAnsi="Gotham Book"/>
          <w:sz w:val="24"/>
          <w:szCs w:val="24"/>
        </w:rPr>
        <w:lastRenderedPageBreak/>
        <w:t>electricity from renewables</w:t>
      </w:r>
      <w:r w:rsidR="00842308">
        <w:rPr>
          <w:rFonts w:ascii="Gotham Book" w:hAnsi="Gotham Book"/>
          <w:sz w:val="24"/>
          <w:szCs w:val="24"/>
        </w:rPr>
        <w:t>, the bulk of their generation assets are located in New Zealand</w:t>
      </w:r>
      <w:r>
        <w:rPr>
          <w:rFonts w:ascii="Gotham Book" w:hAnsi="Gotham Book"/>
          <w:sz w:val="24"/>
          <w:szCs w:val="24"/>
        </w:rPr>
        <w:t xml:space="preserve"> and the m</w:t>
      </w:r>
      <w:r w:rsidR="006125C5">
        <w:rPr>
          <w:rFonts w:ascii="Gotham Book" w:hAnsi="Gotham Book"/>
          <w:sz w:val="24"/>
          <w:szCs w:val="24"/>
        </w:rPr>
        <w:t xml:space="preserve">agnitude of the </w:t>
      </w:r>
      <w:r>
        <w:rPr>
          <w:rFonts w:ascii="Gotham Book" w:hAnsi="Gotham Book"/>
          <w:sz w:val="24"/>
          <w:szCs w:val="24"/>
        </w:rPr>
        <w:t xml:space="preserve">response necessary </w:t>
      </w:r>
      <w:r w:rsidR="006125C5">
        <w:rPr>
          <w:rFonts w:ascii="Gotham Book" w:hAnsi="Gotham Book"/>
          <w:sz w:val="24"/>
          <w:szCs w:val="24"/>
        </w:rPr>
        <w:t xml:space="preserve">to make </w:t>
      </w:r>
      <w:r>
        <w:rPr>
          <w:rFonts w:ascii="Gotham Book" w:hAnsi="Gotham Book"/>
          <w:sz w:val="24"/>
          <w:szCs w:val="24"/>
        </w:rPr>
        <w:t>New Zealand</w:t>
      </w:r>
      <w:r w:rsidR="006125C5">
        <w:rPr>
          <w:rFonts w:ascii="Gotham Book" w:hAnsi="Gotham Book"/>
          <w:sz w:val="24"/>
          <w:szCs w:val="24"/>
        </w:rPr>
        <w:t xml:space="preserve"> a ‘world average citizen’</w:t>
      </w:r>
      <w:r>
        <w:rPr>
          <w:rFonts w:ascii="Gotham Book" w:hAnsi="Gotham Book"/>
          <w:sz w:val="24"/>
          <w:szCs w:val="24"/>
        </w:rPr>
        <w:t xml:space="preserve"> is significantly less than that necessary in Australia;</w:t>
      </w:r>
    </w:p>
    <w:p w:rsidR="000006C5" w:rsidRDefault="002C4DF0" w:rsidP="000006C5">
      <w:pPr>
        <w:pStyle w:val="ListParagraph"/>
        <w:numPr>
          <w:ilvl w:val="0"/>
          <w:numId w:val="6"/>
        </w:numPr>
        <w:rPr>
          <w:rFonts w:ascii="Gotham Book" w:hAnsi="Gotham Book"/>
          <w:sz w:val="24"/>
          <w:szCs w:val="24"/>
        </w:rPr>
      </w:pPr>
      <w:proofErr w:type="gramStart"/>
      <w:r>
        <w:rPr>
          <w:rFonts w:ascii="Gotham Book" w:hAnsi="Gotham Book"/>
          <w:sz w:val="24"/>
          <w:szCs w:val="24"/>
        </w:rPr>
        <w:t>by</w:t>
      </w:r>
      <w:proofErr w:type="gramEnd"/>
      <w:r>
        <w:rPr>
          <w:rFonts w:ascii="Gotham Book" w:hAnsi="Gotham Book"/>
          <w:sz w:val="24"/>
          <w:szCs w:val="24"/>
        </w:rPr>
        <w:t xml:space="preserve"> comparison, the impact of any changes in public policy on AGL and Origin</w:t>
      </w:r>
      <w:r w:rsidR="00466ED1">
        <w:rPr>
          <w:rStyle w:val="FootnoteReference"/>
          <w:rFonts w:ascii="Gotham Book" w:hAnsi="Gotham Book"/>
          <w:sz w:val="24"/>
          <w:szCs w:val="24"/>
        </w:rPr>
        <w:footnoteReference w:id="44"/>
      </w:r>
      <w:r>
        <w:rPr>
          <w:rFonts w:ascii="Gotham Book" w:hAnsi="Gotham Book"/>
          <w:sz w:val="24"/>
          <w:szCs w:val="24"/>
        </w:rPr>
        <w:t xml:space="preserve"> could be significant and potentially dramatic, given their regression evident over the last few years. At present, both should be characterised as predominantly coal-fired electricity vendors. In addition, AGL owns reserves of non-tradeable brown coal and </w:t>
      </w:r>
      <w:r w:rsidR="00B335C4">
        <w:rPr>
          <w:rFonts w:ascii="Gotham Book" w:hAnsi="Gotham Book"/>
          <w:sz w:val="24"/>
          <w:szCs w:val="24"/>
        </w:rPr>
        <w:t>both</w:t>
      </w:r>
      <w:r w:rsidR="009739ED">
        <w:rPr>
          <w:rFonts w:ascii="Gotham Book" w:hAnsi="Gotham Book"/>
          <w:sz w:val="24"/>
          <w:szCs w:val="24"/>
        </w:rPr>
        <w:t xml:space="preserve"> ha</w:t>
      </w:r>
      <w:r w:rsidR="00B335C4">
        <w:rPr>
          <w:rFonts w:ascii="Gotham Book" w:hAnsi="Gotham Book"/>
          <w:sz w:val="24"/>
          <w:szCs w:val="24"/>
        </w:rPr>
        <w:t>ve</w:t>
      </w:r>
      <w:r w:rsidR="009739ED">
        <w:rPr>
          <w:rFonts w:ascii="Gotham Book" w:hAnsi="Gotham Book"/>
          <w:sz w:val="24"/>
          <w:szCs w:val="24"/>
        </w:rPr>
        <w:t xml:space="preserve"> interests i</w:t>
      </w:r>
      <w:r w:rsidR="00B335C4">
        <w:rPr>
          <w:rFonts w:ascii="Gotham Book" w:hAnsi="Gotham Book"/>
          <w:sz w:val="24"/>
          <w:szCs w:val="24"/>
        </w:rPr>
        <w:t>n</w:t>
      </w:r>
      <w:r w:rsidR="00A7132E">
        <w:rPr>
          <w:rFonts w:ascii="Gotham Book" w:hAnsi="Gotham Book"/>
          <w:sz w:val="24"/>
          <w:szCs w:val="24"/>
        </w:rPr>
        <w:t xml:space="preserve"> tradable gas reserves.</w:t>
      </w:r>
      <w:r w:rsidR="00B335C4">
        <w:rPr>
          <w:rStyle w:val="FootnoteReference"/>
          <w:rFonts w:ascii="Gotham Book" w:hAnsi="Gotham Book"/>
          <w:sz w:val="24"/>
          <w:szCs w:val="24"/>
        </w:rPr>
        <w:footnoteReference w:id="45"/>
      </w:r>
      <w:r w:rsidR="00F53B14">
        <w:rPr>
          <w:rFonts w:ascii="Gotham Book" w:hAnsi="Gotham Book"/>
          <w:sz w:val="24"/>
          <w:szCs w:val="24"/>
        </w:rPr>
        <w:t xml:space="preserve"> There is a significant difference between AGL and Origin not evident in this table because it is yet to materialise. AGL is an energy utility and plans to stay that way. By contrast, upon the completion of Australia Pacific LNG</w:t>
      </w:r>
      <w:r w:rsidR="00466ED1">
        <w:rPr>
          <w:rFonts w:ascii="Gotham Book" w:hAnsi="Gotham Book"/>
          <w:sz w:val="24"/>
          <w:szCs w:val="24"/>
        </w:rPr>
        <w:t>’s export facilities</w:t>
      </w:r>
      <w:r w:rsidR="00F53B14">
        <w:rPr>
          <w:rFonts w:ascii="Gotham Book" w:hAnsi="Gotham Book"/>
          <w:sz w:val="24"/>
          <w:szCs w:val="24"/>
        </w:rPr>
        <w:t xml:space="preserve">, Origin will be about one third an LNG </w:t>
      </w:r>
      <w:proofErr w:type="gramStart"/>
      <w:r w:rsidR="00F53B14">
        <w:rPr>
          <w:rFonts w:ascii="Gotham Book" w:hAnsi="Gotham Book"/>
          <w:sz w:val="24"/>
          <w:szCs w:val="24"/>
        </w:rPr>
        <w:t>exporter</w:t>
      </w:r>
      <w:proofErr w:type="gramEnd"/>
      <w:r w:rsidR="00F53B14">
        <w:rPr>
          <w:rFonts w:ascii="Gotham Book" w:hAnsi="Gotham Book"/>
          <w:sz w:val="24"/>
          <w:szCs w:val="24"/>
        </w:rPr>
        <w:t xml:space="preserve">. </w:t>
      </w:r>
      <w:r w:rsidR="00F53B14">
        <w:rPr>
          <w:rStyle w:val="FootnoteReference"/>
          <w:rFonts w:ascii="Gotham Book" w:hAnsi="Gotham Book"/>
          <w:sz w:val="24"/>
          <w:szCs w:val="24"/>
        </w:rPr>
        <w:footnoteReference w:id="46"/>
      </w:r>
    </w:p>
    <w:p w:rsidR="00842308" w:rsidRPr="000006C5" w:rsidRDefault="00A7132E" w:rsidP="00D173EB">
      <w:pPr>
        <w:rPr>
          <w:rFonts w:ascii="Gotham Book" w:hAnsi="Gotham Book"/>
          <w:sz w:val="24"/>
          <w:szCs w:val="24"/>
        </w:rPr>
      </w:pPr>
      <w:r w:rsidRPr="00FF29A6">
        <w:rPr>
          <w:rFonts w:ascii="Gotham Book" w:hAnsi="Gotham Book"/>
          <w:sz w:val="24"/>
          <w:szCs w:val="24"/>
        </w:rPr>
        <w:t xml:space="preserve">Section 3 below deals with </w:t>
      </w:r>
      <w:r w:rsidR="008B623B" w:rsidRPr="00FF29A6">
        <w:rPr>
          <w:rFonts w:ascii="Gotham Book" w:hAnsi="Gotham Book"/>
          <w:sz w:val="24"/>
          <w:szCs w:val="24"/>
        </w:rPr>
        <w:t xml:space="preserve">some of </w:t>
      </w:r>
      <w:r w:rsidRPr="00FF29A6">
        <w:rPr>
          <w:rFonts w:ascii="Gotham Book" w:hAnsi="Gotham Book"/>
          <w:sz w:val="24"/>
          <w:szCs w:val="24"/>
        </w:rPr>
        <w:t xml:space="preserve">the responses of these </w:t>
      </w:r>
      <w:proofErr w:type="spellStart"/>
      <w:r w:rsidRPr="00FF29A6">
        <w:rPr>
          <w:rFonts w:ascii="Gotham Book" w:hAnsi="Gotham Book"/>
          <w:sz w:val="24"/>
          <w:szCs w:val="24"/>
        </w:rPr>
        <w:t>gentailing</w:t>
      </w:r>
      <w:proofErr w:type="spellEnd"/>
      <w:r w:rsidRPr="00FF29A6">
        <w:rPr>
          <w:rFonts w:ascii="Gotham Book" w:hAnsi="Gotham Book"/>
          <w:sz w:val="24"/>
          <w:szCs w:val="24"/>
        </w:rPr>
        <w:t xml:space="preserve"> companies to </w:t>
      </w:r>
      <w:proofErr w:type="spellStart"/>
      <w:r w:rsidRPr="00FF29A6">
        <w:rPr>
          <w:rFonts w:ascii="Gotham Book" w:hAnsi="Gotham Book"/>
          <w:sz w:val="24"/>
          <w:szCs w:val="24"/>
        </w:rPr>
        <w:t>unburnable</w:t>
      </w:r>
      <w:proofErr w:type="spellEnd"/>
      <w:r w:rsidRPr="00FF29A6">
        <w:rPr>
          <w:rFonts w:ascii="Gotham Book" w:hAnsi="Gotham Book"/>
          <w:sz w:val="24"/>
          <w:szCs w:val="24"/>
        </w:rPr>
        <w:t xml:space="preserve"> carbon risk - </w:t>
      </w:r>
      <w:r w:rsidR="008B623B" w:rsidRPr="00FF29A6">
        <w:rPr>
          <w:rFonts w:ascii="Gotham Book" w:hAnsi="Gotham Book"/>
          <w:sz w:val="24"/>
          <w:szCs w:val="24"/>
        </w:rPr>
        <w:t xml:space="preserve">for example, </w:t>
      </w:r>
      <w:r w:rsidRPr="00FF29A6">
        <w:rPr>
          <w:rFonts w:ascii="Gotham Book" w:hAnsi="Gotham Book"/>
          <w:sz w:val="24"/>
          <w:szCs w:val="24"/>
        </w:rPr>
        <w:t xml:space="preserve">the extent of their disclosure, </w:t>
      </w:r>
      <w:r w:rsidR="008B623B" w:rsidRPr="00FF29A6">
        <w:rPr>
          <w:rFonts w:ascii="Gotham Book" w:hAnsi="Gotham Book"/>
          <w:sz w:val="24"/>
          <w:szCs w:val="24"/>
        </w:rPr>
        <w:t xml:space="preserve">any </w:t>
      </w:r>
      <w:r w:rsidR="00FF29A6">
        <w:rPr>
          <w:rFonts w:ascii="Gotham Book" w:hAnsi="Gotham Book"/>
          <w:sz w:val="24"/>
          <w:szCs w:val="24"/>
        </w:rPr>
        <w:t>targets they have set</w:t>
      </w:r>
      <w:r w:rsidRPr="00FF29A6">
        <w:rPr>
          <w:rFonts w:ascii="Gotham Book" w:hAnsi="Gotham Book"/>
          <w:sz w:val="24"/>
          <w:szCs w:val="24"/>
        </w:rPr>
        <w:t xml:space="preserve"> to reduce emissions or emissions intensity, performance against targets</w:t>
      </w:r>
      <w:r w:rsidR="008B623B" w:rsidRPr="00FF29A6">
        <w:rPr>
          <w:rFonts w:ascii="Gotham Book" w:hAnsi="Gotham Book"/>
          <w:sz w:val="24"/>
          <w:szCs w:val="24"/>
        </w:rPr>
        <w:t xml:space="preserve"> where they have been set, </w:t>
      </w:r>
      <w:r w:rsidR="001B163F">
        <w:rPr>
          <w:rFonts w:ascii="Gotham Book" w:hAnsi="Gotham Book"/>
          <w:sz w:val="24"/>
          <w:szCs w:val="24"/>
        </w:rPr>
        <w:t xml:space="preserve">and the </w:t>
      </w:r>
      <w:r w:rsidR="008B623B" w:rsidRPr="00FF29A6">
        <w:rPr>
          <w:rFonts w:ascii="Gotham Book" w:hAnsi="Gotham Book"/>
          <w:sz w:val="24"/>
          <w:szCs w:val="24"/>
        </w:rPr>
        <w:t>incorporation of climate change related goals into executive remuneration structures.</w:t>
      </w:r>
    </w:p>
    <w:p w:rsidR="0015644D" w:rsidRDefault="0015644D" w:rsidP="0015644D">
      <w:pPr>
        <w:pStyle w:val="ListParagraph"/>
        <w:numPr>
          <w:ilvl w:val="0"/>
          <w:numId w:val="2"/>
        </w:numPr>
        <w:rPr>
          <w:rFonts w:ascii="Gotham Book" w:hAnsi="Gotham Book"/>
          <w:b/>
          <w:sz w:val="32"/>
          <w:szCs w:val="32"/>
        </w:rPr>
      </w:pPr>
      <w:r>
        <w:rPr>
          <w:rFonts w:ascii="Gotham Book" w:hAnsi="Gotham Book"/>
          <w:b/>
          <w:sz w:val="32"/>
          <w:szCs w:val="32"/>
        </w:rPr>
        <w:t>Responses</w:t>
      </w:r>
    </w:p>
    <w:p w:rsidR="002C0A75" w:rsidRDefault="00900FA3" w:rsidP="002C0A75">
      <w:pPr>
        <w:rPr>
          <w:rFonts w:ascii="Gotham Book" w:hAnsi="Gotham Book"/>
          <w:sz w:val="24"/>
          <w:szCs w:val="24"/>
        </w:rPr>
      </w:pPr>
      <w:r>
        <w:rPr>
          <w:rFonts w:ascii="Gotham Book" w:hAnsi="Gotham Book"/>
          <w:sz w:val="24"/>
          <w:szCs w:val="24"/>
        </w:rPr>
        <w:t>R</w:t>
      </w:r>
      <w:r w:rsidRPr="00460839">
        <w:rPr>
          <w:rFonts w:ascii="Gotham Book" w:hAnsi="Gotham Book"/>
          <w:sz w:val="24"/>
          <w:szCs w:val="24"/>
        </w:rPr>
        <w:t xml:space="preserve">esponse to climate change </w:t>
      </w:r>
      <w:r>
        <w:rPr>
          <w:rFonts w:ascii="Gotham Book" w:hAnsi="Gotham Book"/>
          <w:sz w:val="24"/>
          <w:szCs w:val="24"/>
        </w:rPr>
        <w:t>is</w:t>
      </w:r>
      <w:r w:rsidRPr="00460839">
        <w:rPr>
          <w:rFonts w:ascii="Gotham Book" w:hAnsi="Gotham Book"/>
          <w:sz w:val="24"/>
          <w:szCs w:val="24"/>
        </w:rPr>
        <w:t xml:space="preserve"> assessed by </w:t>
      </w:r>
      <w:r>
        <w:rPr>
          <w:rFonts w:ascii="Gotham Book" w:hAnsi="Gotham Book"/>
          <w:sz w:val="24"/>
          <w:szCs w:val="24"/>
        </w:rPr>
        <w:t>international investor groups such as members of the UN PRI</w:t>
      </w:r>
      <w:r>
        <w:rPr>
          <w:rStyle w:val="FootnoteReference"/>
          <w:rFonts w:ascii="Gotham Book" w:hAnsi="Gotham Book"/>
          <w:sz w:val="24"/>
          <w:szCs w:val="24"/>
        </w:rPr>
        <w:footnoteReference w:id="47"/>
      </w:r>
      <w:r>
        <w:rPr>
          <w:rFonts w:ascii="Gotham Book" w:hAnsi="Gotham Book"/>
          <w:sz w:val="24"/>
          <w:szCs w:val="24"/>
        </w:rPr>
        <w:t xml:space="preserve"> as well as</w:t>
      </w:r>
      <w:r w:rsidR="002C4DF0">
        <w:rPr>
          <w:rFonts w:ascii="Gotham Book" w:hAnsi="Gotham Book"/>
          <w:sz w:val="24"/>
          <w:szCs w:val="24"/>
        </w:rPr>
        <w:t xml:space="preserve"> by</w:t>
      </w:r>
      <w:r>
        <w:rPr>
          <w:rFonts w:ascii="Gotham Book" w:hAnsi="Gotham Book"/>
          <w:sz w:val="24"/>
          <w:szCs w:val="24"/>
        </w:rPr>
        <w:t xml:space="preserve"> </w:t>
      </w:r>
      <w:r w:rsidRPr="00460839">
        <w:rPr>
          <w:rFonts w:ascii="Gotham Book" w:hAnsi="Gotham Book"/>
          <w:sz w:val="24"/>
          <w:szCs w:val="24"/>
        </w:rPr>
        <w:t>international responsible investment ratings agenc</w:t>
      </w:r>
      <w:r>
        <w:rPr>
          <w:rFonts w:ascii="Gotham Book" w:hAnsi="Gotham Book"/>
          <w:sz w:val="24"/>
          <w:szCs w:val="24"/>
        </w:rPr>
        <w:t xml:space="preserve">ies. </w:t>
      </w:r>
      <w:r w:rsidR="00E26B30">
        <w:rPr>
          <w:rFonts w:ascii="Gotham Book" w:hAnsi="Gotham Book"/>
          <w:sz w:val="24"/>
          <w:szCs w:val="24"/>
        </w:rPr>
        <w:t xml:space="preserve">Companies which score </w:t>
      </w:r>
      <w:proofErr w:type="gramStart"/>
      <w:r w:rsidR="00E26B30">
        <w:rPr>
          <w:rFonts w:ascii="Gotham Book" w:hAnsi="Gotham Book"/>
          <w:sz w:val="24"/>
          <w:szCs w:val="24"/>
        </w:rPr>
        <w:t>well,</w:t>
      </w:r>
      <w:proofErr w:type="gramEnd"/>
      <w:r w:rsidR="00E26B30">
        <w:rPr>
          <w:rFonts w:ascii="Gotham Book" w:hAnsi="Gotham Book"/>
          <w:sz w:val="24"/>
          <w:szCs w:val="24"/>
        </w:rPr>
        <w:t xml:space="preserve"> are positioned to prosper in a 2° C constrained world. For example, they have targets for emissions reductions. </w:t>
      </w:r>
      <w:r w:rsidR="002C0A75" w:rsidRPr="002C0A75">
        <w:rPr>
          <w:rFonts w:ascii="Gotham Book" w:hAnsi="Gotham Book"/>
          <w:sz w:val="24"/>
          <w:szCs w:val="24"/>
        </w:rPr>
        <w:t xml:space="preserve">Figure 3.1 sets out the nature of the responses to </w:t>
      </w:r>
      <w:proofErr w:type="spellStart"/>
      <w:r w:rsidR="002C0A75" w:rsidRPr="002C0A75">
        <w:rPr>
          <w:rFonts w:ascii="Gotham Book" w:hAnsi="Gotham Book"/>
          <w:sz w:val="24"/>
          <w:szCs w:val="24"/>
        </w:rPr>
        <w:t>unburnable</w:t>
      </w:r>
      <w:proofErr w:type="spellEnd"/>
      <w:r w:rsidR="002C0A75" w:rsidRPr="002C0A75">
        <w:rPr>
          <w:rFonts w:ascii="Gotham Book" w:hAnsi="Gotham Book"/>
          <w:sz w:val="24"/>
          <w:szCs w:val="24"/>
        </w:rPr>
        <w:t xml:space="preserve"> carbon risk of the five companies</w:t>
      </w:r>
      <w:r>
        <w:rPr>
          <w:rFonts w:ascii="Gotham Book" w:hAnsi="Gotham Book"/>
          <w:sz w:val="24"/>
          <w:szCs w:val="24"/>
        </w:rPr>
        <w:t xml:space="preserve"> as assessed by the ratings agency EIRIS</w:t>
      </w:r>
      <w:r w:rsidR="002C0A75" w:rsidRPr="002C0A75">
        <w:rPr>
          <w:rFonts w:ascii="Gotham Book" w:hAnsi="Gotham Book"/>
          <w:sz w:val="24"/>
          <w:szCs w:val="24"/>
        </w:rPr>
        <w:t>.</w:t>
      </w:r>
      <w:r w:rsidR="009739ED">
        <w:rPr>
          <w:rFonts w:ascii="Gotham Book" w:hAnsi="Gotham Book"/>
          <w:sz w:val="24"/>
          <w:szCs w:val="24"/>
        </w:rPr>
        <w:t xml:space="preserve"> </w:t>
      </w:r>
    </w:p>
    <w:p w:rsidR="002C0A75" w:rsidRPr="002C0A75" w:rsidRDefault="002C0A75" w:rsidP="002C0A75">
      <w:pPr>
        <w:rPr>
          <w:rFonts w:ascii="Gotham Book" w:hAnsi="Gotham Book"/>
          <w:b/>
          <w:sz w:val="24"/>
          <w:szCs w:val="24"/>
        </w:rPr>
      </w:pPr>
      <w:r w:rsidRPr="002C0A75">
        <w:rPr>
          <w:rFonts w:ascii="Gotham Book" w:hAnsi="Gotham Book"/>
          <w:b/>
          <w:sz w:val="24"/>
          <w:szCs w:val="24"/>
        </w:rPr>
        <w:t xml:space="preserve">Figure 3.1: Assessed responses to </w:t>
      </w:r>
      <w:proofErr w:type="spellStart"/>
      <w:r w:rsidRPr="002C0A75">
        <w:rPr>
          <w:rFonts w:ascii="Gotham Book" w:hAnsi="Gotham Book"/>
          <w:b/>
          <w:sz w:val="24"/>
          <w:szCs w:val="24"/>
        </w:rPr>
        <w:t>unburnable</w:t>
      </w:r>
      <w:proofErr w:type="spellEnd"/>
      <w:r w:rsidRPr="002C0A75">
        <w:rPr>
          <w:rFonts w:ascii="Gotham Book" w:hAnsi="Gotham Book"/>
          <w:b/>
          <w:sz w:val="24"/>
          <w:szCs w:val="24"/>
        </w:rPr>
        <w:t xml:space="preserve"> carbon risks</w:t>
      </w:r>
    </w:p>
    <w:tbl>
      <w:tblPr>
        <w:tblStyle w:val="TableGrid"/>
        <w:tblW w:w="0" w:type="auto"/>
        <w:tblLook w:val="04A0" w:firstRow="1" w:lastRow="0" w:firstColumn="1" w:lastColumn="0" w:noHBand="0" w:noVBand="1"/>
      </w:tblPr>
      <w:tblGrid>
        <w:gridCol w:w="3080"/>
        <w:gridCol w:w="2131"/>
        <w:gridCol w:w="4031"/>
      </w:tblGrid>
      <w:tr w:rsidR="0015644D" w:rsidTr="004821CB">
        <w:tc>
          <w:tcPr>
            <w:tcW w:w="3080" w:type="dxa"/>
          </w:tcPr>
          <w:p w:rsidR="0015644D" w:rsidRPr="0015644D" w:rsidRDefault="0015644D" w:rsidP="0015644D">
            <w:pPr>
              <w:rPr>
                <w:rFonts w:ascii="Gotham Book" w:hAnsi="Gotham Book"/>
                <w:b/>
                <w:sz w:val="24"/>
                <w:szCs w:val="24"/>
              </w:rPr>
            </w:pPr>
            <w:r w:rsidRPr="0015644D">
              <w:rPr>
                <w:rFonts w:ascii="Gotham Book" w:hAnsi="Gotham Book"/>
                <w:b/>
                <w:sz w:val="24"/>
                <w:szCs w:val="24"/>
              </w:rPr>
              <w:t>Company</w:t>
            </w:r>
          </w:p>
        </w:tc>
        <w:tc>
          <w:tcPr>
            <w:tcW w:w="2131" w:type="dxa"/>
          </w:tcPr>
          <w:p w:rsidR="0015644D" w:rsidRPr="0015644D" w:rsidRDefault="0015644D" w:rsidP="0015644D">
            <w:pPr>
              <w:rPr>
                <w:rFonts w:ascii="Gotham Book" w:hAnsi="Gotham Book"/>
                <w:b/>
                <w:sz w:val="24"/>
                <w:szCs w:val="24"/>
              </w:rPr>
            </w:pPr>
            <w:r w:rsidRPr="0015644D">
              <w:rPr>
                <w:rFonts w:ascii="Gotham Book" w:hAnsi="Gotham Book"/>
                <w:b/>
                <w:sz w:val="24"/>
                <w:szCs w:val="24"/>
              </w:rPr>
              <w:t xml:space="preserve">Assessed management response to </w:t>
            </w:r>
            <w:r w:rsidRPr="0015644D">
              <w:rPr>
                <w:rFonts w:ascii="Gotham Book" w:hAnsi="Gotham Book"/>
                <w:b/>
                <w:sz w:val="24"/>
                <w:szCs w:val="24"/>
              </w:rPr>
              <w:lastRenderedPageBreak/>
              <w:t>climate change</w:t>
            </w:r>
            <w:r w:rsidR="00A82DBE">
              <w:rPr>
                <w:rStyle w:val="FootnoteReference"/>
                <w:rFonts w:ascii="Gotham Book" w:hAnsi="Gotham Book"/>
                <w:b/>
                <w:sz w:val="24"/>
                <w:szCs w:val="24"/>
              </w:rPr>
              <w:footnoteReference w:id="48"/>
            </w:r>
          </w:p>
        </w:tc>
        <w:tc>
          <w:tcPr>
            <w:tcW w:w="4031" w:type="dxa"/>
          </w:tcPr>
          <w:p w:rsidR="0015644D" w:rsidRPr="0015644D" w:rsidRDefault="00646DC6" w:rsidP="0015644D">
            <w:pPr>
              <w:rPr>
                <w:rFonts w:ascii="Gotham Book" w:hAnsi="Gotham Book"/>
                <w:b/>
                <w:sz w:val="24"/>
                <w:szCs w:val="24"/>
              </w:rPr>
            </w:pPr>
            <w:r>
              <w:rPr>
                <w:rFonts w:ascii="Gotham Book" w:hAnsi="Gotham Book"/>
                <w:b/>
                <w:sz w:val="24"/>
                <w:szCs w:val="24"/>
              </w:rPr>
              <w:lastRenderedPageBreak/>
              <w:t xml:space="preserve">ACCR </w:t>
            </w:r>
            <w:r w:rsidR="0015644D" w:rsidRPr="0015644D">
              <w:rPr>
                <w:rFonts w:ascii="Gotham Book" w:hAnsi="Gotham Book"/>
                <w:b/>
                <w:sz w:val="24"/>
                <w:szCs w:val="24"/>
              </w:rPr>
              <w:t>Comment</w:t>
            </w:r>
          </w:p>
        </w:tc>
      </w:tr>
      <w:tr w:rsidR="0015644D" w:rsidTr="004821CB">
        <w:tc>
          <w:tcPr>
            <w:tcW w:w="3080" w:type="dxa"/>
          </w:tcPr>
          <w:p w:rsidR="0015644D" w:rsidRPr="0015644D" w:rsidRDefault="0015644D" w:rsidP="0015644D">
            <w:pPr>
              <w:rPr>
                <w:rFonts w:ascii="Gotham Book" w:hAnsi="Gotham Book"/>
                <w:b/>
                <w:sz w:val="24"/>
                <w:szCs w:val="24"/>
              </w:rPr>
            </w:pPr>
            <w:r w:rsidRPr="0015644D">
              <w:rPr>
                <w:rFonts w:ascii="Gotham Book" w:hAnsi="Gotham Book"/>
                <w:b/>
                <w:sz w:val="24"/>
                <w:szCs w:val="24"/>
              </w:rPr>
              <w:lastRenderedPageBreak/>
              <w:t>ASX listed</w:t>
            </w:r>
          </w:p>
        </w:tc>
        <w:tc>
          <w:tcPr>
            <w:tcW w:w="2131" w:type="dxa"/>
          </w:tcPr>
          <w:p w:rsidR="0015644D" w:rsidRPr="0015644D" w:rsidRDefault="0015644D" w:rsidP="0015644D">
            <w:pPr>
              <w:rPr>
                <w:rFonts w:ascii="Gotham Book" w:hAnsi="Gotham Book"/>
                <w:b/>
                <w:sz w:val="24"/>
                <w:szCs w:val="24"/>
              </w:rPr>
            </w:pPr>
          </w:p>
        </w:tc>
        <w:tc>
          <w:tcPr>
            <w:tcW w:w="4031" w:type="dxa"/>
          </w:tcPr>
          <w:p w:rsidR="0015644D" w:rsidRDefault="0015644D" w:rsidP="0015644D">
            <w:pPr>
              <w:rPr>
                <w:rFonts w:ascii="Gotham Book" w:hAnsi="Gotham Book"/>
                <w:b/>
                <w:sz w:val="32"/>
                <w:szCs w:val="32"/>
              </w:rPr>
            </w:pPr>
          </w:p>
        </w:tc>
      </w:tr>
      <w:tr w:rsidR="0015644D" w:rsidTr="004821CB">
        <w:tc>
          <w:tcPr>
            <w:tcW w:w="3080" w:type="dxa"/>
          </w:tcPr>
          <w:p w:rsidR="0015644D" w:rsidRPr="0096160E" w:rsidRDefault="0096160E" w:rsidP="0096160E">
            <w:pPr>
              <w:ind w:left="360"/>
              <w:rPr>
                <w:rFonts w:ascii="Gotham Book" w:hAnsi="Gotham Book"/>
                <w:b/>
                <w:sz w:val="24"/>
                <w:szCs w:val="24"/>
              </w:rPr>
            </w:pPr>
            <w:proofErr w:type="spellStart"/>
            <w:r>
              <w:rPr>
                <w:rFonts w:ascii="Gotham Book" w:hAnsi="Gotham Book"/>
                <w:b/>
                <w:sz w:val="24"/>
                <w:szCs w:val="24"/>
              </w:rPr>
              <w:t>i</w:t>
            </w:r>
            <w:proofErr w:type="spellEnd"/>
            <w:r>
              <w:rPr>
                <w:rFonts w:ascii="Gotham Book" w:hAnsi="Gotham Book"/>
                <w:b/>
                <w:sz w:val="24"/>
                <w:szCs w:val="24"/>
              </w:rPr>
              <w:t xml:space="preserve">. </w:t>
            </w:r>
            <w:r w:rsidR="0015644D" w:rsidRPr="0096160E">
              <w:rPr>
                <w:rFonts w:ascii="Gotham Book" w:hAnsi="Gotham Book"/>
                <w:b/>
                <w:sz w:val="24"/>
                <w:szCs w:val="24"/>
              </w:rPr>
              <w:t>AGL</w:t>
            </w:r>
          </w:p>
        </w:tc>
        <w:tc>
          <w:tcPr>
            <w:tcW w:w="2131" w:type="dxa"/>
          </w:tcPr>
          <w:p w:rsidR="0015644D" w:rsidRPr="006D663B" w:rsidRDefault="006D663B" w:rsidP="0015644D">
            <w:pPr>
              <w:rPr>
                <w:rFonts w:ascii="Gotham Book" w:hAnsi="Gotham Book"/>
                <w:sz w:val="24"/>
                <w:szCs w:val="24"/>
              </w:rPr>
            </w:pPr>
            <w:r w:rsidRPr="006D663B">
              <w:rPr>
                <w:rFonts w:ascii="Gotham Book" w:hAnsi="Gotham Book"/>
                <w:sz w:val="24"/>
                <w:szCs w:val="24"/>
              </w:rPr>
              <w:t>Intermediate</w:t>
            </w:r>
          </w:p>
        </w:tc>
        <w:tc>
          <w:tcPr>
            <w:tcW w:w="4031" w:type="dxa"/>
          </w:tcPr>
          <w:p w:rsidR="008B623B" w:rsidRDefault="00A82DBE" w:rsidP="00A82DBE">
            <w:pPr>
              <w:pStyle w:val="ListParagraph"/>
              <w:numPr>
                <w:ilvl w:val="0"/>
                <w:numId w:val="5"/>
              </w:numPr>
              <w:rPr>
                <w:rFonts w:ascii="Gotham Book" w:hAnsi="Gotham Book"/>
                <w:sz w:val="24"/>
                <w:szCs w:val="24"/>
              </w:rPr>
            </w:pPr>
            <w:r w:rsidRPr="00A82DBE">
              <w:rPr>
                <w:rFonts w:ascii="Gotham Book" w:hAnsi="Gotham Book"/>
                <w:sz w:val="24"/>
                <w:szCs w:val="24"/>
              </w:rPr>
              <w:t xml:space="preserve">AGL </w:t>
            </w:r>
            <w:r w:rsidR="008E1254">
              <w:rPr>
                <w:rFonts w:ascii="Gotham Book" w:hAnsi="Gotham Book"/>
                <w:sz w:val="24"/>
                <w:szCs w:val="24"/>
              </w:rPr>
              <w:t xml:space="preserve">scores well on disclosure </w:t>
            </w:r>
          </w:p>
          <w:p w:rsidR="0015644D" w:rsidRDefault="008E1254" w:rsidP="00A82DBE">
            <w:pPr>
              <w:pStyle w:val="ListParagraph"/>
              <w:numPr>
                <w:ilvl w:val="0"/>
                <w:numId w:val="5"/>
              </w:numPr>
              <w:rPr>
                <w:rFonts w:ascii="Gotham Book" w:hAnsi="Gotham Book"/>
                <w:sz w:val="24"/>
                <w:szCs w:val="24"/>
              </w:rPr>
            </w:pPr>
            <w:r>
              <w:rPr>
                <w:rFonts w:ascii="Gotham Book" w:hAnsi="Gotham Book"/>
                <w:sz w:val="24"/>
                <w:szCs w:val="24"/>
              </w:rPr>
              <w:t xml:space="preserve">but it </w:t>
            </w:r>
            <w:r w:rsidR="00A82DBE" w:rsidRPr="00A82DBE">
              <w:rPr>
                <w:rFonts w:ascii="Gotham Book" w:hAnsi="Gotham Book"/>
                <w:sz w:val="24"/>
                <w:szCs w:val="24"/>
              </w:rPr>
              <w:t>ha</w:t>
            </w:r>
            <w:r w:rsidR="00A409FE">
              <w:rPr>
                <w:rFonts w:ascii="Gotham Book" w:hAnsi="Gotham Book"/>
                <w:sz w:val="24"/>
                <w:szCs w:val="24"/>
              </w:rPr>
              <w:t>d</w:t>
            </w:r>
            <w:r w:rsidR="00A82DBE" w:rsidRPr="00A82DBE">
              <w:rPr>
                <w:rFonts w:ascii="Gotham Book" w:hAnsi="Gotham Book"/>
                <w:sz w:val="24"/>
                <w:szCs w:val="24"/>
              </w:rPr>
              <w:t xml:space="preserve"> no</w:t>
            </w:r>
            <w:r w:rsidR="000B58C9">
              <w:rPr>
                <w:rFonts w:ascii="Gotham Book" w:hAnsi="Gotham Book"/>
                <w:sz w:val="24"/>
                <w:szCs w:val="24"/>
              </w:rPr>
              <w:t xml:space="preserve"> explicit</w:t>
            </w:r>
            <w:r w:rsidR="00A82DBE" w:rsidRPr="00A82DBE">
              <w:rPr>
                <w:rFonts w:ascii="Gotham Book" w:hAnsi="Gotham Book"/>
                <w:sz w:val="24"/>
                <w:szCs w:val="24"/>
              </w:rPr>
              <w:t xml:space="preserve"> </w:t>
            </w:r>
            <w:r w:rsidR="000B58C9">
              <w:rPr>
                <w:rFonts w:ascii="Gotham Book" w:hAnsi="Gotham Book"/>
                <w:sz w:val="24"/>
                <w:szCs w:val="24"/>
              </w:rPr>
              <w:t>‘</w:t>
            </w:r>
            <w:r w:rsidR="00A82DBE" w:rsidRPr="00A82DBE">
              <w:rPr>
                <w:rFonts w:ascii="Gotham Book" w:hAnsi="Gotham Book"/>
                <w:sz w:val="24"/>
                <w:szCs w:val="24"/>
              </w:rPr>
              <w:t>long-term strategic goal linked to emission reductions</w:t>
            </w:r>
            <w:r w:rsidR="000B58C9">
              <w:rPr>
                <w:rFonts w:ascii="Gotham Book" w:hAnsi="Gotham Book"/>
                <w:sz w:val="24"/>
                <w:szCs w:val="24"/>
              </w:rPr>
              <w:t>’</w:t>
            </w:r>
            <w:r w:rsidR="000B58C9">
              <w:rPr>
                <w:rStyle w:val="FootnoteReference"/>
                <w:rFonts w:ascii="Gotham Book" w:hAnsi="Gotham Book"/>
                <w:sz w:val="24"/>
                <w:szCs w:val="24"/>
              </w:rPr>
              <w:footnoteReference w:id="49"/>
            </w:r>
            <w:r w:rsidR="00A82DBE" w:rsidRPr="00A82DBE">
              <w:rPr>
                <w:rFonts w:ascii="Gotham Book" w:hAnsi="Gotham Book"/>
                <w:sz w:val="24"/>
                <w:szCs w:val="24"/>
              </w:rPr>
              <w:t>;</w:t>
            </w:r>
          </w:p>
          <w:p w:rsidR="00A82DBE" w:rsidRPr="00A82DBE" w:rsidRDefault="00A82DBE" w:rsidP="00A82DBE">
            <w:pPr>
              <w:pStyle w:val="ListParagraph"/>
              <w:numPr>
                <w:ilvl w:val="0"/>
                <w:numId w:val="5"/>
              </w:numPr>
              <w:rPr>
                <w:rFonts w:ascii="Gotham Book" w:hAnsi="Gotham Book"/>
                <w:sz w:val="24"/>
                <w:szCs w:val="24"/>
              </w:rPr>
            </w:pPr>
            <w:r>
              <w:rPr>
                <w:rFonts w:ascii="Gotham Book" w:hAnsi="Gotham Book"/>
                <w:sz w:val="24"/>
                <w:szCs w:val="24"/>
              </w:rPr>
              <w:t xml:space="preserve">AGL had a </w:t>
            </w:r>
            <w:r w:rsidR="00D06806">
              <w:rPr>
                <w:rFonts w:ascii="Gotham Book" w:hAnsi="Gotham Book"/>
                <w:sz w:val="24"/>
                <w:szCs w:val="24"/>
              </w:rPr>
              <w:t>‘</w:t>
            </w:r>
            <w:r>
              <w:rPr>
                <w:rFonts w:ascii="Gotham Book" w:hAnsi="Gotham Book"/>
                <w:sz w:val="24"/>
                <w:szCs w:val="24"/>
              </w:rPr>
              <w:t>new investment</w:t>
            </w:r>
            <w:r w:rsidR="00D06806">
              <w:rPr>
                <w:rFonts w:ascii="Gotham Book" w:hAnsi="Gotham Book"/>
                <w:sz w:val="24"/>
                <w:szCs w:val="24"/>
              </w:rPr>
              <w:t>’</w:t>
            </w:r>
            <w:r>
              <w:rPr>
                <w:rFonts w:ascii="Gotham Book" w:hAnsi="Gotham Book"/>
                <w:sz w:val="24"/>
                <w:szCs w:val="24"/>
              </w:rPr>
              <w:t xml:space="preserve"> emissions intensity target but appears to have discarded it.</w:t>
            </w:r>
          </w:p>
          <w:p w:rsidR="00A82DBE" w:rsidRPr="004821CB" w:rsidRDefault="008E1254" w:rsidP="004821CB">
            <w:pPr>
              <w:pStyle w:val="ListParagraph"/>
              <w:numPr>
                <w:ilvl w:val="0"/>
                <w:numId w:val="5"/>
              </w:numPr>
              <w:rPr>
                <w:rFonts w:ascii="Gotham Book" w:hAnsi="Gotham Book"/>
                <w:sz w:val="24"/>
                <w:szCs w:val="24"/>
              </w:rPr>
            </w:pPr>
            <w:r w:rsidRPr="004821CB">
              <w:rPr>
                <w:rFonts w:ascii="Gotham Book" w:hAnsi="Gotham Book"/>
                <w:sz w:val="24"/>
                <w:szCs w:val="24"/>
              </w:rPr>
              <w:t>Several key executives have remuneration linked to the achievement of climate change goals.</w:t>
            </w:r>
          </w:p>
        </w:tc>
      </w:tr>
      <w:tr w:rsidR="0015644D" w:rsidTr="004821CB">
        <w:tc>
          <w:tcPr>
            <w:tcW w:w="3080" w:type="dxa"/>
          </w:tcPr>
          <w:p w:rsidR="0096160E" w:rsidRPr="000C340A" w:rsidRDefault="0096160E" w:rsidP="000C340A">
            <w:pPr>
              <w:ind w:left="360"/>
              <w:rPr>
                <w:rFonts w:ascii="Gotham Book" w:hAnsi="Gotham Book"/>
                <w:b/>
                <w:sz w:val="24"/>
                <w:szCs w:val="24"/>
              </w:rPr>
            </w:pPr>
            <w:r>
              <w:rPr>
                <w:rFonts w:ascii="Gotham Book" w:hAnsi="Gotham Book"/>
                <w:b/>
                <w:sz w:val="24"/>
                <w:szCs w:val="24"/>
              </w:rPr>
              <w:t xml:space="preserve">ii. </w:t>
            </w:r>
            <w:proofErr w:type="spellStart"/>
            <w:r w:rsidR="006D663B" w:rsidRPr="000C340A">
              <w:rPr>
                <w:rFonts w:ascii="Gotham Book" w:hAnsi="Gotham Book"/>
                <w:b/>
                <w:sz w:val="24"/>
                <w:szCs w:val="24"/>
              </w:rPr>
              <w:t>Infratil</w:t>
            </w:r>
            <w:proofErr w:type="spellEnd"/>
          </w:p>
        </w:tc>
        <w:tc>
          <w:tcPr>
            <w:tcW w:w="2131" w:type="dxa"/>
          </w:tcPr>
          <w:p w:rsidR="0015644D" w:rsidRPr="006D663B" w:rsidRDefault="006D663B" w:rsidP="0015644D">
            <w:pPr>
              <w:rPr>
                <w:rFonts w:ascii="Gotham Book" w:hAnsi="Gotham Book"/>
                <w:sz w:val="24"/>
                <w:szCs w:val="24"/>
              </w:rPr>
            </w:pPr>
            <w:r>
              <w:rPr>
                <w:rFonts w:ascii="Gotham Book" w:hAnsi="Gotham Book"/>
                <w:sz w:val="24"/>
                <w:szCs w:val="24"/>
              </w:rPr>
              <w:t>No evidence</w:t>
            </w:r>
          </w:p>
        </w:tc>
        <w:tc>
          <w:tcPr>
            <w:tcW w:w="4031" w:type="dxa"/>
          </w:tcPr>
          <w:p w:rsidR="0015644D" w:rsidRDefault="0015644D" w:rsidP="0015644D">
            <w:pPr>
              <w:rPr>
                <w:rFonts w:ascii="Gotham Book" w:hAnsi="Gotham Book"/>
                <w:b/>
                <w:sz w:val="32"/>
                <w:szCs w:val="32"/>
              </w:rPr>
            </w:pPr>
          </w:p>
        </w:tc>
      </w:tr>
      <w:tr w:rsidR="0015644D" w:rsidTr="004821CB">
        <w:tc>
          <w:tcPr>
            <w:tcW w:w="3080" w:type="dxa"/>
          </w:tcPr>
          <w:p w:rsidR="0015644D" w:rsidRPr="000C340A" w:rsidRDefault="0096160E" w:rsidP="000C340A">
            <w:pPr>
              <w:ind w:left="360"/>
              <w:rPr>
                <w:rFonts w:ascii="Gotham Book" w:hAnsi="Gotham Book"/>
                <w:b/>
                <w:sz w:val="24"/>
                <w:szCs w:val="24"/>
              </w:rPr>
            </w:pPr>
            <w:r>
              <w:rPr>
                <w:rFonts w:ascii="Gotham Book" w:hAnsi="Gotham Book"/>
                <w:b/>
                <w:sz w:val="24"/>
                <w:szCs w:val="24"/>
              </w:rPr>
              <w:t xml:space="preserve">iii. </w:t>
            </w:r>
            <w:r w:rsidR="006D663B" w:rsidRPr="000C340A">
              <w:rPr>
                <w:rFonts w:ascii="Gotham Book" w:hAnsi="Gotham Book"/>
                <w:b/>
                <w:sz w:val="24"/>
                <w:szCs w:val="24"/>
              </w:rPr>
              <w:t>Origin</w:t>
            </w:r>
          </w:p>
        </w:tc>
        <w:tc>
          <w:tcPr>
            <w:tcW w:w="2131" w:type="dxa"/>
          </w:tcPr>
          <w:p w:rsidR="0015644D" w:rsidRPr="006D663B" w:rsidRDefault="006D663B" w:rsidP="0015644D">
            <w:pPr>
              <w:rPr>
                <w:rFonts w:ascii="Gotham Book" w:hAnsi="Gotham Book"/>
                <w:sz w:val="24"/>
                <w:szCs w:val="24"/>
              </w:rPr>
            </w:pPr>
            <w:r>
              <w:rPr>
                <w:rFonts w:ascii="Gotham Book" w:hAnsi="Gotham Book"/>
                <w:sz w:val="24"/>
                <w:szCs w:val="24"/>
              </w:rPr>
              <w:t>Intermediate</w:t>
            </w:r>
          </w:p>
        </w:tc>
        <w:tc>
          <w:tcPr>
            <w:tcW w:w="4031" w:type="dxa"/>
          </w:tcPr>
          <w:p w:rsidR="004821CB" w:rsidRDefault="00A818BD" w:rsidP="004821CB">
            <w:pPr>
              <w:pStyle w:val="ListParagraph"/>
              <w:numPr>
                <w:ilvl w:val="0"/>
                <w:numId w:val="7"/>
              </w:numPr>
              <w:rPr>
                <w:rFonts w:ascii="Gotham Book" w:hAnsi="Gotham Book"/>
                <w:sz w:val="24"/>
                <w:szCs w:val="24"/>
              </w:rPr>
            </w:pPr>
            <w:r w:rsidRPr="004821CB">
              <w:rPr>
                <w:rFonts w:ascii="Gotham Book" w:hAnsi="Gotham Book"/>
                <w:sz w:val="24"/>
                <w:szCs w:val="24"/>
              </w:rPr>
              <w:t xml:space="preserve">Origin </w:t>
            </w:r>
            <w:r w:rsidR="008E1254" w:rsidRPr="004821CB">
              <w:rPr>
                <w:rFonts w:ascii="Gotham Book" w:hAnsi="Gotham Book"/>
                <w:sz w:val="24"/>
                <w:szCs w:val="24"/>
              </w:rPr>
              <w:t>scores well on disclosure but</w:t>
            </w:r>
          </w:p>
          <w:p w:rsidR="004821CB" w:rsidRDefault="004821CB" w:rsidP="004821CB">
            <w:pPr>
              <w:pStyle w:val="ListParagraph"/>
              <w:numPr>
                <w:ilvl w:val="0"/>
                <w:numId w:val="7"/>
              </w:numPr>
              <w:rPr>
                <w:rFonts w:ascii="Gotham Book" w:hAnsi="Gotham Book"/>
                <w:sz w:val="24"/>
                <w:szCs w:val="24"/>
              </w:rPr>
            </w:pPr>
            <w:proofErr w:type="gramStart"/>
            <w:r>
              <w:rPr>
                <w:rFonts w:ascii="Gotham Book" w:hAnsi="Gotham Book"/>
                <w:sz w:val="24"/>
                <w:szCs w:val="24"/>
              </w:rPr>
              <w:t>it</w:t>
            </w:r>
            <w:proofErr w:type="gramEnd"/>
            <w:r w:rsidR="008E1254" w:rsidRPr="004821CB">
              <w:rPr>
                <w:rFonts w:ascii="Gotham Book" w:hAnsi="Gotham Book"/>
                <w:sz w:val="24"/>
                <w:szCs w:val="24"/>
              </w:rPr>
              <w:t xml:space="preserve"> </w:t>
            </w:r>
            <w:r w:rsidR="00713ED9">
              <w:rPr>
                <w:rFonts w:ascii="Gotham Book" w:hAnsi="Gotham Book"/>
                <w:sz w:val="24"/>
                <w:szCs w:val="24"/>
              </w:rPr>
              <w:t>has</w:t>
            </w:r>
            <w:r w:rsidR="00E70D1E" w:rsidRPr="004821CB">
              <w:rPr>
                <w:rFonts w:ascii="Gotham Book" w:hAnsi="Gotham Book"/>
                <w:sz w:val="24"/>
                <w:szCs w:val="24"/>
              </w:rPr>
              <w:t xml:space="preserve"> dropped an earlier target dealing with comparative carbon intensity of supply chain emissions.</w:t>
            </w:r>
            <w:r w:rsidR="00713ED9">
              <w:rPr>
                <w:rStyle w:val="FootnoteReference"/>
                <w:rFonts w:ascii="Gotham Book" w:hAnsi="Gotham Book"/>
                <w:sz w:val="24"/>
                <w:szCs w:val="24"/>
              </w:rPr>
              <w:footnoteReference w:id="50"/>
            </w:r>
          </w:p>
          <w:p w:rsidR="0015644D" w:rsidRPr="004821CB" w:rsidRDefault="008E1254" w:rsidP="004821CB">
            <w:pPr>
              <w:pStyle w:val="ListParagraph"/>
              <w:numPr>
                <w:ilvl w:val="0"/>
                <w:numId w:val="7"/>
              </w:numPr>
              <w:rPr>
                <w:rFonts w:ascii="Gotham Book" w:hAnsi="Gotham Book"/>
                <w:sz w:val="24"/>
                <w:szCs w:val="24"/>
              </w:rPr>
            </w:pPr>
            <w:r w:rsidRPr="004821CB">
              <w:rPr>
                <w:rFonts w:ascii="Gotham Book" w:hAnsi="Gotham Book"/>
                <w:sz w:val="24"/>
                <w:szCs w:val="24"/>
              </w:rPr>
              <w:t>Remuneration is not linked to climate change performance.</w:t>
            </w:r>
          </w:p>
        </w:tc>
      </w:tr>
      <w:tr w:rsidR="006D663B" w:rsidTr="004821CB">
        <w:tc>
          <w:tcPr>
            <w:tcW w:w="3080" w:type="dxa"/>
          </w:tcPr>
          <w:p w:rsidR="006D663B" w:rsidRPr="006D663B" w:rsidRDefault="006D663B" w:rsidP="006D663B">
            <w:pPr>
              <w:rPr>
                <w:rFonts w:ascii="Gotham Book" w:hAnsi="Gotham Book"/>
                <w:b/>
                <w:sz w:val="24"/>
                <w:szCs w:val="24"/>
              </w:rPr>
            </w:pPr>
            <w:r>
              <w:rPr>
                <w:rFonts w:ascii="Gotham Book" w:hAnsi="Gotham Book"/>
                <w:b/>
                <w:sz w:val="24"/>
                <w:szCs w:val="24"/>
              </w:rPr>
              <w:t>NZX listed</w:t>
            </w:r>
          </w:p>
        </w:tc>
        <w:tc>
          <w:tcPr>
            <w:tcW w:w="2131" w:type="dxa"/>
          </w:tcPr>
          <w:p w:rsidR="006D663B" w:rsidRPr="006D663B" w:rsidRDefault="006D663B" w:rsidP="0015644D">
            <w:pPr>
              <w:rPr>
                <w:rFonts w:ascii="Gotham Book" w:hAnsi="Gotham Book"/>
                <w:sz w:val="24"/>
                <w:szCs w:val="24"/>
              </w:rPr>
            </w:pPr>
          </w:p>
        </w:tc>
        <w:tc>
          <w:tcPr>
            <w:tcW w:w="4031" w:type="dxa"/>
          </w:tcPr>
          <w:p w:rsidR="006D663B" w:rsidRDefault="006D663B" w:rsidP="0015644D">
            <w:pPr>
              <w:rPr>
                <w:rFonts w:ascii="Gotham Book" w:hAnsi="Gotham Book"/>
                <w:b/>
                <w:sz w:val="32"/>
                <w:szCs w:val="32"/>
              </w:rPr>
            </w:pPr>
          </w:p>
        </w:tc>
      </w:tr>
      <w:tr w:rsidR="006D663B" w:rsidTr="004821CB">
        <w:tc>
          <w:tcPr>
            <w:tcW w:w="3080" w:type="dxa"/>
          </w:tcPr>
          <w:p w:rsidR="006D663B" w:rsidRPr="000C340A" w:rsidRDefault="0096160E" w:rsidP="000C340A">
            <w:pPr>
              <w:ind w:left="360"/>
              <w:rPr>
                <w:rFonts w:ascii="Gotham Book" w:hAnsi="Gotham Book"/>
                <w:b/>
                <w:sz w:val="24"/>
                <w:szCs w:val="24"/>
              </w:rPr>
            </w:pPr>
            <w:r>
              <w:rPr>
                <w:rFonts w:ascii="Gotham Book" w:hAnsi="Gotham Book"/>
                <w:b/>
                <w:sz w:val="24"/>
                <w:szCs w:val="24"/>
              </w:rPr>
              <w:lastRenderedPageBreak/>
              <w:t xml:space="preserve">iv. </w:t>
            </w:r>
            <w:r w:rsidR="006D663B" w:rsidRPr="000C340A">
              <w:rPr>
                <w:rFonts w:ascii="Gotham Book" w:hAnsi="Gotham Book"/>
                <w:b/>
                <w:sz w:val="24"/>
                <w:szCs w:val="24"/>
              </w:rPr>
              <w:t>Contact Energy</w:t>
            </w:r>
          </w:p>
        </w:tc>
        <w:tc>
          <w:tcPr>
            <w:tcW w:w="2131" w:type="dxa"/>
          </w:tcPr>
          <w:p w:rsidR="006D663B" w:rsidRPr="006D663B" w:rsidRDefault="006D663B" w:rsidP="0015644D">
            <w:pPr>
              <w:rPr>
                <w:rFonts w:ascii="Gotham Book" w:hAnsi="Gotham Book"/>
                <w:sz w:val="24"/>
                <w:szCs w:val="24"/>
              </w:rPr>
            </w:pPr>
            <w:r>
              <w:rPr>
                <w:rFonts w:ascii="Gotham Book" w:hAnsi="Gotham Book"/>
                <w:sz w:val="24"/>
                <w:szCs w:val="24"/>
              </w:rPr>
              <w:t>Limited</w:t>
            </w:r>
          </w:p>
        </w:tc>
        <w:tc>
          <w:tcPr>
            <w:tcW w:w="4031" w:type="dxa"/>
          </w:tcPr>
          <w:p w:rsidR="006D663B" w:rsidRDefault="006D663B" w:rsidP="0015644D">
            <w:pPr>
              <w:rPr>
                <w:rFonts w:ascii="Gotham Book" w:hAnsi="Gotham Book"/>
                <w:b/>
                <w:sz w:val="32"/>
                <w:szCs w:val="32"/>
              </w:rPr>
            </w:pPr>
          </w:p>
        </w:tc>
      </w:tr>
      <w:tr w:rsidR="006D663B" w:rsidTr="004821CB">
        <w:tc>
          <w:tcPr>
            <w:tcW w:w="3080" w:type="dxa"/>
          </w:tcPr>
          <w:p w:rsidR="006D663B" w:rsidRPr="000C340A" w:rsidRDefault="0096160E" w:rsidP="000C340A">
            <w:pPr>
              <w:ind w:left="360"/>
              <w:rPr>
                <w:rFonts w:ascii="Gotham Book" w:hAnsi="Gotham Book"/>
                <w:b/>
                <w:sz w:val="24"/>
                <w:szCs w:val="24"/>
              </w:rPr>
            </w:pPr>
            <w:r>
              <w:rPr>
                <w:rFonts w:ascii="Gotham Book" w:hAnsi="Gotham Book"/>
                <w:b/>
                <w:sz w:val="24"/>
                <w:szCs w:val="24"/>
              </w:rPr>
              <w:t xml:space="preserve">v. </w:t>
            </w:r>
            <w:proofErr w:type="spellStart"/>
            <w:r w:rsidR="00FF29A6" w:rsidRPr="000C340A">
              <w:rPr>
                <w:rFonts w:ascii="Gotham Book" w:hAnsi="Gotham Book"/>
                <w:b/>
                <w:sz w:val="24"/>
                <w:szCs w:val="24"/>
              </w:rPr>
              <w:t>Trustp</w:t>
            </w:r>
            <w:r w:rsidR="006D663B" w:rsidRPr="000C340A">
              <w:rPr>
                <w:rFonts w:ascii="Gotham Book" w:hAnsi="Gotham Book"/>
                <w:b/>
                <w:sz w:val="24"/>
                <w:szCs w:val="24"/>
              </w:rPr>
              <w:t>ower</w:t>
            </w:r>
            <w:proofErr w:type="spellEnd"/>
          </w:p>
        </w:tc>
        <w:tc>
          <w:tcPr>
            <w:tcW w:w="2131" w:type="dxa"/>
          </w:tcPr>
          <w:p w:rsidR="006D663B" w:rsidRDefault="00D06806" w:rsidP="0015644D">
            <w:pPr>
              <w:rPr>
                <w:rFonts w:ascii="Gotham Book" w:hAnsi="Gotham Book"/>
                <w:sz w:val="24"/>
                <w:szCs w:val="24"/>
              </w:rPr>
            </w:pPr>
            <w:r>
              <w:rPr>
                <w:rFonts w:ascii="Gotham Book" w:hAnsi="Gotham Book"/>
                <w:sz w:val="24"/>
                <w:szCs w:val="24"/>
              </w:rPr>
              <w:t>N</w:t>
            </w:r>
            <w:r w:rsidR="006D663B">
              <w:rPr>
                <w:rFonts w:ascii="Gotham Book" w:hAnsi="Gotham Book"/>
                <w:sz w:val="24"/>
                <w:szCs w:val="24"/>
              </w:rPr>
              <w:t>a</w:t>
            </w:r>
            <w:r w:rsidR="00FF29A6">
              <w:rPr>
                <w:rFonts w:ascii="Gotham Book" w:hAnsi="Gotham Book"/>
                <w:sz w:val="24"/>
                <w:szCs w:val="24"/>
              </w:rPr>
              <w:t xml:space="preserve"> </w:t>
            </w:r>
          </w:p>
        </w:tc>
        <w:tc>
          <w:tcPr>
            <w:tcW w:w="4031" w:type="dxa"/>
          </w:tcPr>
          <w:p w:rsidR="006D663B" w:rsidRDefault="006D663B" w:rsidP="0015644D">
            <w:pPr>
              <w:rPr>
                <w:rFonts w:ascii="Gotham Book" w:hAnsi="Gotham Book"/>
                <w:b/>
                <w:sz w:val="32"/>
                <w:szCs w:val="32"/>
              </w:rPr>
            </w:pPr>
          </w:p>
        </w:tc>
      </w:tr>
    </w:tbl>
    <w:p w:rsidR="0015644D" w:rsidRPr="0015644D" w:rsidRDefault="0015644D" w:rsidP="0015644D">
      <w:pPr>
        <w:rPr>
          <w:rFonts w:ascii="Gotham Book" w:hAnsi="Gotham Book"/>
          <w:b/>
          <w:sz w:val="32"/>
          <w:szCs w:val="32"/>
        </w:rPr>
      </w:pPr>
    </w:p>
    <w:p w:rsidR="00AF584F" w:rsidRPr="00D01AFC" w:rsidRDefault="00D01AFC" w:rsidP="00AD6B79">
      <w:pPr>
        <w:rPr>
          <w:rFonts w:ascii="Gotham Book" w:hAnsi="Gotham Book"/>
          <w:b/>
          <w:i/>
          <w:sz w:val="24"/>
          <w:szCs w:val="24"/>
        </w:rPr>
      </w:pPr>
      <w:r w:rsidRPr="00D01AFC">
        <w:rPr>
          <w:rFonts w:ascii="Gotham Book" w:hAnsi="Gotham Book"/>
          <w:b/>
          <w:i/>
          <w:sz w:val="24"/>
          <w:szCs w:val="24"/>
        </w:rPr>
        <w:t>AGL</w:t>
      </w:r>
    </w:p>
    <w:p w:rsidR="00D01AFC" w:rsidRDefault="005165D0" w:rsidP="00022144">
      <w:pPr>
        <w:rPr>
          <w:rFonts w:ascii="Gotham Book" w:eastAsia="Times New Roman" w:hAnsi="Gotham Book" w:cs="Times New Roman"/>
          <w:sz w:val="24"/>
          <w:szCs w:val="24"/>
          <w:lang w:eastAsia="en-AU"/>
        </w:rPr>
      </w:pPr>
      <w:r w:rsidRPr="00022144">
        <w:rPr>
          <w:rFonts w:ascii="Gotham Book" w:hAnsi="Gotham Book"/>
          <w:sz w:val="24"/>
          <w:szCs w:val="24"/>
        </w:rPr>
        <w:t xml:space="preserve">AGL </w:t>
      </w:r>
      <w:r w:rsidR="00F66928">
        <w:rPr>
          <w:rFonts w:ascii="Gotham Book" w:hAnsi="Gotham Book"/>
          <w:sz w:val="24"/>
          <w:szCs w:val="24"/>
        </w:rPr>
        <w:t>‘had</w:t>
      </w:r>
      <w:r w:rsidR="00022144" w:rsidRPr="00022144">
        <w:rPr>
          <w:rFonts w:ascii="Gotham Book" w:hAnsi="Gotham Book"/>
          <w:sz w:val="24"/>
          <w:szCs w:val="24"/>
        </w:rPr>
        <w:t xml:space="preserve"> a policy’ on </w:t>
      </w:r>
      <w:r w:rsidR="00F66928">
        <w:rPr>
          <w:rFonts w:ascii="Gotham Book" w:hAnsi="Gotham Book"/>
          <w:sz w:val="24"/>
          <w:szCs w:val="24"/>
        </w:rPr>
        <w:t>carbon emissions dating</w:t>
      </w:r>
      <w:r w:rsidR="00022144" w:rsidRPr="00022144">
        <w:rPr>
          <w:rFonts w:ascii="Gotham Book" w:hAnsi="Gotham Book"/>
          <w:sz w:val="24"/>
          <w:szCs w:val="24"/>
        </w:rPr>
        <w:t xml:space="preserve"> back to 2010.</w:t>
      </w:r>
      <w:r w:rsidR="00022144" w:rsidRPr="00022144">
        <w:rPr>
          <w:rStyle w:val="FootnoteReference"/>
          <w:rFonts w:ascii="Gotham Book" w:hAnsi="Gotham Book"/>
          <w:sz w:val="24"/>
          <w:szCs w:val="24"/>
        </w:rPr>
        <w:footnoteReference w:id="51"/>
      </w:r>
      <w:r w:rsidR="00F66928">
        <w:rPr>
          <w:rFonts w:ascii="Gotham Book" w:hAnsi="Gotham Book"/>
          <w:sz w:val="24"/>
          <w:szCs w:val="24"/>
        </w:rPr>
        <w:t xml:space="preserve"> It contained</w:t>
      </w:r>
      <w:r w:rsidR="00022144" w:rsidRPr="00022144">
        <w:rPr>
          <w:rFonts w:ascii="Gotham Book" w:hAnsi="Gotham Book"/>
          <w:sz w:val="24"/>
          <w:szCs w:val="24"/>
        </w:rPr>
        <w:t xml:space="preserve"> 7 commitment</w:t>
      </w:r>
      <w:r w:rsidR="00F66928">
        <w:rPr>
          <w:rFonts w:ascii="Gotham Book" w:hAnsi="Gotham Book"/>
          <w:sz w:val="24"/>
          <w:szCs w:val="24"/>
        </w:rPr>
        <w:t>s, none of which involved</w:t>
      </w:r>
      <w:r w:rsidR="00022144" w:rsidRPr="00022144">
        <w:rPr>
          <w:rFonts w:ascii="Gotham Book" w:hAnsi="Gotham Book"/>
          <w:sz w:val="24"/>
          <w:szCs w:val="24"/>
        </w:rPr>
        <w:t xml:space="preserve"> any quantitative target</w:t>
      </w:r>
      <w:r w:rsidR="00F66928">
        <w:rPr>
          <w:rFonts w:ascii="Gotham Book" w:hAnsi="Gotham Book"/>
          <w:sz w:val="24"/>
          <w:szCs w:val="24"/>
        </w:rPr>
        <w:t xml:space="preserve"> for emissions or emissions intensity</w:t>
      </w:r>
      <w:r w:rsidR="00022144" w:rsidRPr="00022144">
        <w:rPr>
          <w:rFonts w:ascii="Gotham Book" w:hAnsi="Gotham Book"/>
          <w:sz w:val="24"/>
          <w:szCs w:val="24"/>
        </w:rPr>
        <w:t xml:space="preserve">. In 2012 AGL </w:t>
      </w:r>
      <w:r w:rsidR="00F66928">
        <w:rPr>
          <w:rFonts w:ascii="Gotham Book" w:hAnsi="Gotham Book"/>
          <w:sz w:val="24"/>
          <w:szCs w:val="24"/>
        </w:rPr>
        <w:t xml:space="preserve">did </w:t>
      </w:r>
      <w:r w:rsidR="00022144" w:rsidRPr="00022144">
        <w:rPr>
          <w:rFonts w:ascii="Gotham Book" w:hAnsi="Gotham Book"/>
          <w:sz w:val="24"/>
          <w:szCs w:val="24"/>
        </w:rPr>
        <w:t xml:space="preserve">set a </w:t>
      </w:r>
      <w:r w:rsidR="00F66928">
        <w:rPr>
          <w:rFonts w:ascii="Gotham Book" w:hAnsi="Gotham Book"/>
          <w:sz w:val="24"/>
          <w:szCs w:val="24"/>
        </w:rPr>
        <w:t xml:space="preserve">quantitative </w:t>
      </w:r>
      <w:r w:rsidR="00022144" w:rsidRPr="00022144">
        <w:rPr>
          <w:rFonts w:ascii="Gotham Book" w:hAnsi="Gotham Book"/>
          <w:sz w:val="24"/>
          <w:szCs w:val="24"/>
        </w:rPr>
        <w:t>target “</w:t>
      </w:r>
      <w:r w:rsidR="00022144" w:rsidRPr="00022144">
        <w:rPr>
          <w:rFonts w:ascii="Gotham Book" w:eastAsia="Times New Roman" w:hAnsi="Gotham Book" w:cs="Times New Roman"/>
          <w:sz w:val="24"/>
          <w:szCs w:val="24"/>
          <w:lang w:eastAsia="en-AU"/>
        </w:rPr>
        <w:t xml:space="preserve">From next year, AGL’s target will be for investments in new generation capacity to have a combined intensity lower </w:t>
      </w:r>
      <w:proofErr w:type="gramStart"/>
      <w:r w:rsidR="00022144" w:rsidRPr="00022144">
        <w:rPr>
          <w:rFonts w:ascii="Gotham Book" w:eastAsia="Times New Roman" w:hAnsi="Gotham Book" w:cs="Times New Roman"/>
          <w:sz w:val="24"/>
          <w:szCs w:val="24"/>
          <w:lang w:eastAsia="en-AU"/>
        </w:rPr>
        <w:t>than 0.7 </w:t>
      </w:r>
      <w:proofErr w:type="spellStart"/>
      <w:r w:rsidR="00022144" w:rsidRPr="00022144">
        <w:rPr>
          <w:rFonts w:ascii="Gotham Book" w:eastAsia="Times New Roman" w:hAnsi="Gotham Book" w:cs="Times New Roman"/>
          <w:sz w:val="24"/>
          <w:szCs w:val="24"/>
          <w:lang w:eastAsia="en-AU"/>
        </w:rPr>
        <w:t>tCOe</w:t>
      </w:r>
      <w:proofErr w:type="spellEnd"/>
      <w:r w:rsidR="00022144" w:rsidRPr="00022144">
        <w:rPr>
          <w:rFonts w:ascii="Gotham Book" w:eastAsia="Times New Roman" w:hAnsi="Gotham Book" w:cs="Times New Roman"/>
          <w:sz w:val="24"/>
          <w:szCs w:val="24"/>
          <w:lang w:eastAsia="en-AU"/>
        </w:rPr>
        <w:t>/MWh</w:t>
      </w:r>
      <w:proofErr w:type="gramEnd"/>
      <w:r w:rsidR="00022144" w:rsidRPr="00022144">
        <w:rPr>
          <w:rFonts w:ascii="Gotham Book" w:eastAsia="Times New Roman" w:hAnsi="Gotham Book" w:cs="Times New Roman"/>
          <w:sz w:val="24"/>
          <w:szCs w:val="24"/>
          <w:lang w:eastAsia="en-AU"/>
        </w:rPr>
        <w:t>.</w:t>
      </w:r>
      <w:r w:rsidR="00022144">
        <w:rPr>
          <w:rFonts w:ascii="Gotham Book" w:eastAsia="Times New Roman" w:hAnsi="Gotham Book" w:cs="Times New Roman"/>
          <w:sz w:val="24"/>
          <w:szCs w:val="24"/>
          <w:lang w:eastAsia="en-AU"/>
        </w:rPr>
        <w:t xml:space="preserve">” </w:t>
      </w:r>
      <w:r w:rsidR="00022144">
        <w:rPr>
          <w:rStyle w:val="FootnoteReference"/>
          <w:rFonts w:ascii="Gotham Book" w:eastAsia="Times New Roman" w:hAnsi="Gotham Book" w:cs="Times New Roman"/>
          <w:sz w:val="24"/>
          <w:szCs w:val="24"/>
          <w:lang w:eastAsia="en-AU"/>
        </w:rPr>
        <w:footnoteReference w:id="52"/>
      </w:r>
      <w:r w:rsidR="00AA3F4D">
        <w:rPr>
          <w:rFonts w:ascii="Gotham Book" w:eastAsia="Times New Roman" w:hAnsi="Gotham Book" w:cs="Times New Roman"/>
          <w:sz w:val="24"/>
          <w:szCs w:val="24"/>
          <w:lang w:eastAsia="en-AU"/>
        </w:rPr>
        <w:t xml:space="preserve"> Ther</w:t>
      </w:r>
      <w:r w:rsidR="00A82DBE">
        <w:rPr>
          <w:rFonts w:ascii="Gotham Book" w:eastAsia="Times New Roman" w:hAnsi="Gotham Book" w:cs="Times New Roman"/>
          <w:sz w:val="24"/>
          <w:szCs w:val="24"/>
          <w:lang w:eastAsia="en-AU"/>
        </w:rPr>
        <w:t>e is no mention of this target o</w:t>
      </w:r>
      <w:r w:rsidR="00AA3F4D">
        <w:rPr>
          <w:rFonts w:ascii="Gotham Book" w:eastAsia="Times New Roman" w:hAnsi="Gotham Book" w:cs="Times New Roman"/>
          <w:sz w:val="24"/>
          <w:szCs w:val="24"/>
          <w:lang w:eastAsia="en-AU"/>
        </w:rPr>
        <w:t xml:space="preserve">n the </w:t>
      </w:r>
      <w:r w:rsidR="00A82DBE">
        <w:rPr>
          <w:rFonts w:ascii="Gotham Book" w:eastAsia="Times New Roman" w:hAnsi="Gotham Book" w:cs="Times New Roman"/>
          <w:sz w:val="24"/>
          <w:szCs w:val="24"/>
          <w:lang w:eastAsia="en-AU"/>
        </w:rPr>
        <w:t xml:space="preserve">‘Greenhouse and Energy’ page of the </w:t>
      </w:r>
      <w:r w:rsidR="00AA3F4D">
        <w:rPr>
          <w:rFonts w:ascii="Gotham Book" w:eastAsia="Times New Roman" w:hAnsi="Gotham Book" w:cs="Times New Roman"/>
          <w:sz w:val="24"/>
          <w:szCs w:val="24"/>
          <w:lang w:eastAsia="en-AU"/>
        </w:rPr>
        <w:t>2014 Sustainability Performance Review.</w:t>
      </w:r>
      <w:r w:rsidR="00A82DBE">
        <w:rPr>
          <w:rStyle w:val="FootnoteReference"/>
          <w:rFonts w:ascii="Gotham Book" w:eastAsia="Times New Roman" w:hAnsi="Gotham Book" w:cs="Times New Roman"/>
          <w:sz w:val="24"/>
          <w:szCs w:val="24"/>
          <w:lang w:eastAsia="en-AU"/>
        </w:rPr>
        <w:footnoteReference w:id="53"/>
      </w:r>
      <w:r w:rsidR="00AA3F4D">
        <w:rPr>
          <w:rFonts w:ascii="Gotham Book" w:eastAsia="Times New Roman" w:hAnsi="Gotham Book" w:cs="Times New Roman"/>
          <w:sz w:val="24"/>
          <w:szCs w:val="24"/>
          <w:lang w:eastAsia="en-AU"/>
        </w:rPr>
        <w:t xml:space="preserve"> </w:t>
      </w:r>
    </w:p>
    <w:p w:rsidR="001208BB" w:rsidRDefault="000415B9" w:rsidP="00022144">
      <w:pPr>
        <w:rPr>
          <w:rFonts w:ascii="Gotham Book" w:eastAsia="Times New Roman" w:hAnsi="Gotham Book" w:cs="Times New Roman"/>
          <w:sz w:val="24"/>
          <w:szCs w:val="24"/>
          <w:lang w:eastAsia="en-AU"/>
        </w:rPr>
      </w:pPr>
      <w:r>
        <w:rPr>
          <w:rFonts w:ascii="Gotham Book" w:eastAsia="Times New Roman" w:hAnsi="Gotham Book" w:cs="Times New Roman"/>
          <w:sz w:val="24"/>
          <w:szCs w:val="24"/>
          <w:lang w:eastAsia="en-AU"/>
        </w:rPr>
        <w:t>In stark contrast to this target, d</w:t>
      </w:r>
      <w:r w:rsidR="00AA3F4D">
        <w:rPr>
          <w:rFonts w:ascii="Gotham Book" w:eastAsia="Times New Roman" w:hAnsi="Gotham Book" w:cs="Times New Roman"/>
          <w:sz w:val="24"/>
          <w:szCs w:val="24"/>
          <w:lang w:eastAsia="en-AU"/>
        </w:rPr>
        <w:t>uring the period 2011 to 2014 AGL’s</w:t>
      </w:r>
      <w:r w:rsidR="00C36CEE">
        <w:rPr>
          <w:rFonts w:ascii="Gotham Book" w:eastAsia="Times New Roman" w:hAnsi="Gotham Book" w:cs="Times New Roman"/>
          <w:sz w:val="24"/>
          <w:szCs w:val="24"/>
          <w:lang w:eastAsia="en-AU"/>
        </w:rPr>
        <w:t xml:space="preserve"> generation intensity actually</w:t>
      </w:r>
      <w:r w:rsidR="00AA3F4D">
        <w:rPr>
          <w:rFonts w:ascii="Gotham Book" w:eastAsia="Times New Roman" w:hAnsi="Gotham Book" w:cs="Times New Roman"/>
          <w:sz w:val="24"/>
          <w:szCs w:val="24"/>
          <w:lang w:eastAsia="en-AU"/>
        </w:rPr>
        <w:t xml:space="preserve"> tripled from 0.32 to 0.97.</w:t>
      </w:r>
      <w:r w:rsidR="00AA3F4D">
        <w:rPr>
          <w:rStyle w:val="FootnoteReference"/>
          <w:rFonts w:ascii="Gotham Book" w:eastAsia="Times New Roman" w:hAnsi="Gotham Book" w:cs="Times New Roman"/>
          <w:sz w:val="24"/>
          <w:szCs w:val="24"/>
          <w:lang w:eastAsia="en-AU"/>
        </w:rPr>
        <w:footnoteReference w:id="54"/>
      </w:r>
      <w:r w:rsidR="00C36CEE">
        <w:rPr>
          <w:rFonts w:ascii="Gotham Book" w:eastAsia="Times New Roman" w:hAnsi="Gotham Book" w:cs="Times New Roman"/>
          <w:sz w:val="24"/>
          <w:szCs w:val="24"/>
          <w:lang w:eastAsia="en-AU"/>
        </w:rPr>
        <w:t xml:space="preserve"> I</w:t>
      </w:r>
      <w:r w:rsidR="00AA3F4D">
        <w:rPr>
          <w:rFonts w:ascii="Gotham Book" w:eastAsia="Times New Roman" w:hAnsi="Gotham Book" w:cs="Times New Roman"/>
          <w:sz w:val="24"/>
          <w:szCs w:val="24"/>
          <w:lang w:eastAsia="en-AU"/>
        </w:rPr>
        <w:t>n September 2014 AGL purchased</w:t>
      </w:r>
      <w:r w:rsidR="00C36CEE">
        <w:rPr>
          <w:rFonts w:ascii="Gotham Book" w:eastAsia="Times New Roman" w:hAnsi="Gotham Book" w:cs="Times New Roman"/>
          <w:sz w:val="24"/>
          <w:szCs w:val="24"/>
          <w:lang w:eastAsia="en-AU"/>
        </w:rPr>
        <w:t xml:space="preserve"> Macquarie Generation owner of the Liddel</w:t>
      </w:r>
      <w:r w:rsidR="00CE4F49">
        <w:rPr>
          <w:rFonts w:ascii="Gotham Book" w:eastAsia="Times New Roman" w:hAnsi="Gotham Book" w:cs="Times New Roman"/>
          <w:sz w:val="24"/>
          <w:szCs w:val="24"/>
          <w:lang w:eastAsia="en-AU"/>
        </w:rPr>
        <w:t>l</w:t>
      </w:r>
      <w:r w:rsidR="00C36CEE">
        <w:rPr>
          <w:rFonts w:ascii="Gotham Book" w:eastAsia="Times New Roman" w:hAnsi="Gotham Book" w:cs="Times New Roman"/>
          <w:sz w:val="24"/>
          <w:szCs w:val="24"/>
          <w:lang w:eastAsia="en-AU"/>
        </w:rPr>
        <w:t xml:space="preserve"> and Bayswater black coal fired power stations in NSW</w:t>
      </w:r>
      <w:r w:rsidR="00A82DBE">
        <w:rPr>
          <w:rFonts w:ascii="Gotham Book" w:eastAsia="Times New Roman" w:hAnsi="Gotham Book" w:cs="Times New Roman"/>
          <w:sz w:val="24"/>
          <w:szCs w:val="24"/>
          <w:lang w:eastAsia="en-AU"/>
        </w:rPr>
        <w:t xml:space="preserve"> which in 2013/14 had</w:t>
      </w:r>
      <w:r w:rsidR="00C36CEE">
        <w:rPr>
          <w:rFonts w:ascii="Gotham Book" w:eastAsia="Times New Roman" w:hAnsi="Gotham Book" w:cs="Times New Roman"/>
          <w:sz w:val="24"/>
          <w:szCs w:val="24"/>
          <w:lang w:eastAsia="en-AU"/>
        </w:rPr>
        <w:t xml:space="preserve"> a combined estim</w:t>
      </w:r>
      <w:r w:rsidR="008743E5">
        <w:rPr>
          <w:rFonts w:ascii="Gotham Book" w:eastAsia="Times New Roman" w:hAnsi="Gotham Book" w:cs="Times New Roman"/>
          <w:sz w:val="24"/>
          <w:szCs w:val="24"/>
          <w:lang w:eastAsia="en-AU"/>
        </w:rPr>
        <w:t>ated emissions intensity</w:t>
      </w:r>
      <w:r w:rsidR="001A69C3">
        <w:rPr>
          <w:rFonts w:ascii="Gotham Book" w:eastAsia="Times New Roman" w:hAnsi="Gotham Book" w:cs="Times New Roman"/>
          <w:sz w:val="24"/>
          <w:szCs w:val="24"/>
          <w:lang w:eastAsia="en-AU"/>
        </w:rPr>
        <w:t xml:space="preserve"> estimated as 1.02 further, </w:t>
      </w:r>
      <w:r w:rsidR="002C4DF0">
        <w:rPr>
          <w:rFonts w:ascii="Gotham Book" w:eastAsia="Times New Roman" w:hAnsi="Gotham Book" w:cs="Times New Roman"/>
          <w:sz w:val="24"/>
          <w:szCs w:val="24"/>
          <w:lang w:eastAsia="en-AU"/>
        </w:rPr>
        <w:t xml:space="preserve">albeit </w:t>
      </w:r>
      <w:r w:rsidR="001A69C3">
        <w:rPr>
          <w:rFonts w:ascii="Gotham Book" w:eastAsia="Times New Roman" w:hAnsi="Gotham Book" w:cs="Times New Roman"/>
          <w:sz w:val="24"/>
          <w:szCs w:val="24"/>
          <w:lang w:eastAsia="en-AU"/>
        </w:rPr>
        <w:t>slightly increasing AGL’s overall intensity</w:t>
      </w:r>
      <w:r w:rsidR="00C36CEE">
        <w:rPr>
          <w:rFonts w:ascii="Gotham Book" w:eastAsia="Times New Roman" w:hAnsi="Gotham Book" w:cs="Times New Roman"/>
          <w:sz w:val="24"/>
          <w:szCs w:val="24"/>
          <w:lang w:eastAsia="en-AU"/>
        </w:rPr>
        <w:t>.</w:t>
      </w:r>
      <w:r w:rsidR="00C36CEE">
        <w:rPr>
          <w:rStyle w:val="FootnoteReference"/>
          <w:rFonts w:ascii="Gotham Book" w:eastAsia="Times New Roman" w:hAnsi="Gotham Book" w:cs="Times New Roman"/>
          <w:sz w:val="24"/>
          <w:szCs w:val="24"/>
          <w:lang w:eastAsia="en-AU"/>
        </w:rPr>
        <w:footnoteReference w:id="55"/>
      </w:r>
      <w:r w:rsidR="00D01AFC">
        <w:rPr>
          <w:rFonts w:ascii="Gotham Book" w:eastAsia="Times New Roman" w:hAnsi="Gotham Book" w:cs="Times New Roman"/>
          <w:sz w:val="24"/>
          <w:szCs w:val="24"/>
          <w:lang w:eastAsia="en-AU"/>
        </w:rPr>
        <w:t xml:space="preserve"> </w:t>
      </w:r>
    </w:p>
    <w:p w:rsidR="00022144" w:rsidRDefault="00D01AFC" w:rsidP="00022144">
      <w:pPr>
        <w:rPr>
          <w:rFonts w:ascii="Gotham Book" w:eastAsia="Times New Roman" w:hAnsi="Gotham Book" w:cs="Times New Roman"/>
          <w:sz w:val="24"/>
          <w:szCs w:val="24"/>
          <w:lang w:eastAsia="en-AU"/>
        </w:rPr>
      </w:pPr>
      <w:r>
        <w:rPr>
          <w:rFonts w:ascii="Gotham Book" w:eastAsia="Times New Roman" w:hAnsi="Gotham Book" w:cs="Times New Roman"/>
          <w:sz w:val="24"/>
          <w:szCs w:val="24"/>
          <w:lang w:eastAsia="en-AU"/>
        </w:rPr>
        <w:t>I</w:t>
      </w:r>
      <w:r w:rsidR="00F66928">
        <w:rPr>
          <w:rFonts w:ascii="Gotham Book" w:eastAsia="Times New Roman" w:hAnsi="Gotham Book" w:cs="Times New Roman"/>
          <w:sz w:val="24"/>
          <w:szCs w:val="24"/>
          <w:lang w:eastAsia="en-AU"/>
        </w:rPr>
        <w:t>n April 2015 AGL revised its Greenhouse Gas Policy.</w:t>
      </w:r>
      <w:r w:rsidR="00F66928">
        <w:rPr>
          <w:rStyle w:val="FootnoteReference"/>
          <w:rFonts w:ascii="Gotham Book" w:eastAsia="Times New Roman" w:hAnsi="Gotham Book" w:cs="Times New Roman"/>
          <w:sz w:val="24"/>
          <w:szCs w:val="24"/>
          <w:lang w:eastAsia="en-AU"/>
        </w:rPr>
        <w:footnoteReference w:id="56"/>
      </w:r>
      <w:r w:rsidR="00F66928">
        <w:rPr>
          <w:rFonts w:ascii="Gotham Book" w:eastAsia="Times New Roman" w:hAnsi="Gotham Book" w:cs="Times New Roman"/>
          <w:sz w:val="24"/>
          <w:szCs w:val="24"/>
          <w:lang w:eastAsia="en-AU"/>
        </w:rPr>
        <w:t xml:space="preserve"> It now contains nine commitments but, again, none of the</w:t>
      </w:r>
      <w:r>
        <w:rPr>
          <w:rFonts w:ascii="Gotham Book" w:eastAsia="Times New Roman" w:hAnsi="Gotham Book" w:cs="Times New Roman"/>
          <w:sz w:val="24"/>
          <w:szCs w:val="24"/>
          <w:lang w:eastAsia="en-AU"/>
        </w:rPr>
        <w:t xml:space="preserve">m involve any </w:t>
      </w:r>
      <w:r w:rsidR="00A409FE">
        <w:rPr>
          <w:rFonts w:ascii="Gotham Book" w:eastAsia="Times New Roman" w:hAnsi="Gotham Book" w:cs="Times New Roman"/>
          <w:sz w:val="24"/>
          <w:szCs w:val="24"/>
          <w:lang w:eastAsia="en-AU"/>
        </w:rPr>
        <w:t xml:space="preserve">explicit, </w:t>
      </w:r>
      <w:r>
        <w:rPr>
          <w:rFonts w:ascii="Gotham Book" w:eastAsia="Times New Roman" w:hAnsi="Gotham Book" w:cs="Times New Roman"/>
          <w:sz w:val="24"/>
          <w:szCs w:val="24"/>
          <w:lang w:eastAsia="en-AU"/>
        </w:rPr>
        <w:t>quantitative targets for emissions or emissions intensity reductions</w:t>
      </w:r>
      <w:r w:rsidR="00F66928">
        <w:rPr>
          <w:rFonts w:ascii="Gotham Book" w:eastAsia="Times New Roman" w:hAnsi="Gotham Book" w:cs="Times New Roman"/>
          <w:sz w:val="24"/>
          <w:szCs w:val="24"/>
          <w:lang w:eastAsia="en-AU"/>
        </w:rPr>
        <w:t xml:space="preserve">. </w:t>
      </w:r>
      <w:r w:rsidR="00A409FE">
        <w:rPr>
          <w:rFonts w:ascii="Gotham Book" w:eastAsia="Times New Roman" w:hAnsi="Gotham Book" w:cs="Times New Roman"/>
          <w:sz w:val="24"/>
          <w:szCs w:val="24"/>
          <w:lang w:eastAsia="en-AU"/>
        </w:rPr>
        <w:t>It does contain commitments with likely, similar impact to quantitative reduction targets. For example, coal-fired power station closure by 205</w:t>
      </w:r>
      <w:bookmarkStart w:id="2" w:name="_GoBack"/>
      <w:bookmarkEnd w:id="2"/>
      <w:r w:rsidR="00A409FE">
        <w:rPr>
          <w:rFonts w:ascii="Gotham Book" w:eastAsia="Times New Roman" w:hAnsi="Gotham Book" w:cs="Times New Roman"/>
          <w:sz w:val="24"/>
          <w:szCs w:val="24"/>
          <w:lang w:eastAsia="en-AU"/>
        </w:rPr>
        <w:t xml:space="preserve">0. </w:t>
      </w:r>
      <w:r w:rsidR="00F66928">
        <w:rPr>
          <w:rFonts w:ascii="Gotham Book" w:eastAsia="Times New Roman" w:hAnsi="Gotham Book" w:cs="Times New Roman"/>
          <w:sz w:val="24"/>
          <w:szCs w:val="24"/>
          <w:lang w:eastAsia="en-AU"/>
        </w:rPr>
        <w:t>It also contains no reference to the 2012 emissions intensity target.</w:t>
      </w:r>
      <w:r w:rsidR="001208BB">
        <w:rPr>
          <w:rFonts w:ascii="Gotham Book" w:eastAsia="Times New Roman" w:hAnsi="Gotham Book" w:cs="Times New Roman"/>
          <w:sz w:val="24"/>
          <w:szCs w:val="24"/>
          <w:lang w:eastAsia="en-AU"/>
        </w:rPr>
        <w:t xml:space="preserve"> In place of the previous numeric intensity target AGL now commits to </w:t>
      </w:r>
      <w:r w:rsidR="001208BB" w:rsidRPr="001208BB">
        <w:rPr>
          <w:rFonts w:ascii="Gotham Book" w:eastAsia="Times New Roman" w:hAnsi="Gotham Book" w:cs="Times New Roman"/>
          <w:sz w:val="24"/>
          <w:szCs w:val="24"/>
          <w:lang w:eastAsia="en-AU"/>
        </w:rPr>
        <w:t>“i</w:t>
      </w:r>
      <w:r w:rsidR="001208BB" w:rsidRPr="000C340A">
        <w:rPr>
          <w:rFonts w:ascii="Gotham Book" w:eastAsia="Times New Roman" w:hAnsi="Gotham Book" w:cs="Arial"/>
          <w:sz w:val="24"/>
          <w:szCs w:val="24"/>
          <w:lang w:eastAsia="en-AU"/>
        </w:rPr>
        <w:t>mprove the greenhouse gas efficiency of our operations, and those in which we have an influence”.</w:t>
      </w:r>
    </w:p>
    <w:p w:rsidR="00D01AFC" w:rsidRPr="00D01AFC" w:rsidRDefault="00D01AFC" w:rsidP="00022144">
      <w:pPr>
        <w:rPr>
          <w:rFonts w:ascii="Gotham Book" w:eastAsia="Times New Roman" w:hAnsi="Gotham Book" w:cs="Times New Roman"/>
          <w:b/>
          <w:i/>
          <w:sz w:val="24"/>
          <w:szCs w:val="24"/>
          <w:lang w:eastAsia="en-AU"/>
        </w:rPr>
      </w:pPr>
      <w:r w:rsidRPr="00D01AFC">
        <w:rPr>
          <w:rFonts w:ascii="Gotham Book" w:eastAsia="Times New Roman" w:hAnsi="Gotham Book" w:cs="Times New Roman"/>
          <w:b/>
          <w:i/>
          <w:sz w:val="24"/>
          <w:szCs w:val="24"/>
          <w:lang w:eastAsia="en-AU"/>
        </w:rPr>
        <w:t xml:space="preserve">Origin </w:t>
      </w:r>
    </w:p>
    <w:p w:rsidR="000415B9" w:rsidRPr="00022144" w:rsidRDefault="000415B9" w:rsidP="00022144">
      <w:pPr>
        <w:rPr>
          <w:rFonts w:ascii="Gotham Book" w:eastAsia="Times New Roman" w:hAnsi="Gotham Book" w:cs="Times New Roman"/>
          <w:sz w:val="24"/>
          <w:szCs w:val="24"/>
          <w:lang w:eastAsia="en-AU"/>
        </w:rPr>
      </w:pPr>
      <w:r>
        <w:rPr>
          <w:rFonts w:ascii="Gotham Book" w:eastAsia="Times New Roman" w:hAnsi="Gotham Book" w:cs="Times New Roman"/>
          <w:sz w:val="24"/>
          <w:szCs w:val="24"/>
          <w:lang w:eastAsia="en-AU"/>
        </w:rPr>
        <w:t>Origin</w:t>
      </w:r>
      <w:r w:rsidR="003A2C70">
        <w:rPr>
          <w:rFonts w:ascii="Gotham Book" w:eastAsia="Times New Roman" w:hAnsi="Gotham Book" w:cs="Times New Roman"/>
          <w:sz w:val="24"/>
          <w:szCs w:val="24"/>
          <w:lang w:eastAsia="en-AU"/>
        </w:rPr>
        <w:t xml:space="preserve"> also ‘has a policy’ on carbon emissions.</w:t>
      </w:r>
      <w:r w:rsidR="00A818BD">
        <w:rPr>
          <w:rFonts w:ascii="Gotham Book" w:eastAsia="Times New Roman" w:hAnsi="Gotham Book" w:cs="Times New Roman"/>
          <w:sz w:val="24"/>
          <w:szCs w:val="24"/>
          <w:lang w:eastAsia="en-AU"/>
        </w:rPr>
        <w:t xml:space="preserve"> </w:t>
      </w:r>
      <w:r w:rsidR="00C30818">
        <w:rPr>
          <w:rFonts w:ascii="Gotham Book" w:eastAsia="Times New Roman" w:hAnsi="Gotham Book" w:cs="Times New Roman"/>
          <w:sz w:val="24"/>
          <w:szCs w:val="24"/>
          <w:lang w:eastAsia="en-AU"/>
        </w:rPr>
        <w:t>It states “We</w:t>
      </w:r>
      <w:r w:rsidR="00C30818">
        <w:t xml:space="preserve"> </w:t>
      </w:r>
      <w:r w:rsidR="00C30818" w:rsidRPr="00A73DBC">
        <w:rPr>
          <w:rFonts w:ascii="Gotham Book" w:hAnsi="Gotham Book"/>
          <w:sz w:val="24"/>
          <w:szCs w:val="24"/>
        </w:rPr>
        <w:t>acknowledge and continue to maintain that climate change is a global societal challenge and as such, Origin continues to support measures to reduce carbon emissions.”</w:t>
      </w:r>
      <w:r w:rsidR="00A73DBC">
        <w:t xml:space="preserve"> </w:t>
      </w:r>
      <w:r w:rsidR="00A73DBC">
        <w:rPr>
          <w:rFonts w:ascii="Gotham Book" w:hAnsi="Gotham Book"/>
          <w:sz w:val="24"/>
        </w:rPr>
        <w:t xml:space="preserve">In fact, </w:t>
      </w:r>
      <w:r w:rsidR="005D3F2D">
        <w:rPr>
          <w:rFonts w:ascii="Gotham Book" w:hAnsi="Gotham Book"/>
          <w:sz w:val="24"/>
        </w:rPr>
        <w:t xml:space="preserve">over the past 3 years Origin’s own scope one emissions </w:t>
      </w:r>
      <w:r w:rsidR="005D3F2D">
        <w:rPr>
          <w:rFonts w:ascii="Gotham Book" w:hAnsi="Gotham Book"/>
          <w:sz w:val="24"/>
        </w:rPr>
        <w:lastRenderedPageBreak/>
        <w:t xml:space="preserve">have increased </w:t>
      </w:r>
      <w:r w:rsidR="002C4DF0">
        <w:rPr>
          <w:rFonts w:ascii="Gotham Book" w:hAnsi="Gotham Book"/>
          <w:sz w:val="24"/>
        </w:rPr>
        <w:t xml:space="preserve">by </w:t>
      </w:r>
      <w:r w:rsidR="0027510F">
        <w:rPr>
          <w:rFonts w:ascii="Gotham Book" w:hAnsi="Gotham Book"/>
          <w:sz w:val="24"/>
        </w:rPr>
        <w:t>55</w:t>
      </w:r>
      <w:r w:rsidR="005D3F2D">
        <w:rPr>
          <w:rFonts w:ascii="Gotham Book" w:hAnsi="Gotham Book"/>
          <w:sz w:val="24"/>
        </w:rPr>
        <w:t>% pa.</w:t>
      </w:r>
      <w:r w:rsidR="005D3F2D">
        <w:rPr>
          <w:rStyle w:val="FootnoteReference"/>
          <w:rFonts w:ascii="Gotham Book" w:hAnsi="Gotham Book"/>
          <w:sz w:val="24"/>
        </w:rPr>
        <w:footnoteReference w:id="57"/>
      </w:r>
      <w:r w:rsidR="005D3F2D">
        <w:rPr>
          <w:rFonts w:ascii="Gotham Book" w:hAnsi="Gotham Book"/>
          <w:sz w:val="24"/>
        </w:rPr>
        <w:t xml:space="preserve"> </w:t>
      </w:r>
      <w:r w:rsidR="005D3F2D">
        <w:rPr>
          <w:rFonts w:ascii="Gotham Book" w:eastAsia="Times New Roman" w:hAnsi="Gotham Book" w:cs="Times New Roman"/>
          <w:sz w:val="24"/>
          <w:szCs w:val="24"/>
          <w:lang w:eastAsia="en-AU"/>
        </w:rPr>
        <w:t>I</w:t>
      </w:r>
      <w:r w:rsidR="00A818BD">
        <w:rPr>
          <w:rFonts w:ascii="Gotham Book" w:eastAsia="Times New Roman" w:hAnsi="Gotham Book" w:cs="Times New Roman"/>
          <w:sz w:val="24"/>
          <w:szCs w:val="24"/>
          <w:lang w:eastAsia="en-AU"/>
        </w:rPr>
        <w:t>n 2007 Origin</w:t>
      </w:r>
      <w:r w:rsidR="00C30818">
        <w:rPr>
          <w:rFonts w:ascii="Gotham Book" w:eastAsia="Times New Roman" w:hAnsi="Gotham Book" w:cs="Times New Roman"/>
          <w:sz w:val="24"/>
          <w:szCs w:val="24"/>
          <w:lang w:eastAsia="en-AU"/>
        </w:rPr>
        <w:t xml:space="preserve"> set itself 4 objectives </w:t>
      </w:r>
      <w:r w:rsidR="002C4DF0">
        <w:rPr>
          <w:rFonts w:ascii="Gotham Book" w:eastAsia="Times New Roman" w:hAnsi="Gotham Book" w:cs="Times New Roman"/>
          <w:sz w:val="24"/>
          <w:szCs w:val="24"/>
          <w:lang w:eastAsia="en-AU"/>
        </w:rPr>
        <w:t xml:space="preserve">concerning its </w:t>
      </w:r>
      <w:r w:rsidR="00C30818">
        <w:rPr>
          <w:rFonts w:ascii="Gotham Book" w:eastAsia="Times New Roman" w:hAnsi="Gotham Book" w:cs="Times New Roman"/>
          <w:sz w:val="24"/>
          <w:szCs w:val="24"/>
          <w:lang w:eastAsia="en-AU"/>
        </w:rPr>
        <w:t>carbon emissions.</w:t>
      </w:r>
      <w:r w:rsidR="00C30818">
        <w:rPr>
          <w:rStyle w:val="FootnoteReference"/>
          <w:rFonts w:ascii="Gotham Book" w:eastAsia="Times New Roman" w:hAnsi="Gotham Book" w:cs="Times New Roman"/>
          <w:sz w:val="24"/>
          <w:szCs w:val="24"/>
          <w:lang w:eastAsia="en-AU"/>
        </w:rPr>
        <w:footnoteReference w:id="58"/>
      </w:r>
      <w:r w:rsidR="00C30818">
        <w:rPr>
          <w:rFonts w:ascii="Gotham Book" w:eastAsia="Times New Roman" w:hAnsi="Gotham Book" w:cs="Times New Roman"/>
          <w:sz w:val="24"/>
          <w:szCs w:val="24"/>
          <w:lang w:eastAsia="en-AU"/>
        </w:rPr>
        <w:t xml:space="preserve"> These in</w:t>
      </w:r>
      <w:r w:rsidR="005D3F2D">
        <w:rPr>
          <w:rFonts w:ascii="Gotham Book" w:eastAsia="Times New Roman" w:hAnsi="Gotham Book" w:cs="Times New Roman"/>
          <w:sz w:val="24"/>
          <w:szCs w:val="24"/>
          <w:lang w:eastAsia="en-AU"/>
        </w:rPr>
        <w:t>cluded</w:t>
      </w:r>
      <w:r w:rsidR="00C30818">
        <w:rPr>
          <w:rFonts w:ascii="Gotham Book" w:eastAsia="Times New Roman" w:hAnsi="Gotham Book" w:cs="Times New Roman"/>
          <w:sz w:val="24"/>
          <w:szCs w:val="24"/>
          <w:lang w:eastAsia="en-AU"/>
        </w:rPr>
        <w:t xml:space="preserve"> an objective to reduce the greenhouse gas intensity of the company’s electricity supply chain</w:t>
      </w:r>
      <w:r w:rsidR="0027510F">
        <w:rPr>
          <w:rStyle w:val="FootnoteReference"/>
          <w:rFonts w:ascii="Gotham Book" w:eastAsia="Times New Roman" w:hAnsi="Gotham Book" w:cs="Times New Roman"/>
          <w:sz w:val="24"/>
          <w:szCs w:val="24"/>
          <w:lang w:eastAsia="en-AU"/>
        </w:rPr>
        <w:footnoteReference w:id="59"/>
      </w:r>
      <w:r w:rsidR="00C30818">
        <w:rPr>
          <w:rFonts w:ascii="Gotham Book" w:eastAsia="Times New Roman" w:hAnsi="Gotham Book" w:cs="Times New Roman"/>
          <w:sz w:val="24"/>
          <w:szCs w:val="24"/>
          <w:lang w:eastAsia="en-AU"/>
        </w:rPr>
        <w:t xml:space="preserve"> emissions to 10% less than the national electricity market average by 2020.</w:t>
      </w:r>
      <w:r w:rsidR="0027510F">
        <w:rPr>
          <w:rFonts w:ascii="Gotham Book" w:eastAsia="Times New Roman" w:hAnsi="Gotham Book" w:cs="Times New Roman"/>
          <w:sz w:val="24"/>
          <w:szCs w:val="24"/>
          <w:lang w:eastAsia="en-AU"/>
        </w:rPr>
        <w:t xml:space="preserve"> </w:t>
      </w:r>
      <w:r w:rsidR="005D3F2D">
        <w:rPr>
          <w:rFonts w:ascii="Gotham Book" w:eastAsia="Times New Roman" w:hAnsi="Gotham Book" w:cs="Times New Roman"/>
          <w:sz w:val="24"/>
          <w:szCs w:val="24"/>
          <w:lang w:eastAsia="en-AU"/>
        </w:rPr>
        <w:t xml:space="preserve"> </w:t>
      </w:r>
      <w:r w:rsidR="0027510F">
        <w:rPr>
          <w:rFonts w:ascii="Gotham Book" w:eastAsia="Times New Roman" w:hAnsi="Gotham Book" w:cs="Times New Roman"/>
          <w:sz w:val="24"/>
          <w:szCs w:val="24"/>
          <w:lang w:eastAsia="en-AU"/>
        </w:rPr>
        <w:t xml:space="preserve">No reference is made to this target in Origin’s current website emissions </w:t>
      </w:r>
      <w:r w:rsidR="005777AB">
        <w:rPr>
          <w:rFonts w:ascii="Gotham Book" w:eastAsia="Times New Roman" w:hAnsi="Gotham Book" w:cs="Times New Roman"/>
          <w:sz w:val="24"/>
          <w:szCs w:val="24"/>
          <w:lang w:eastAsia="en-AU"/>
        </w:rPr>
        <w:t xml:space="preserve">or CDP </w:t>
      </w:r>
      <w:r w:rsidR="0027510F">
        <w:rPr>
          <w:rFonts w:ascii="Gotham Book" w:eastAsia="Times New Roman" w:hAnsi="Gotham Book" w:cs="Times New Roman"/>
          <w:sz w:val="24"/>
          <w:szCs w:val="24"/>
          <w:lang w:eastAsia="en-AU"/>
        </w:rPr>
        <w:t>disclosure. It appears to have been dropped.</w:t>
      </w:r>
      <w:r w:rsidR="00C30818">
        <w:rPr>
          <w:rStyle w:val="FootnoteReference"/>
          <w:rFonts w:ascii="Gotham Book" w:eastAsia="Times New Roman" w:hAnsi="Gotham Book" w:cs="Times New Roman"/>
          <w:sz w:val="24"/>
          <w:szCs w:val="24"/>
          <w:lang w:eastAsia="en-AU"/>
        </w:rPr>
        <w:footnoteReference w:id="60"/>
      </w:r>
      <w:r w:rsidR="005777AB">
        <w:rPr>
          <w:rFonts w:ascii="Gotham Book" w:eastAsia="Times New Roman" w:hAnsi="Gotham Book" w:cs="Times New Roman"/>
          <w:sz w:val="24"/>
          <w:szCs w:val="24"/>
          <w:lang w:eastAsia="en-AU"/>
        </w:rPr>
        <w:t xml:space="preserve">Since 2008/09 Origin’s scope one and scope two emissions have increased 12.7X. </w:t>
      </w:r>
      <w:r w:rsidR="005777AB">
        <w:rPr>
          <w:rStyle w:val="FootnoteReference"/>
          <w:rFonts w:ascii="Gotham Book" w:eastAsia="Times New Roman" w:hAnsi="Gotham Book" w:cs="Times New Roman"/>
          <w:sz w:val="24"/>
          <w:szCs w:val="24"/>
          <w:lang w:eastAsia="en-AU"/>
        </w:rPr>
        <w:footnoteReference w:id="61"/>
      </w:r>
    </w:p>
    <w:p w:rsidR="00D01AFC" w:rsidRPr="00D01AFC" w:rsidRDefault="00D01AFC" w:rsidP="00AD6B79">
      <w:pPr>
        <w:rPr>
          <w:rFonts w:ascii="Gotham Book" w:hAnsi="Gotham Book"/>
          <w:b/>
          <w:i/>
          <w:sz w:val="24"/>
          <w:szCs w:val="24"/>
        </w:rPr>
      </w:pPr>
      <w:r w:rsidRPr="00D01AFC">
        <w:rPr>
          <w:rFonts w:ascii="Gotham Book" w:hAnsi="Gotham Book"/>
          <w:b/>
          <w:i/>
          <w:sz w:val="24"/>
          <w:szCs w:val="24"/>
        </w:rPr>
        <w:t xml:space="preserve">NZ companies </w:t>
      </w:r>
    </w:p>
    <w:p w:rsidR="00AD6B79" w:rsidRPr="004821CB" w:rsidRDefault="004821CB" w:rsidP="00AD6B79">
      <w:pPr>
        <w:rPr>
          <w:rFonts w:ascii="Gotham Book" w:hAnsi="Gotham Book"/>
          <w:sz w:val="24"/>
          <w:szCs w:val="24"/>
        </w:rPr>
      </w:pPr>
      <w:r w:rsidRPr="004821CB">
        <w:rPr>
          <w:rFonts w:ascii="Gotham Book" w:hAnsi="Gotham Book"/>
          <w:sz w:val="24"/>
          <w:szCs w:val="24"/>
        </w:rPr>
        <w:t>The assessed management response to climate change of the 3 NZ listed companies</w:t>
      </w:r>
      <w:r>
        <w:rPr>
          <w:rFonts w:ascii="Gotham Book" w:hAnsi="Gotham Book"/>
          <w:sz w:val="24"/>
          <w:szCs w:val="24"/>
        </w:rPr>
        <w:t xml:space="preserve"> is significantly weaker than that of the 2 ASX listed companies. </w:t>
      </w:r>
      <w:r w:rsidR="001B163F">
        <w:rPr>
          <w:rFonts w:ascii="Gotham Book" w:hAnsi="Gotham Book"/>
          <w:sz w:val="24"/>
          <w:szCs w:val="24"/>
        </w:rPr>
        <w:t>However,</w:t>
      </w:r>
      <w:r>
        <w:rPr>
          <w:rFonts w:ascii="Gotham Book" w:hAnsi="Gotham Book"/>
          <w:sz w:val="24"/>
          <w:szCs w:val="24"/>
        </w:rPr>
        <w:t xml:space="preserve"> in the context of the</w:t>
      </w:r>
      <w:r w:rsidR="002C4DF0">
        <w:rPr>
          <w:rFonts w:ascii="Gotham Book" w:hAnsi="Gotham Book"/>
          <w:sz w:val="24"/>
          <w:szCs w:val="24"/>
        </w:rPr>
        <w:t>ir lesser</w:t>
      </w:r>
      <w:r>
        <w:rPr>
          <w:rFonts w:ascii="Gotham Book" w:hAnsi="Gotham Book"/>
          <w:sz w:val="24"/>
          <w:szCs w:val="24"/>
        </w:rPr>
        <w:t xml:space="preserve"> levels of exposure described in sections 1 and 2</w:t>
      </w:r>
      <w:r w:rsidR="001B163F">
        <w:rPr>
          <w:rFonts w:ascii="Gotham Book" w:hAnsi="Gotham Book"/>
          <w:sz w:val="24"/>
          <w:szCs w:val="24"/>
        </w:rPr>
        <w:t>,</w:t>
      </w:r>
      <w:r>
        <w:rPr>
          <w:rFonts w:ascii="Gotham Book" w:hAnsi="Gotham Book"/>
          <w:sz w:val="24"/>
          <w:szCs w:val="24"/>
        </w:rPr>
        <w:t xml:space="preserve"> this does not warrant significant concern.</w:t>
      </w:r>
    </w:p>
    <w:p w:rsidR="00AD6B79" w:rsidRDefault="004821CB" w:rsidP="004821CB">
      <w:pPr>
        <w:pStyle w:val="ListParagraph"/>
        <w:numPr>
          <w:ilvl w:val="0"/>
          <w:numId w:val="2"/>
        </w:numPr>
        <w:rPr>
          <w:rFonts w:ascii="Gotham Book" w:hAnsi="Gotham Book" w:cs="Times New Roman"/>
          <w:sz w:val="32"/>
          <w:szCs w:val="32"/>
        </w:rPr>
      </w:pPr>
      <w:r w:rsidRPr="004821CB">
        <w:rPr>
          <w:rFonts w:ascii="Gotham Book" w:hAnsi="Gotham Book" w:cs="Times New Roman"/>
          <w:sz w:val="32"/>
          <w:szCs w:val="32"/>
        </w:rPr>
        <w:t>Conclusion</w:t>
      </w:r>
    </w:p>
    <w:p w:rsidR="004821CB" w:rsidRPr="002355C7" w:rsidRDefault="004821CB" w:rsidP="002355C7"/>
    <w:p w:rsidR="00511DC8" w:rsidRDefault="00511DC8" w:rsidP="00511DC8">
      <w:pPr>
        <w:rPr>
          <w:rFonts w:ascii="Gotham Book" w:hAnsi="Gotham Book" w:cs="Times New Roman"/>
          <w:sz w:val="24"/>
          <w:szCs w:val="24"/>
        </w:rPr>
      </w:pPr>
      <w:r w:rsidRPr="009739ED">
        <w:rPr>
          <w:rFonts w:ascii="Gotham Book" w:hAnsi="Gotham Book" w:cs="Times New Roman"/>
          <w:sz w:val="24"/>
          <w:szCs w:val="24"/>
        </w:rPr>
        <w:t xml:space="preserve">This paper has dealt with the exposure to </w:t>
      </w:r>
      <w:proofErr w:type="spellStart"/>
      <w:r w:rsidRPr="009739ED">
        <w:rPr>
          <w:rFonts w:ascii="Gotham Book" w:hAnsi="Gotham Book" w:cs="Times New Roman"/>
          <w:sz w:val="24"/>
          <w:szCs w:val="24"/>
        </w:rPr>
        <w:t>unburnable</w:t>
      </w:r>
      <w:proofErr w:type="spellEnd"/>
      <w:r w:rsidRPr="009739ED">
        <w:rPr>
          <w:rFonts w:ascii="Gotham Book" w:hAnsi="Gotham Book" w:cs="Times New Roman"/>
          <w:sz w:val="24"/>
          <w:szCs w:val="24"/>
        </w:rPr>
        <w:t xml:space="preserve"> carbon risk of five Australian and New Zealand listed </w:t>
      </w:r>
      <w:proofErr w:type="spellStart"/>
      <w:r w:rsidRPr="009739ED">
        <w:rPr>
          <w:rFonts w:ascii="Gotham Book" w:hAnsi="Gotham Book" w:cs="Times New Roman"/>
          <w:sz w:val="24"/>
          <w:szCs w:val="24"/>
        </w:rPr>
        <w:t>gentailers</w:t>
      </w:r>
      <w:proofErr w:type="spellEnd"/>
      <w:r w:rsidRPr="009739ED">
        <w:rPr>
          <w:rFonts w:ascii="Gotham Book" w:hAnsi="Gotham Book" w:cs="Times New Roman"/>
          <w:sz w:val="24"/>
          <w:szCs w:val="24"/>
        </w:rPr>
        <w:t>.</w:t>
      </w:r>
    </w:p>
    <w:p w:rsidR="00511DC8" w:rsidRDefault="00511DC8" w:rsidP="00511DC8">
      <w:pPr>
        <w:rPr>
          <w:rFonts w:ascii="Gotham Book" w:hAnsi="Gotham Book" w:cs="Times New Roman"/>
          <w:sz w:val="24"/>
          <w:szCs w:val="24"/>
        </w:rPr>
      </w:pPr>
      <w:r>
        <w:rPr>
          <w:rFonts w:ascii="Gotham Book" w:hAnsi="Gotham Book" w:cs="Times New Roman"/>
          <w:sz w:val="24"/>
          <w:szCs w:val="24"/>
        </w:rPr>
        <w:t>As nations</w:t>
      </w:r>
      <w:r w:rsidR="002355C7">
        <w:rPr>
          <w:rFonts w:ascii="Gotham Book" w:hAnsi="Gotham Book" w:cs="Times New Roman"/>
          <w:sz w:val="24"/>
          <w:szCs w:val="24"/>
        </w:rPr>
        <w:t>,</w:t>
      </w:r>
      <w:r>
        <w:rPr>
          <w:rFonts w:ascii="Gotham Book" w:hAnsi="Gotham Book" w:cs="Times New Roman"/>
          <w:sz w:val="24"/>
          <w:szCs w:val="24"/>
        </w:rPr>
        <w:t xml:space="preserve"> Australia and New Zealand stand at polar ends of the spectrum with regards to the carbon intensity of their </w:t>
      </w:r>
      <w:r w:rsidR="002355C7">
        <w:rPr>
          <w:rFonts w:ascii="Gotham Book" w:hAnsi="Gotham Book" w:cs="Times New Roman"/>
          <w:sz w:val="24"/>
          <w:szCs w:val="24"/>
        </w:rPr>
        <w:t>energy supply.</w:t>
      </w:r>
      <w:r>
        <w:rPr>
          <w:rFonts w:ascii="Gotham Book" w:hAnsi="Gotham Book" w:cs="Times New Roman"/>
          <w:sz w:val="24"/>
          <w:szCs w:val="24"/>
        </w:rPr>
        <w:t xml:space="preserve"> Carbon intensity of energy supply is 35% above the world average in Australia and 30% below in New Zealand. Globally carbon intensity needs to decline very significantly to hold global warming to the agreed 2° C threshold.</w:t>
      </w:r>
    </w:p>
    <w:p w:rsidR="00511DC8" w:rsidRDefault="00511DC8" w:rsidP="00511DC8">
      <w:pPr>
        <w:rPr>
          <w:rFonts w:ascii="Gotham Book" w:hAnsi="Gotham Book" w:cs="Times New Roman"/>
          <w:sz w:val="24"/>
          <w:szCs w:val="24"/>
        </w:rPr>
      </w:pPr>
      <w:r>
        <w:rPr>
          <w:rFonts w:ascii="Gotham Book" w:hAnsi="Gotham Book" w:cs="Times New Roman"/>
          <w:sz w:val="24"/>
          <w:szCs w:val="24"/>
        </w:rPr>
        <w:t xml:space="preserve">It seems almost inevitable that, over the coming decade, Australia will choose to reduce the carbon intensity of its economy significantly. If, say, Australia chose to ‘be a world average citizen’ it would need to reduce </w:t>
      </w:r>
      <w:r>
        <w:rPr>
          <w:rFonts w:ascii="Gotham Book" w:hAnsi="Gotham Book" w:cs="Times New Roman"/>
          <w:sz w:val="24"/>
          <w:szCs w:val="24"/>
        </w:rPr>
        <w:lastRenderedPageBreak/>
        <w:t>carbon intensity</w:t>
      </w:r>
      <w:r w:rsidR="00D173EB">
        <w:rPr>
          <w:rFonts w:ascii="Gotham Book" w:hAnsi="Gotham Book" w:cs="Times New Roman"/>
          <w:sz w:val="24"/>
          <w:szCs w:val="24"/>
        </w:rPr>
        <w:t xml:space="preserve"> of energy supply</w:t>
      </w:r>
      <w:r>
        <w:rPr>
          <w:rFonts w:ascii="Gotham Book" w:hAnsi="Gotham Book" w:cs="Times New Roman"/>
          <w:sz w:val="24"/>
          <w:szCs w:val="24"/>
        </w:rPr>
        <w:t xml:space="preserve"> by 5</w:t>
      </w:r>
      <w:r w:rsidR="00C233E6">
        <w:rPr>
          <w:rFonts w:ascii="Gotham Book" w:hAnsi="Gotham Book" w:cs="Times New Roman"/>
          <w:sz w:val="24"/>
          <w:szCs w:val="24"/>
        </w:rPr>
        <w:t>9</w:t>
      </w:r>
      <w:r>
        <w:rPr>
          <w:rFonts w:ascii="Gotham Book" w:hAnsi="Gotham Book" w:cs="Times New Roman"/>
          <w:sz w:val="24"/>
          <w:szCs w:val="24"/>
        </w:rPr>
        <w:t>% by 2035</w:t>
      </w:r>
      <w:r w:rsidR="00C233E6">
        <w:rPr>
          <w:rFonts w:ascii="Gotham Book" w:hAnsi="Gotham Book" w:cs="Times New Roman"/>
          <w:sz w:val="24"/>
          <w:szCs w:val="24"/>
        </w:rPr>
        <w:t xml:space="preserve"> on 2005 levels</w:t>
      </w:r>
      <w:r>
        <w:rPr>
          <w:rFonts w:ascii="Gotham Book" w:hAnsi="Gotham Book" w:cs="Times New Roman"/>
          <w:sz w:val="24"/>
          <w:szCs w:val="24"/>
        </w:rPr>
        <w:t xml:space="preserve">. Any similar pressure on New Zealand will be significantly muted by its current position. </w:t>
      </w:r>
    </w:p>
    <w:p w:rsidR="00511DC8" w:rsidRDefault="00511DC8" w:rsidP="00511DC8">
      <w:pPr>
        <w:rPr>
          <w:rFonts w:ascii="Gotham Book" w:hAnsi="Gotham Book" w:cs="Times New Roman"/>
          <w:sz w:val="24"/>
          <w:szCs w:val="24"/>
        </w:rPr>
      </w:pPr>
      <w:r>
        <w:rPr>
          <w:rFonts w:ascii="Gotham Book" w:hAnsi="Gotham Book" w:cs="Times New Roman"/>
          <w:sz w:val="24"/>
          <w:szCs w:val="24"/>
        </w:rPr>
        <w:t xml:space="preserve">As a consequence, unlike their New Zealand counterparts the </w:t>
      </w:r>
      <w:proofErr w:type="spellStart"/>
      <w:r>
        <w:rPr>
          <w:rFonts w:ascii="Gotham Book" w:hAnsi="Gotham Book" w:cs="Times New Roman"/>
          <w:sz w:val="24"/>
          <w:szCs w:val="24"/>
        </w:rPr>
        <w:t>gentailers</w:t>
      </w:r>
      <w:proofErr w:type="spellEnd"/>
      <w:r>
        <w:rPr>
          <w:rFonts w:ascii="Gotham Book" w:hAnsi="Gotham Book" w:cs="Times New Roman"/>
          <w:sz w:val="24"/>
          <w:szCs w:val="24"/>
        </w:rPr>
        <w:t xml:space="preserve"> with Australian operations face significant </w:t>
      </w:r>
      <w:proofErr w:type="spellStart"/>
      <w:r>
        <w:rPr>
          <w:rFonts w:ascii="Gotham Book" w:hAnsi="Gotham Book" w:cs="Times New Roman"/>
          <w:sz w:val="24"/>
          <w:szCs w:val="24"/>
        </w:rPr>
        <w:t>unburnable</w:t>
      </w:r>
      <w:proofErr w:type="spellEnd"/>
      <w:r>
        <w:rPr>
          <w:rFonts w:ascii="Gotham Book" w:hAnsi="Gotham Book" w:cs="Times New Roman"/>
          <w:sz w:val="24"/>
          <w:szCs w:val="24"/>
        </w:rPr>
        <w:t xml:space="preserve"> carbon risk.</w:t>
      </w:r>
    </w:p>
    <w:p w:rsidR="00A34318" w:rsidRPr="009739ED" w:rsidRDefault="00511DC8" w:rsidP="00511DC8">
      <w:pPr>
        <w:rPr>
          <w:rFonts w:ascii="Gotham Book" w:hAnsi="Gotham Book" w:cs="Times New Roman"/>
          <w:sz w:val="24"/>
          <w:szCs w:val="24"/>
        </w:rPr>
      </w:pPr>
      <w:r>
        <w:rPr>
          <w:rFonts w:ascii="Gotham Book" w:hAnsi="Gotham Book" w:cs="Times New Roman"/>
          <w:sz w:val="24"/>
          <w:szCs w:val="24"/>
        </w:rPr>
        <w:t xml:space="preserve">Clearly, the most appropriate response for the </w:t>
      </w:r>
      <w:proofErr w:type="spellStart"/>
      <w:r>
        <w:rPr>
          <w:rFonts w:ascii="Gotham Book" w:hAnsi="Gotham Book" w:cs="Times New Roman"/>
          <w:sz w:val="24"/>
          <w:szCs w:val="24"/>
        </w:rPr>
        <w:t>gentailers</w:t>
      </w:r>
      <w:proofErr w:type="spellEnd"/>
      <w:r>
        <w:rPr>
          <w:rFonts w:ascii="Gotham Book" w:hAnsi="Gotham Book" w:cs="Times New Roman"/>
          <w:sz w:val="24"/>
          <w:szCs w:val="24"/>
        </w:rPr>
        <w:t xml:space="preserve"> is to adopt targets to reduce their carbon intensity, for example, the carbon intensity of their power </w:t>
      </w:r>
      <w:r w:rsidR="00A34318">
        <w:rPr>
          <w:rFonts w:ascii="Gotham Book" w:hAnsi="Gotham Book" w:cs="Times New Roman"/>
          <w:sz w:val="24"/>
          <w:szCs w:val="24"/>
        </w:rPr>
        <w:t>generation.</w:t>
      </w:r>
      <w:r w:rsidR="00A214E5">
        <w:rPr>
          <w:rStyle w:val="FootnoteReference"/>
          <w:rFonts w:ascii="Gotham Book" w:hAnsi="Gotham Book" w:cs="Times New Roman"/>
          <w:sz w:val="24"/>
          <w:szCs w:val="24"/>
        </w:rPr>
        <w:footnoteReference w:id="62"/>
      </w:r>
      <w:r w:rsidR="00A34318">
        <w:rPr>
          <w:rFonts w:ascii="Gotham Book" w:hAnsi="Gotham Book" w:cs="Times New Roman"/>
          <w:sz w:val="24"/>
          <w:szCs w:val="24"/>
        </w:rPr>
        <w:t xml:space="preserve"> </w:t>
      </w:r>
    </w:p>
    <w:p w:rsidR="00511DC8" w:rsidRDefault="00511DC8" w:rsidP="00511DC8">
      <w:pPr>
        <w:rPr>
          <w:rFonts w:ascii="Gotham Book" w:hAnsi="Gotham Book" w:cs="Times New Roman"/>
          <w:sz w:val="24"/>
          <w:szCs w:val="24"/>
        </w:rPr>
      </w:pPr>
      <w:r w:rsidRPr="004821CB">
        <w:rPr>
          <w:rFonts w:ascii="Gotham Book" w:hAnsi="Gotham Book" w:cs="Times New Roman"/>
          <w:sz w:val="24"/>
          <w:szCs w:val="24"/>
        </w:rPr>
        <w:t>Judged by their actions</w:t>
      </w:r>
      <w:r>
        <w:rPr>
          <w:rFonts w:ascii="Gotham Book" w:hAnsi="Gotham Book" w:cs="Times New Roman"/>
          <w:sz w:val="24"/>
          <w:szCs w:val="24"/>
        </w:rPr>
        <w:t xml:space="preserve"> rather than their words, it is difficult to escape the conclusion that the two Australian </w:t>
      </w:r>
      <w:proofErr w:type="spellStart"/>
      <w:r>
        <w:rPr>
          <w:rFonts w:ascii="Gotham Book" w:hAnsi="Gotham Book" w:cs="Times New Roman"/>
          <w:sz w:val="24"/>
          <w:szCs w:val="24"/>
        </w:rPr>
        <w:t>gentailers</w:t>
      </w:r>
      <w:proofErr w:type="spellEnd"/>
      <w:r>
        <w:rPr>
          <w:rFonts w:ascii="Gotham Book" w:hAnsi="Gotham Book" w:cs="Times New Roman"/>
          <w:sz w:val="24"/>
          <w:szCs w:val="24"/>
        </w:rPr>
        <w:t xml:space="preserve">, AGL and Origin, are basing business decisions to adopt or drop quantitative carbon targets on the assumption that </w:t>
      </w:r>
      <w:r w:rsidR="00466ED1">
        <w:rPr>
          <w:rFonts w:ascii="Gotham Book" w:hAnsi="Gotham Book" w:cs="Times New Roman"/>
          <w:sz w:val="24"/>
          <w:szCs w:val="24"/>
        </w:rPr>
        <w:t xml:space="preserve">whatever </w:t>
      </w:r>
      <w:r w:rsidR="002355C7">
        <w:rPr>
          <w:rFonts w:ascii="Gotham Book" w:hAnsi="Gotham Book" w:cs="Times New Roman"/>
          <w:sz w:val="24"/>
          <w:szCs w:val="24"/>
        </w:rPr>
        <w:t>happen</w:t>
      </w:r>
      <w:r w:rsidR="008A2D91">
        <w:rPr>
          <w:rFonts w:ascii="Gotham Book" w:hAnsi="Gotham Book" w:cs="Times New Roman"/>
          <w:sz w:val="24"/>
          <w:szCs w:val="24"/>
        </w:rPr>
        <w:t>s</w:t>
      </w:r>
      <w:r w:rsidR="002355C7">
        <w:rPr>
          <w:rFonts w:ascii="Gotham Book" w:hAnsi="Gotham Book" w:cs="Times New Roman"/>
          <w:sz w:val="24"/>
          <w:szCs w:val="24"/>
        </w:rPr>
        <w:t xml:space="preserve"> to be</w:t>
      </w:r>
      <w:r>
        <w:rPr>
          <w:rFonts w:ascii="Gotham Book" w:hAnsi="Gotham Book" w:cs="Times New Roman"/>
          <w:sz w:val="24"/>
          <w:szCs w:val="24"/>
        </w:rPr>
        <w:t xml:space="preserve"> current </w:t>
      </w:r>
      <w:r w:rsidR="002355C7">
        <w:rPr>
          <w:rFonts w:ascii="Gotham Book" w:hAnsi="Gotham Book" w:cs="Times New Roman"/>
          <w:sz w:val="24"/>
          <w:szCs w:val="24"/>
        </w:rPr>
        <w:t xml:space="preserve">as </w:t>
      </w:r>
      <w:r>
        <w:rPr>
          <w:rFonts w:ascii="Gotham Book" w:hAnsi="Gotham Book" w:cs="Times New Roman"/>
          <w:sz w:val="24"/>
          <w:szCs w:val="24"/>
        </w:rPr>
        <w:t xml:space="preserve">local policy </w:t>
      </w:r>
      <w:r w:rsidR="008A2D91">
        <w:rPr>
          <w:rFonts w:ascii="Gotham Book" w:hAnsi="Gotham Book" w:cs="Times New Roman"/>
          <w:sz w:val="24"/>
          <w:szCs w:val="24"/>
        </w:rPr>
        <w:t>settings</w:t>
      </w:r>
      <w:r>
        <w:rPr>
          <w:rFonts w:ascii="Gotham Book" w:hAnsi="Gotham Book" w:cs="Times New Roman"/>
          <w:sz w:val="24"/>
          <w:szCs w:val="24"/>
        </w:rPr>
        <w:t xml:space="preserve"> </w:t>
      </w:r>
      <w:r w:rsidR="002355C7">
        <w:rPr>
          <w:rFonts w:ascii="Gotham Book" w:hAnsi="Gotham Book" w:cs="Times New Roman"/>
          <w:sz w:val="24"/>
          <w:szCs w:val="24"/>
        </w:rPr>
        <w:t>will</w:t>
      </w:r>
      <w:r>
        <w:rPr>
          <w:rFonts w:ascii="Gotham Book" w:hAnsi="Gotham Book" w:cs="Times New Roman"/>
          <w:sz w:val="24"/>
          <w:szCs w:val="24"/>
        </w:rPr>
        <w:t xml:space="preserve"> continue in perpetuity. </w:t>
      </w:r>
    </w:p>
    <w:p w:rsidR="004821CB" w:rsidRPr="004821CB" w:rsidRDefault="00511DC8" w:rsidP="00511DC8">
      <w:pPr>
        <w:rPr>
          <w:rFonts w:ascii="Gotham Book" w:hAnsi="Gotham Book" w:cs="Times New Roman"/>
          <w:sz w:val="24"/>
          <w:szCs w:val="24"/>
        </w:rPr>
      </w:pPr>
      <w:r>
        <w:rPr>
          <w:rFonts w:ascii="Gotham Book" w:hAnsi="Gotham Book" w:cs="Times New Roman"/>
          <w:sz w:val="24"/>
          <w:szCs w:val="24"/>
        </w:rPr>
        <w:t>In 2007 the Coalition government’s “</w:t>
      </w:r>
      <w:proofErr w:type="spellStart"/>
      <w:r>
        <w:rPr>
          <w:rFonts w:ascii="Gotham Book" w:hAnsi="Gotham Book" w:cs="Times New Roman"/>
          <w:sz w:val="24"/>
          <w:szCs w:val="24"/>
        </w:rPr>
        <w:t>Shergold</w:t>
      </w:r>
      <w:proofErr w:type="spellEnd"/>
      <w:r>
        <w:rPr>
          <w:rFonts w:ascii="Gotham Book" w:hAnsi="Gotham Book" w:cs="Times New Roman"/>
          <w:sz w:val="24"/>
          <w:szCs w:val="24"/>
        </w:rPr>
        <w:t xml:space="preserve"> report” recommended Australia adopt an ETS and then PM Howard promised, if re-elected, to do that. In that year, Origin adopted a supply chain emissions intensity target. In late 2011 the ETS legislation was passed under the ALP. In 2012 the initial ‘carbon tax’ phase commenced. In that year, AGL set itself a quantitative target for new generation capacity.  In September 2013 the Abbott Coalition government came to power and repealed the carbon tax/ETS</w:t>
      </w:r>
      <w:r w:rsidR="00A214E5">
        <w:rPr>
          <w:rFonts w:ascii="Gotham Book" w:hAnsi="Gotham Book" w:cs="Times New Roman"/>
          <w:sz w:val="24"/>
          <w:szCs w:val="24"/>
        </w:rPr>
        <w:t>.</w:t>
      </w:r>
      <w:r w:rsidR="00A214E5">
        <w:rPr>
          <w:rStyle w:val="FootnoteReference"/>
          <w:rFonts w:ascii="Gotham Book" w:hAnsi="Gotham Book" w:cs="Times New Roman"/>
          <w:sz w:val="24"/>
          <w:szCs w:val="24"/>
        </w:rPr>
        <w:footnoteReference w:id="63"/>
      </w:r>
      <w:r w:rsidR="00A214E5">
        <w:rPr>
          <w:rFonts w:ascii="Gotham Book" w:hAnsi="Gotham Book" w:cs="Times New Roman"/>
          <w:sz w:val="24"/>
          <w:szCs w:val="24"/>
        </w:rPr>
        <w:t xml:space="preserve"> Now, no</w:t>
      </w:r>
      <w:r w:rsidR="0039539A">
        <w:rPr>
          <w:rFonts w:ascii="Gotham Book" w:hAnsi="Gotham Book" w:cs="Times New Roman"/>
          <w:sz w:val="24"/>
          <w:szCs w:val="24"/>
        </w:rPr>
        <w:t xml:space="preserve"> mention is made by</w:t>
      </w:r>
      <w:r w:rsidR="00A214E5">
        <w:rPr>
          <w:rFonts w:ascii="Gotham Book" w:hAnsi="Gotham Book" w:cs="Times New Roman"/>
          <w:sz w:val="24"/>
          <w:szCs w:val="24"/>
        </w:rPr>
        <w:t xml:space="preserve"> the 2 </w:t>
      </w:r>
      <w:proofErr w:type="spellStart"/>
      <w:r w:rsidR="00A214E5">
        <w:rPr>
          <w:rFonts w:ascii="Gotham Book" w:hAnsi="Gotham Book" w:cs="Times New Roman"/>
          <w:sz w:val="24"/>
          <w:szCs w:val="24"/>
        </w:rPr>
        <w:t>gentailers</w:t>
      </w:r>
      <w:proofErr w:type="spellEnd"/>
      <w:r w:rsidR="00A214E5">
        <w:rPr>
          <w:rFonts w:ascii="Gotham Book" w:hAnsi="Gotham Book" w:cs="Times New Roman"/>
          <w:sz w:val="24"/>
          <w:szCs w:val="24"/>
        </w:rPr>
        <w:t xml:space="preserve"> </w:t>
      </w:r>
      <w:r w:rsidR="00522F41">
        <w:rPr>
          <w:rFonts w:ascii="Gotham Book" w:hAnsi="Gotham Book" w:cs="Times New Roman"/>
          <w:sz w:val="24"/>
          <w:szCs w:val="24"/>
        </w:rPr>
        <w:t>of the earlier</w:t>
      </w:r>
      <w:r w:rsidR="00A214E5">
        <w:rPr>
          <w:rFonts w:ascii="Gotham Book" w:hAnsi="Gotham Book" w:cs="Times New Roman"/>
          <w:sz w:val="24"/>
          <w:szCs w:val="24"/>
        </w:rPr>
        <w:t xml:space="preserve"> targets</w:t>
      </w:r>
      <w:r w:rsidR="00522F41">
        <w:rPr>
          <w:rFonts w:ascii="Gotham Book" w:hAnsi="Gotham Book" w:cs="Times New Roman"/>
          <w:sz w:val="24"/>
          <w:szCs w:val="24"/>
        </w:rPr>
        <w:t xml:space="preserve">. </w:t>
      </w:r>
      <w:r w:rsidR="00F845D5">
        <w:rPr>
          <w:rFonts w:ascii="Gotham Book" w:hAnsi="Gotham Book" w:cs="Times New Roman"/>
          <w:sz w:val="24"/>
          <w:szCs w:val="24"/>
        </w:rPr>
        <w:t xml:space="preserve"> </w:t>
      </w:r>
      <w:r w:rsidR="00522F41">
        <w:rPr>
          <w:rFonts w:ascii="Gotham Book" w:hAnsi="Gotham Book" w:cs="Times New Roman"/>
          <w:sz w:val="24"/>
          <w:szCs w:val="24"/>
        </w:rPr>
        <w:t>They both appear to have none.</w:t>
      </w:r>
    </w:p>
    <w:p w:rsidR="0039539A" w:rsidRPr="004821CB" w:rsidRDefault="009739ED" w:rsidP="0039539A">
      <w:pPr>
        <w:rPr>
          <w:rFonts w:ascii="Gotham Book" w:hAnsi="Gotham Book"/>
          <w:sz w:val="24"/>
          <w:szCs w:val="24"/>
        </w:rPr>
      </w:pPr>
      <w:r>
        <w:rPr>
          <w:rFonts w:ascii="Gotham Book" w:hAnsi="Gotham Book" w:cs="Times New Roman"/>
          <w:sz w:val="24"/>
          <w:szCs w:val="24"/>
        </w:rPr>
        <w:t>The New Zealand companies (</w:t>
      </w:r>
      <w:proofErr w:type="spellStart"/>
      <w:r>
        <w:rPr>
          <w:rFonts w:ascii="Gotham Book" w:hAnsi="Gotham Book" w:cs="Times New Roman"/>
          <w:sz w:val="24"/>
          <w:szCs w:val="24"/>
        </w:rPr>
        <w:t>Infratil</w:t>
      </w:r>
      <w:proofErr w:type="spellEnd"/>
      <w:r>
        <w:rPr>
          <w:rFonts w:ascii="Gotham Book" w:hAnsi="Gotham Book" w:cs="Times New Roman"/>
          <w:sz w:val="24"/>
          <w:szCs w:val="24"/>
        </w:rPr>
        <w:t xml:space="preserve">, </w:t>
      </w:r>
      <w:proofErr w:type="spellStart"/>
      <w:r>
        <w:rPr>
          <w:rFonts w:ascii="Gotham Book" w:hAnsi="Gotham Book" w:cs="Times New Roman"/>
          <w:sz w:val="24"/>
          <w:szCs w:val="24"/>
        </w:rPr>
        <w:t>Trustpower</w:t>
      </w:r>
      <w:proofErr w:type="spellEnd"/>
      <w:r>
        <w:rPr>
          <w:rFonts w:ascii="Gotham Book" w:hAnsi="Gotham Book" w:cs="Times New Roman"/>
          <w:sz w:val="24"/>
          <w:szCs w:val="24"/>
        </w:rPr>
        <w:t xml:space="preserve"> and Contact Energy) appear less prepare</w:t>
      </w:r>
      <w:r w:rsidR="0039539A">
        <w:rPr>
          <w:rFonts w:ascii="Gotham Book" w:hAnsi="Gotham Book" w:cs="Times New Roman"/>
          <w:sz w:val="24"/>
          <w:szCs w:val="24"/>
        </w:rPr>
        <w:t>d</w:t>
      </w:r>
      <w:r w:rsidR="00522F41">
        <w:rPr>
          <w:rFonts w:ascii="Gotham Book" w:hAnsi="Gotham Book" w:cs="Times New Roman"/>
          <w:sz w:val="24"/>
          <w:szCs w:val="24"/>
        </w:rPr>
        <w:t xml:space="preserve"> ‘on paper’</w:t>
      </w:r>
      <w:r w:rsidR="0039539A">
        <w:rPr>
          <w:rFonts w:ascii="Gotham Book" w:hAnsi="Gotham Book" w:cs="Times New Roman"/>
          <w:sz w:val="24"/>
          <w:szCs w:val="24"/>
        </w:rPr>
        <w:t xml:space="preserve"> but </w:t>
      </w:r>
      <w:r w:rsidR="001208BB">
        <w:rPr>
          <w:rFonts w:ascii="Gotham Book" w:hAnsi="Gotham Book" w:cs="Times New Roman"/>
          <w:sz w:val="24"/>
          <w:szCs w:val="24"/>
        </w:rPr>
        <w:t>as they are</w:t>
      </w:r>
      <w:r w:rsidR="00D05253">
        <w:rPr>
          <w:rFonts w:ascii="Gotham Book" w:hAnsi="Gotham Book" w:cs="Times New Roman"/>
          <w:sz w:val="24"/>
          <w:szCs w:val="24"/>
        </w:rPr>
        <w:t xml:space="preserve"> </w:t>
      </w:r>
      <w:r w:rsidR="001208BB">
        <w:rPr>
          <w:rFonts w:ascii="Gotham Book" w:hAnsi="Gotham Book" w:cs="Times New Roman"/>
          <w:sz w:val="24"/>
          <w:szCs w:val="24"/>
        </w:rPr>
        <w:t>so much</w:t>
      </w:r>
      <w:r w:rsidR="00F845D5">
        <w:rPr>
          <w:rFonts w:ascii="Gotham Book" w:hAnsi="Gotham Book" w:cs="Times New Roman"/>
          <w:sz w:val="24"/>
          <w:szCs w:val="24"/>
        </w:rPr>
        <w:t xml:space="preserve"> less exposed</w:t>
      </w:r>
      <w:r w:rsidR="001208BB">
        <w:rPr>
          <w:rFonts w:ascii="Gotham Book" w:hAnsi="Gotham Book" w:cs="Times New Roman"/>
          <w:sz w:val="24"/>
          <w:szCs w:val="24"/>
        </w:rPr>
        <w:t xml:space="preserve"> this stance is reasonable</w:t>
      </w:r>
      <w:r w:rsidR="00F845D5">
        <w:rPr>
          <w:rFonts w:ascii="Gotham Book" w:hAnsi="Gotham Book" w:cs="Times New Roman"/>
          <w:sz w:val="24"/>
          <w:szCs w:val="24"/>
        </w:rPr>
        <w:t>.</w:t>
      </w:r>
    </w:p>
    <w:p w:rsidR="00511DC8" w:rsidRPr="004821CB" w:rsidRDefault="00511DC8" w:rsidP="00511DC8">
      <w:pPr>
        <w:rPr>
          <w:rFonts w:ascii="Gotham Book" w:hAnsi="Gotham Book"/>
          <w:sz w:val="24"/>
          <w:szCs w:val="24"/>
        </w:rPr>
      </w:pPr>
      <w:r>
        <w:rPr>
          <w:rFonts w:ascii="Gotham Book" w:hAnsi="Gotham Book" w:cs="Times New Roman"/>
          <w:sz w:val="24"/>
          <w:szCs w:val="24"/>
        </w:rPr>
        <w:t xml:space="preserve">The two Australian </w:t>
      </w:r>
      <w:proofErr w:type="spellStart"/>
      <w:r>
        <w:rPr>
          <w:rFonts w:ascii="Gotham Book" w:hAnsi="Gotham Book" w:cs="Times New Roman"/>
          <w:sz w:val="24"/>
          <w:szCs w:val="24"/>
        </w:rPr>
        <w:t>gentailers</w:t>
      </w:r>
      <w:proofErr w:type="spellEnd"/>
      <w:r>
        <w:rPr>
          <w:rFonts w:ascii="Gotham Book" w:hAnsi="Gotham Book" w:cs="Times New Roman"/>
          <w:sz w:val="24"/>
          <w:szCs w:val="24"/>
        </w:rPr>
        <w:t xml:space="preserve"> seem to have lost their way with respect to their approach to long term business planning under a 2° C constrained world. They risk failing their shareholders. Both have adopted and later dropped vital commitments to ensure continued long-term profitability. They need to </w:t>
      </w:r>
      <w:r w:rsidR="00C233E6">
        <w:rPr>
          <w:rFonts w:ascii="Gotham Book" w:hAnsi="Gotham Book" w:cs="Times New Roman"/>
          <w:sz w:val="24"/>
          <w:szCs w:val="24"/>
        </w:rPr>
        <w:t>re-</w:t>
      </w:r>
      <w:r>
        <w:rPr>
          <w:rFonts w:ascii="Gotham Book" w:hAnsi="Gotham Book" w:cs="Times New Roman"/>
          <w:sz w:val="24"/>
          <w:szCs w:val="24"/>
        </w:rPr>
        <w:t xml:space="preserve">establish </w:t>
      </w:r>
      <w:r w:rsidR="00C233E6">
        <w:rPr>
          <w:rFonts w:ascii="Gotham Book" w:hAnsi="Gotham Book" w:cs="Times New Roman"/>
          <w:sz w:val="24"/>
          <w:szCs w:val="24"/>
        </w:rPr>
        <w:t>appropriate</w:t>
      </w:r>
      <w:r>
        <w:rPr>
          <w:rFonts w:ascii="Gotham Book" w:hAnsi="Gotham Book" w:cs="Times New Roman"/>
          <w:sz w:val="24"/>
          <w:szCs w:val="24"/>
        </w:rPr>
        <w:t xml:space="preserve"> targets and stick with them.</w:t>
      </w:r>
    </w:p>
    <w:p w:rsidR="004821CB" w:rsidRPr="00BF0A6C" w:rsidRDefault="004821CB" w:rsidP="00BF0A6C">
      <w:pPr>
        <w:rPr>
          <w:rFonts w:ascii="Gotham Book" w:hAnsi="Gotham Book"/>
          <w:sz w:val="24"/>
        </w:rPr>
      </w:pPr>
    </w:p>
    <w:sectPr w:rsidR="004821CB" w:rsidRPr="00BF0A6C" w:rsidSect="002918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5A" w:rsidRDefault="00177E5A" w:rsidP="002819EE">
      <w:pPr>
        <w:spacing w:after="0" w:line="240" w:lineRule="auto"/>
      </w:pPr>
      <w:r>
        <w:separator/>
      </w:r>
    </w:p>
  </w:endnote>
  <w:endnote w:type="continuationSeparator" w:id="0">
    <w:p w:rsidR="00177E5A" w:rsidRDefault="00177E5A" w:rsidP="002819EE">
      <w:pPr>
        <w:spacing w:after="0" w:line="240" w:lineRule="auto"/>
      </w:pPr>
      <w:r>
        <w:continuationSeparator/>
      </w:r>
    </w:p>
  </w:endnote>
  <w:endnote w:type="continuationNotice" w:id="1">
    <w:p w:rsidR="00177E5A" w:rsidRDefault="00177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ok">
    <w:altName w:val="Times New Roman"/>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F0" w:rsidRDefault="002C4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11521"/>
      <w:docPartObj>
        <w:docPartGallery w:val="Page Numbers (Bottom of Page)"/>
        <w:docPartUnique/>
      </w:docPartObj>
    </w:sdtPr>
    <w:sdtEndPr>
      <w:rPr>
        <w:noProof/>
      </w:rPr>
    </w:sdtEndPr>
    <w:sdtContent>
      <w:p w:rsidR="002C4DF0" w:rsidRDefault="002C4DF0">
        <w:pPr>
          <w:pStyle w:val="Footer"/>
        </w:pPr>
        <w:r>
          <w:fldChar w:fldCharType="begin"/>
        </w:r>
        <w:r>
          <w:instrText xml:space="preserve"> PAGE   \* MERGEFORMAT </w:instrText>
        </w:r>
        <w:r>
          <w:fldChar w:fldCharType="separate"/>
        </w:r>
        <w:r w:rsidR="00A409FE">
          <w:rPr>
            <w:noProof/>
          </w:rPr>
          <w:t>14</w:t>
        </w:r>
        <w:r>
          <w:rPr>
            <w:noProof/>
          </w:rPr>
          <w:fldChar w:fldCharType="end"/>
        </w:r>
        <w:r>
          <w:rPr>
            <w:noProof/>
          </w:rPr>
          <w:t xml:space="preserve">      </w:t>
        </w:r>
        <w:r>
          <w:rPr>
            <w:noProof/>
          </w:rPr>
          <w:tab/>
          <w:t xml:space="preserve">                Australasian Centre for Corporate Responsibility</w:t>
        </w:r>
      </w:p>
    </w:sdtContent>
  </w:sdt>
  <w:p w:rsidR="002C4DF0" w:rsidRDefault="002C4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F0" w:rsidRDefault="002C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5A" w:rsidRDefault="00177E5A" w:rsidP="002819EE">
      <w:pPr>
        <w:spacing w:after="0" w:line="240" w:lineRule="auto"/>
      </w:pPr>
      <w:r>
        <w:separator/>
      </w:r>
    </w:p>
  </w:footnote>
  <w:footnote w:type="continuationSeparator" w:id="0">
    <w:p w:rsidR="00177E5A" w:rsidRDefault="00177E5A" w:rsidP="002819EE">
      <w:pPr>
        <w:spacing w:after="0" w:line="240" w:lineRule="auto"/>
      </w:pPr>
      <w:r>
        <w:continuationSeparator/>
      </w:r>
    </w:p>
  </w:footnote>
  <w:footnote w:type="continuationNotice" w:id="1">
    <w:p w:rsidR="00177E5A" w:rsidRDefault="00177E5A">
      <w:pPr>
        <w:spacing w:after="0" w:line="240" w:lineRule="auto"/>
      </w:pPr>
    </w:p>
  </w:footnote>
  <w:footnote w:id="2">
    <w:p w:rsidR="002C4DF0" w:rsidRPr="00AF5F09" w:rsidRDefault="002C4DF0" w:rsidP="002819EE">
      <w:pPr>
        <w:pStyle w:val="FootnoteText"/>
        <w:rPr>
          <w:rFonts w:ascii="Gotham Book" w:hAnsi="Gotham Book"/>
        </w:rPr>
      </w:pPr>
      <w:r w:rsidRPr="00AF5F09">
        <w:rPr>
          <w:rStyle w:val="FootnoteReference"/>
          <w:rFonts w:ascii="Gotham Book" w:hAnsi="Gotham Book"/>
        </w:rPr>
        <w:footnoteRef/>
      </w:r>
      <w:r w:rsidRPr="00AF5F09">
        <w:rPr>
          <w:rFonts w:ascii="Gotham Book" w:hAnsi="Gotham Book"/>
        </w:rPr>
        <w:t xml:space="preserve"> Howard is the Research Director at the ACCR. </w:t>
      </w:r>
      <w:r>
        <w:rPr>
          <w:rFonts w:ascii="Gotham Book" w:hAnsi="Gotham Book"/>
        </w:rPr>
        <w:t xml:space="preserve">Howard would like to thank Tom Swann and Richard </w:t>
      </w:r>
      <w:proofErr w:type="spellStart"/>
      <w:r>
        <w:rPr>
          <w:rFonts w:ascii="Gotham Book" w:hAnsi="Gotham Book"/>
        </w:rPr>
        <w:t>Denniss</w:t>
      </w:r>
      <w:proofErr w:type="spellEnd"/>
      <w:r>
        <w:rPr>
          <w:rFonts w:ascii="Gotham Book" w:hAnsi="Gotham Book"/>
        </w:rPr>
        <w:t xml:space="preserve"> for past assistance in the area covered by this paper. He would also like to thank Tim Buckley and staff at AGL and Origin for their engagement during the preparation of this document. All opinions and views expressed (including any calculations based on publicly available data) are those of the ACCR. </w:t>
      </w:r>
    </w:p>
  </w:footnote>
  <w:footnote w:id="3">
    <w:p w:rsidR="00020C0D" w:rsidRDefault="00020C0D">
      <w:pPr>
        <w:pStyle w:val="FootnoteText"/>
      </w:pPr>
      <w:r>
        <w:rPr>
          <w:rStyle w:val="FootnoteReference"/>
        </w:rPr>
        <w:footnoteRef/>
      </w:r>
      <w:r>
        <w:t xml:space="preserve"> Contact plans to dual list by September 2015.</w:t>
      </w:r>
    </w:p>
  </w:footnote>
  <w:footnote w:id="4">
    <w:p w:rsidR="002C4DF0" w:rsidRPr="00135C4B" w:rsidRDefault="002C4DF0" w:rsidP="00AF584F">
      <w:pPr>
        <w:pStyle w:val="FootnoteText"/>
      </w:pPr>
      <w:r>
        <w:rPr>
          <w:rStyle w:val="FootnoteReference"/>
        </w:rPr>
        <w:footnoteRef/>
      </w:r>
      <w:r>
        <w:t xml:space="preserve"> For a more extensive discussion of public policy, investment risk and company valuations see </w:t>
      </w:r>
      <w:r w:rsidRPr="00135C4B">
        <w:rPr>
          <w:i/>
        </w:rPr>
        <w:t>Climate proofing your investments: moving funds out fossil fuels</w:t>
      </w:r>
      <w:r>
        <w:rPr>
          <w:i/>
        </w:rPr>
        <w:t xml:space="preserve">, </w:t>
      </w:r>
      <w:r>
        <w:t xml:space="preserve">TAI, March 2014 at </w:t>
      </w:r>
      <w:hyperlink r:id="rId1" w:history="1">
        <w:r w:rsidRPr="00B53223">
          <w:rPr>
            <w:rStyle w:val="Hyperlink"/>
          </w:rPr>
          <w:t>http://www.tai.org.au/content/climate-proofing-your-investments-moving-funds-out-fossil-fuels</w:t>
        </w:r>
      </w:hyperlink>
      <w:r>
        <w:t xml:space="preserve"> .</w:t>
      </w:r>
    </w:p>
  </w:footnote>
  <w:footnote w:id="5">
    <w:p w:rsidR="002C4DF0" w:rsidRDefault="002C4DF0" w:rsidP="00FA3CE6">
      <w:pPr>
        <w:pStyle w:val="FootnoteText"/>
      </w:pPr>
      <w:r>
        <w:rPr>
          <w:rStyle w:val="FootnoteReference"/>
        </w:rPr>
        <w:footnoteRef/>
      </w:r>
      <w:r>
        <w:t xml:space="preserve"> Which, globally, exceed renewable subsidies by about a factor of 6, see </w:t>
      </w:r>
      <w:hyperlink r:id="rId2" w:history="1">
        <w:r w:rsidRPr="00CC4086">
          <w:rPr>
            <w:rStyle w:val="Hyperlink"/>
          </w:rPr>
          <w:t>http://newclimateeconomy.net/content/press-release-economic-growth-and-action-climate-change-can-now-be-achieved-together-finds</w:t>
        </w:r>
      </w:hyperlink>
      <w:r>
        <w:t xml:space="preserve"> </w:t>
      </w:r>
      <w:proofErr w:type="gramStart"/>
      <w:r>
        <w:t>.</w:t>
      </w:r>
      <w:proofErr w:type="gramEnd"/>
    </w:p>
  </w:footnote>
  <w:footnote w:id="6">
    <w:p w:rsidR="002C4DF0" w:rsidRPr="008743E5" w:rsidRDefault="002C4DF0">
      <w:pPr>
        <w:pStyle w:val="FootnoteText"/>
      </w:pPr>
      <w:r>
        <w:rPr>
          <w:rStyle w:val="FootnoteReference"/>
        </w:rPr>
        <w:footnoteRef/>
      </w:r>
      <w:r>
        <w:t xml:space="preserve"> This reflects Australia's reliance on coal. In tonnes CO</w:t>
      </w:r>
      <w:r>
        <w:rPr>
          <w:vertAlign w:val="subscript"/>
        </w:rPr>
        <w:t>2</w:t>
      </w:r>
      <w:r>
        <w:t xml:space="preserve">e/ MWh brown coal generation intensity is typically 1.2 (Loy Yang A) to 1.5 (Hazelwood); black coal is typically 1 (Eraring); CCGT gas generation is typically 0.5 (Darling Downs), renewables are zero or near zero. See </w:t>
      </w:r>
      <w:bookmarkStart w:id="0" w:name="OLE_LINK1"/>
      <w:bookmarkStart w:id="1" w:name="OLE_LINK2"/>
      <w:r>
        <w:t xml:space="preserve">ACIL Allen Consulting </w:t>
      </w:r>
      <w:r w:rsidRPr="009144CE">
        <w:rPr>
          <w:i/>
        </w:rPr>
        <w:t>Emission Factors</w:t>
      </w:r>
      <w:r>
        <w:rPr>
          <w:i/>
        </w:rPr>
        <w:t xml:space="preserve"> </w:t>
      </w:r>
      <w:r>
        <w:t xml:space="preserve">2014 at </w:t>
      </w:r>
      <w:hyperlink r:id="rId3" w:history="1">
        <w:r w:rsidRPr="008743E5">
          <w:rPr>
            <w:rStyle w:val="Hyperlink"/>
          </w:rPr>
          <w:t>www.aemo.com.</w:t>
        </w:r>
        <w:r w:rsidRPr="008743E5">
          <w:rPr>
            <w:rStyle w:val="Hyperlink"/>
            <w:bCs/>
          </w:rPr>
          <w:t>au</w:t>
        </w:r>
      </w:hyperlink>
      <w:r w:rsidRPr="008743E5">
        <w:rPr>
          <w:rStyle w:val="HTMLCite"/>
          <w:i w:val="0"/>
          <w:iCs w:val="0"/>
        </w:rPr>
        <w:t xml:space="preserve"> .</w:t>
      </w:r>
    </w:p>
    <w:bookmarkEnd w:id="0"/>
    <w:bookmarkEnd w:id="1"/>
  </w:footnote>
  <w:footnote w:id="7">
    <w:p w:rsidR="002C4DF0" w:rsidRDefault="002C4DF0">
      <w:pPr>
        <w:pStyle w:val="FootnoteText"/>
      </w:pPr>
      <w:r>
        <w:rPr>
          <w:rStyle w:val="FootnoteReference"/>
        </w:rPr>
        <w:footnoteRef/>
      </w:r>
      <w:r>
        <w:t xml:space="preserve"> In most OECD countries since 1990 small emissions increases have been driven by population and GDP growth offset by reductions in energy and carbon intensity. By contrast in Australia significantly faster than average emissions growth has only been offset by a reduction in energy intensity. Note that emissions intensity of power generation has fallen in the past 10 years in Australia, but it rose rapidly beforehand and is now at similar levels to what it was in 1990.</w:t>
      </w:r>
    </w:p>
  </w:footnote>
  <w:footnote w:id="8">
    <w:p w:rsidR="002C4DF0" w:rsidRDefault="002C4DF0" w:rsidP="00FA3CE6">
      <w:pPr>
        <w:pStyle w:val="FootnoteText"/>
      </w:pPr>
      <w:r>
        <w:rPr>
          <w:rStyle w:val="FootnoteReference"/>
        </w:rPr>
        <w:footnoteRef/>
      </w:r>
      <w:r>
        <w:t xml:space="preserve"> In 2011 Estonia was the only OECD country with carbon intensity of energy supply in excess of that in Australia. Kosovo, North Korea and Mongolia were the only non-OECD countries in this category. The carbon intensity of the New Zealand power grid was 74% below world average in 2011 but this figure varies significantly across time in NZ. See </w:t>
      </w:r>
      <w:r w:rsidRPr="00F34C96">
        <w:rPr>
          <w:i/>
        </w:rPr>
        <w:t>CO</w:t>
      </w:r>
      <w:r w:rsidRPr="00F34C96">
        <w:rPr>
          <w:i/>
          <w:vertAlign w:val="subscript"/>
        </w:rPr>
        <w:t>2</w:t>
      </w:r>
      <w:r w:rsidRPr="00F34C96">
        <w:rPr>
          <w:i/>
        </w:rPr>
        <w:t xml:space="preserve"> emissions from fuel combustion</w:t>
      </w:r>
      <w:r>
        <w:rPr>
          <w:i/>
        </w:rPr>
        <w:t xml:space="preserve"> (highlights)</w:t>
      </w:r>
      <w:r>
        <w:t xml:space="preserve">, </w:t>
      </w:r>
      <w:r w:rsidRPr="00F34C96">
        <w:rPr>
          <w:i/>
        </w:rPr>
        <w:t>2013</w:t>
      </w:r>
      <w:r>
        <w:t xml:space="preserve">, IEA, 2013 </w:t>
      </w:r>
      <w:hyperlink r:id="rId4" w:history="1">
        <w:r w:rsidRPr="0001455E">
          <w:rPr>
            <w:rStyle w:val="Hyperlink"/>
          </w:rPr>
          <w:t>http://www.iea.org/publications/freepublications/publication/co2emissionsfromfuelcombustionhighlights2013.pdf</w:t>
        </w:r>
      </w:hyperlink>
      <w:r>
        <w:t xml:space="preserve">   pp 92, 93, 110 &amp; 113.</w:t>
      </w:r>
    </w:p>
  </w:footnote>
  <w:footnote w:id="9">
    <w:p w:rsidR="002C4DF0" w:rsidRDefault="002C4DF0" w:rsidP="00326285">
      <w:pPr>
        <w:pStyle w:val="FootnoteText"/>
      </w:pPr>
      <w:r>
        <w:rPr>
          <w:rStyle w:val="FootnoteReference"/>
        </w:rPr>
        <w:footnoteRef/>
      </w:r>
      <w:r>
        <w:t xml:space="preserve"> Export of LNG has recently commenced from QLD which is connected by pipeline to the major Australian east coast gas markets so domestic pricing now reflects international pressures not solely local supply and demand. Note that brown coal is not tradable and little value is generally ascribed to brown coal reserves.</w:t>
      </w:r>
    </w:p>
  </w:footnote>
  <w:footnote w:id="10">
    <w:p w:rsidR="002C4DF0" w:rsidRPr="00BD3171" w:rsidRDefault="002C4DF0" w:rsidP="00FA3CE6">
      <w:pPr>
        <w:pStyle w:val="FootnoteText"/>
      </w:pPr>
      <w:r>
        <w:rPr>
          <w:rStyle w:val="FootnoteReference"/>
        </w:rPr>
        <w:footnoteRef/>
      </w:r>
      <w:r>
        <w:t xml:space="preserve"> See </w:t>
      </w:r>
      <w:hyperlink r:id="rId5" w:history="1">
        <w:r w:rsidRPr="0001455E">
          <w:rPr>
            <w:rStyle w:val="Hyperlink"/>
          </w:rPr>
          <w:t>http://ewp.industry.gov.au/</w:t>
        </w:r>
      </w:hyperlink>
      <w:r>
        <w:t xml:space="preserve"> . The Commonwealth has, recently, released </w:t>
      </w:r>
      <w:r w:rsidR="00552870">
        <w:t xml:space="preserve">Australia's 2030 emissions reduction target. See </w:t>
      </w:r>
      <w:hyperlink r:id="rId6" w:history="1">
        <w:r w:rsidR="00552870" w:rsidRPr="00D732F3">
          <w:rPr>
            <w:rStyle w:val="Hyperlink"/>
          </w:rPr>
          <w:t>http://www.dpmc.gov.au/taskforces/unfccc</w:t>
        </w:r>
      </w:hyperlink>
      <w:r w:rsidR="00552870">
        <w:t xml:space="preserve"> . The target is for a 26 to 28% reduction on 2005 emission levels by 2030. Currently, minimal detail is available as to the policies the Commonwealth intends to implement to achieve this target. </w:t>
      </w:r>
      <w:r w:rsidR="002E36D4">
        <w:t>In the lead up to release of the new target, t</w:t>
      </w:r>
      <w:r>
        <w:t xml:space="preserve">he Minerals Council of Australia released a report </w:t>
      </w:r>
      <w:r w:rsidRPr="0009401D">
        <w:rPr>
          <w:i/>
        </w:rPr>
        <w:t>Climate Policy and Australia's Resources Trade</w:t>
      </w:r>
      <w:r w:rsidR="00020C0D">
        <w:t>. T</w:t>
      </w:r>
      <w:r>
        <w:t xml:space="preserve">he </w:t>
      </w:r>
      <w:r w:rsidR="002E36D4">
        <w:t xml:space="preserve">issues paper released by the Commonwealth prior to settling upon the new target, the material accompanying the target announcement and the Minerals Council paper all </w:t>
      </w:r>
      <w:r>
        <w:t xml:space="preserve">ring a very similar note. Australia was one of the first countries to join the UNFCCC which was established in 1992. Despite that fact </w:t>
      </w:r>
      <w:r w:rsidR="002E36D4">
        <w:t xml:space="preserve">all three documents </w:t>
      </w:r>
      <w:r>
        <w:t>are of the view fair international commitment should focus on equalising the costs of abatement from today. So a late starter on the road to decarbonisation, like Australia, should not be expected to absolutely catch up, just play along.  (</w:t>
      </w:r>
      <w:proofErr w:type="gramStart"/>
      <w:r>
        <w:t xml:space="preserve">See  </w:t>
      </w:r>
      <w:proofErr w:type="gramEnd"/>
      <w:r w:rsidR="0099243A">
        <w:fldChar w:fldCharType="begin"/>
      </w:r>
      <w:r w:rsidR="0099243A">
        <w:instrText xml:space="preserve"> HYPERLINK "http://www.minerals.org.au/news/climate_policy_and_australias_resources_trade_-_a_new_report" </w:instrText>
      </w:r>
      <w:r w:rsidR="0099243A">
        <w:fldChar w:fldCharType="separate"/>
      </w:r>
      <w:r w:rsidRPr="00911E66">
        <w:rPr>
          <w:rStyle w:val="Hyperlink"/>
        </w:rPr>
        <w:t>http://www.minerals.org.au/news/climate_policy_and_australias_resources_trade_-_a_new_report</w:t>
      </w:r>
      <w:r w:rsidR="0099243A">
        <w:rPr>
          <w:rStyle w:val="Hyperlink"/>
        </w:rPr>
        <w:fldChar w:fldCharType="end"/>
      </w:r>
      <w:r>
        <w:t xml:space="preserve"> p 35. In 1990 the carbon intensity of Australian energy supply exceeded that of the European OECD countries by one quarter, by 2011 that had grown to one half. The Commonwealth's attitude today to that divergence is best summarised as “more fool them”.</w:t>
      </w:r>
      <w:r w:rsidR="00552870">
        <w:t xml:space="preserve"> </w:t>
      </w:r>
    </w:p>
  </w:footnote>
  <w:footnote w:id="11">
    <w:p w:rsidR="002C4DF0" w:rsidRDefault="002C4DF0">
      <w:pPr>
        <w:pStyle w:val="FootnoteText"/>
      </w:pPr>
      <w:r>
        <w:rPr>
          <w:rStyle w:val="FootnoteReference"/>
        </w:rPr>
        <w:footnoteRef/>
      </w:r>
      <w:r>
        <w:t xml:space="preserve"> For example, a Green/ALP government might commit Australia to, at least, to play the part of a "world average" citizen. Likewise, the attitude of the Australian Coalition parties, in power, in future might resemble more the current attitudes of some of the European conservative parties than the current Abbott government’s climate change scepticism. Already, Australia is being queried internationally for adopting a ‘bludger’s’ attitude to carbon emission commitments.</w:t>
      </w:r>
    </w:p>
  </w:footnote>
  <w:footnote w:id="12">
    <w:p w:rsidR="002C4DF0" w:rsidRDefault="002C4DF0" w:rsidP="0001335C">
      <w:pPr>
        <w:pStyle w:val="FootnoteText"/>
      </w:pPr>
      <w:r>
        <w:rPr>
          <w:rStyle w:val="FootnoteReference"/>
        </w:rPr>
        <w:footnoteRef/>
      </w:r>
      <w:r>
        <w:t xml:space="preserve"> For example, if Australia agreed or was obliged to reduce </w:t>
      </w:r>
      <w:r w:rsidR="006F046E">
        <w:t>the</w:t>
      </w:r>
      <w:r>
        <w:t xml:space="preserve"> carbon intensity</w:t>
      </w:r>
      <w:r w:rsidR="006F046E">
        <w:t xml:space="preserve"> of our energy supply</w:t>
      </w:r>
      <w:r w:rsidR="00466ED1">
        <w:t xml:space="preserve"> sector</w:t>
      </w:r>
      <w:r>
        <w:t xml:space="preserve"> to the world average 2035 2° C consistent requirement we would need to reduce it by </w:t>
      </w:r>
      <w:r w:rsidR="006F046E">
        <w:t>59</w:t>
      </w:r>
      <w:r>
        <w:t>%</w:t>
      </w:r>
      <w:r w:rsidR="006F046E">
        <w:t xml:space="preserve"> on 2005 levels</w:t>
      </w:r>
      <w:r w:rsidR="00466ED1">
        <w:t>, 57.8% on 2011 levels</w:t>
      </w:r>
      <w:r>
        <w:t xml:space="preserve">. The Australian Climate Change Authority currently recommends Australia set a target to reduce emissions by 30% by 2025 and by 40 to 60% by 2030 </w:t>
      </w:r>
      <w:r w:rsidR="006F046E">
        <w:t xml:space="preserve">on 2000 levels </w:t>
      </w:r>
      <w:r>
        <w:t>to ‘catch up’ to other countries</w:t>
      </w:r>
      <w:r w:rsidR="006F046E">
        <w:t xml:space="preserve"> in regard comparative emission measures</w:t>
      </w:r>
      <w:r>
        <w:t xml:space="preserve">. </w:t>
      </w:r>
      <w:r w:rsidR="006F046E">
        <w:t xml:space="preserve">See </w:t>
      </w:r>
      <w:hyperlink r:id="rId7" w:history="1">
        <w:r w:rsidR="006F046E" w:rsidRPr="005129CE">
          <w:rPr>
            <w:rStyle w:val="Hyperlink"/>
          </w:rPr>
          <w:t>http://www.climatechangeauthority.gov.au/special-review/first-draft-report</w:t>
        </w:r>
      </w:hyperlink>
      <w:r w:rsidR="006F046E">
        <w:rPr>
          <w:rStyle w:val="Hyperlink"/>
        </w:rPr>
        <w:t xml:space="preserve">. </w:t>
      </w:r>
      <w:r w:rsidR="006F046E" w:rsidRPr="00466ED1">
        <w:rPr>
          <w:rStyle w:val="Hyperlink"/>
          <w:color w:val="auto"/>
          <w:u w:val="none"/>
        </w:rPr>
        <w:t>Australia's emissions increased 12% between 2000 and 2005 so the Climate Change Authority’s targets are equivalent to reductions of 38% on 2005 levels by 2025 and 47% to 64% by 2030.</w:t>
      </w:r>
      <w:r w:rsidR="006F046E" w:rsidRPr="00466ED1">
        <w:rPr>
          <w:rStyle w:val="Hyperlink"/>
          <w:color w:val="auto"/>
        </w:rPr>
        <w:t xml:space="preserve"> </w:t>
      </w:r>
      <w:r w:rsidR="006F046E">
        <w:t>The current 26 to 28% absolute reduction on 2005 by 2030 target is inadequate to ‘catch up’. Still, if genuine policies are implemented in pursuit of this target significant reductions in energy supply carbon intensity will be necessary.</w:t>
      </w:r>
    </w:p>
  </w:footnote>
  <w:footnote w:id="13">
    <w:p w:rsidR="002C4DF0" w:rsidRDefault="002C4DF0" w:rsidP="0001335C">
      <w:pPr>
        <w:pStyle w:val="FootnoteText"/>
      </w:pPr>
      <w:r>
        <w:rPr>
          <w:rStyle w:val="FootnoteReference"/>
        </w:rPr>
        <w:footnoteRef/>
      </w:r>
      <w:r>
        <w:t xml:space="preserve"> </w:t>
      </w:r>
      <w:proofErr w:type="gramStart"/>
      <w:r>
        <w:t>Because they satisfy the ‘Ramsey inverse elasticity rule of tax design’.</w:t>
      </w:r>
      <w:proofErr w:type="gramEnd"/>
    </w:p>
  </w:footnote>
  <w:footnote w:id="14">
    <w:p w:rsidR="002C4DF0" w:rsidRDefault="002C4DF0" w:rsidP="0001335C">
      <w:pPr>
        <w:pStyle w:val="FootnoteText"/>
      </w:pPr>
      <w:r>
        <w:rPr>
          <w:rStyle w:val="FootnoteReference"/>
        </w:rPr>
        <w:footnoteRef/>
      </w:r>
      <w:r>
        <w:t xml:space="preserve"> Having raised $15.4b in its first two years of operation, the carbon tax was repealed effective 1 July 2014 but already one of Australia's most eminent economists Max </w:t>
      </w:r>
      <w:proofErr w:type="spellStart"/>
      <w:r>
        <w:t>Corden</w:t>
      </w:r>
      <w:proofErr w:type="spellEnd"/>
      <w:r>
        <w:t xml:space="preserve"> is, sensibly, calling for its return. See </w:t>
      </w:r>
      <w:hyperlink r:id="rId8" w:history="1">
        <w:r w:rsidRPr="00B46238">
          <w:rPr>
            <w:rStyle w:val="Hyperlink"/>
          </w:rPr>
          <w:t>http://theconversation.com/for-this-generation-and-the-next-its-time-to-bring-back-the-carbon-tax-38224</w:t>
        </w:r>
      </w:hyperlink>
      <w:r>
        <w:t xml:space="preserve"> . The ALP has foreshadowed its intent to reintroduce carbon </w:t>
      </w:r>
      <w:r w:rsidR="00466ED1">
        <w:t>pricing</w:t>
      </w:r>
      <w:r>
        <w:t xml:space="preserve"> if it wins government at the next Federal election.</w:t>
      </w:r>
    </w:p>
  </w:footnote>
  <w:footnote w:id="15">
    <w:p w:rsidR="002C4DF0" w:rsidRPr="008950AF" w:rsidRDefault="002C4DF0">
      <w:pPr>
        <w:pStyle w:val="FootnoteText"/>
      </w:pPr>
      <w:r>
        <w:rPr>
          <w:rStyle w:val="FootnoteReference"/>
        </w:rPr>
        <w:footnoteRef/>
      </w:r>
      <w:r>
        <w:t xml:space="preserve"> The budget allocation for the Emissions Reduction Fund is $2.55b over four years, indicatively a subsidy of $0.6b pa. </w:t>
      </w:r>
      <w:r w:rsidRPr="0001335C">
        <w:t xml:space="preserve">The first ‘auction’ was held in April 2015. </w:t>
      </w:r>
      <w:r>
        <w:t xml:space="preserve">There is also a plan to introduce a ‘safeguard mechanism’ to ‘ensure that emissions reductions purchased by the Government are not offset by significant rises in emissions elsewhere’. See </w:t>
      </w:r>
      <w:hyperlink r:id="rId9" w:history="1">
        <w:r w:rsidRPr="000948BB">
          <w:rPr>
            <w:rStyle w:val="Hyperlink"/>
          </w:rPr>
          <w:t>http://www.environment.gov.au/climate-change/emissions-reduction-fund/about/safeguard-mechanism</w:t>
        </w:r>
      </w:hyperlink>
      <w:r>
        <w:t xml:space="preserve"> .</w:t>
      </w:r>
    </w:p>
  </w:footnote>
  <w:footnote w:id="16">
    <w:p w:rsidR="002C4DF0" w:rsidRPr="000817CA" w:rsidRDefault="002C4DF0">
      <w:pPr>
        <w:pStyle w:val="FootnoteText"/>
        <w:rPr>
          <w:b/>
        </w:rPr>
      </w:pPr>
      <w:r>
        <w:rPr>
          <w:rStyle w:val="FootnoteReference"/>
        </w:rPr>
        <w:footnoteRef/>
      </w:r>
      <w:r>
        <w:t xml:space="preserve"> The RET which mandates a certain proportion of total generation must derive from renewables is neither a tax nor a subsidy. It is equivalent to a tax on fossil fuel generators paid as a subsidy to renewable generators. Indicatively, if the LRET had remained as originally agreed (41,000 </w:t>
      </w:r>
      <w:proofErr w:type="spellStart"/>
      <w:r>
        <w:t>GWh</w:t>
      </w:r>
      <w:proofErr w:type="spellEnd"/>
      <w:r>
        <w:t xml:space="preserve">) for the next 16 years the NPV of the renewable subsidy is estimated as 80% of $22.4b, </w:t>
      </w:r>
      <w:proofErr w:type="spellStart"/>
      <w:r>
        <w:t>ie</w:t>
      </w:r>
      <w:proofErr w:type="spellEnd"/>
      <w:r>
        <w:t xml:space="preserve"> $17.9b. See </w:t>
      </w:r>
      <w:hyperlink r:id="rId10" w:history="1">
        <w:r w:rsidRPr="00A833BB">
          <w:rPr>
            <w:rStyle w:val="Hyperlink"/>
          </w:rPr>
          <w:t>https://retreview.dpmc.gov.au/appendix-c-executive-summary-acil-allen-modelling-report</w:t>
        </w:r>
      </w:hyperlink>
      <w:r>
        <w:t xml:space="preserve"> . See also Table 1 p 6 of </w:t>
      </w:r>
      <w:r w:rsidRPr="000817CA">
        <w:rPr>
          <w:i/>
        </w:rPr>
        <w:t>Who Wins and Who Loses from changing the</w:t>
      </w:r>
      <w:r>
        <w:rPr>
          <w:i/>
        </w:rPr>
        <w:t xml:space="preserve"> LRET, </w:t>
      </w:r>
      <w:r>
        <w:t xml:space="preserve">2014, IES at </w:t>
      </w:r>
      <w:hyperlink r:id="rId11" w:history="1">
        <w:r w:rsidRPr="002C3E5E">
          <w:rPr>
            <w:rStyle w:val="Hyperlink"/>
          </w:rPr>
          <w:t>http://downloads.iesys.com/Insider/Insider%20017.pdf</w:t>
        </w:r>
      </w:hyperlink>
      <w:r>
        <w:t xml:space="preserve"> . At a Treasury bond rate of 3% $17.9b equates to an annual renewable subsidy of $1.4b over the next 16 years. Note that the annual value of this subsidy is fairly small at present building up slowly. Political agreement has been reached to pare back the target to 33,000 </w:t>
      </w:r>
      <w:proofErr w:type="spellStart"/>
      <w:r>
        <w:t>GWh</w:t>
      </w:r>
      <w:proofErr w:type="spellEnd"/>
      <w:r>
        <w:t>. So, the new LRET annual producer subsidy equivalent is likely to be less than $1b pa. The NPV of the Small – Scale Renewable Energy Scheme (SRES) is estimated as $4.5b over the next 16 years by the ACIL-</w:t>
      </w:r>
      <w:proofErr w:type="spellStart"/>
      <w:r>
        <w:t>Alllen</w:t>
      </w:r>
      <w:proofErr w:type="spellEnd"/>
      <w:r>
        <w:t xml:space="preserve"> report – 20% of $22.4b. This equates to an annual subsidy of $0.4b pa. In the past generous state feed-in tariffs, like the RET, acted like a subsidy for installation of small-scale PV generation funded by a tax on all electricity users. These programs have all ceased. </w:t>
      </w:r>
    </w:p>
  </w:footnote>
  <w:footnote w:id="17">
    <w:p w:rsidR="002C4DF0" w:rsidRPr="00BF068A" w:rsidRDefault="002C4DF0">
      <w:pPr>
        <w:pStyle w:val="FootnoteText"/>
      </w:pPr>
      <w:r>
        <w:rPr>
          <w:rStyle w:val="FootnoteReference"/>
        </w:rPr>
        <w:footnoteRef/>
      </w:r>
      <w:r>
        <w:t xml:space="preserve"> Many of these are focused on transport rather than stationary energy supply, for example, the avgas concessional rate of excise (F8). Some , for example accelerated depreciation against economic life (not generally estimated in the Tax Expenditure statement but partially captured in B73) or the capital works deduction (B75) benefit any capital intensive industry. Immediate deduction of exploration and prospecting costs $0.5b pa (B72). See </w:t>
      </w:r>
      <w:hyperlink r:id="rId12" w:history="1">
        <w:r w:rsidRPr="00B46238">
          <w:rPr>
            <w:rStyle w:val="Hyperlink"/>
          </w:rPr>
          <w:t>http://www.treasury.gov.au/~/media/Treasury/Publications%20and%20Media/Publications/2015/Tax%20Expenditures%20Statement%202014/Downloads/PDF/TES_2014.ashx</w:t>
        </w:r>
      </w:hyperlink>
      <w:r>
        <w:t xml:space="preserve"> . Industry benefits from approximately $5.2b pa fuel tax credits (aka diesel fuel rebate)-there has been significant debate as to whether this should be seen as a ‘tax expenditure’. See, for example, Deloitte Access Economics </w:t>
      </w:r>
      <w:r w:rsidRPr="00BF068A">
        <w:rPr>
          <w:i/>
        </w:rPr>
        <w:t>The economics of fuel taxation in the mining sector</w:t>
      </w:r>
      <w:r>
        <w:rPr>
          <w:i/>
        </w:rPr>
        <w:t xml:space="preserve">, </w:t>
      </w:r>
      <w:r>
        <w:t xml:space="preserve">2014 at </w:t>
      </w:r>
      <w:hyperlink r:id="rId13" w:history="1">
        <w:r w:rsidRPr="00B46238">
          <w:rPr>
            <w:rStyle w:val="Hyperlink"/>
          </w:rPr>
          <w:t>http://www.minerals.org.au/news/the_economics_of_fuel_taxation_in_the_mining_sector</w:t>
        </w:r>
      </w:hyperlink>
      <w:r>
        <w:t xml:space="preserve"> commissioned by the Minerals Council. If fuel excise is seen as a user charge for the public road network then the fuel tax credits for off-public-road transport are eminently sensible and should not be viewed as tax expenditure. However, seen as an energy tax concessional treatment of remote power generation and other non-transport usage is, simply, special interest industry assistance. Seen against this benchmark the tax expenditure to fossil fuel use (excluding the transport sector) is some $4.2b each year but this covers transport use in mining and agriculture as well as stationary energy supply and other non-transport usage. The text assumes roughly half of this is attributable to non-transport use, for example, stationary energy supply, </w:t>
      </w:r>
      <w:proofErr w:type="spellStart"/>
      <w:r>
        <w:t>ie</w:t>
      </w:r>
      <w:proofErr w:type="spellEnd"/>
      <w:r>
        <w:t xml:space="preserve"> a tax expenditure of $2b pa. The</w:t>
      </w:r>
    </w:p>
  </w:footnote>
  <w:footnote w:id="18">
    <w:p w:rsidR="002C4DF0" w:rsidRPr="00376555" w:rsidRDefault="002C4DF0">
      <w:pPr>
        <w:pStyle w:val="FootnoteText"/>
      </w:pPr>
      <w:r>
        <w:rPr>
          <w:rStyle w:val="FootnoteReference"/>
        </w:rPr>
        <w:footnoteRef/>
      </w:r>
      <w:r>
        <w:t xml:space="preserve"> These are estimated around $1.9b pa over the past six years ,</w:t>
      </w:r>
      <w:proofErr w:type="spellStart"/>
      <w:r>
        <w:t>ie</w:t>
      </w:r>
      <w:proofErr w:type="spellEnd"/>
      <w:r>
        <w:t xml:space="preserve"> $11.6b in total in TAI, </w:t>
      </w:r>
      <w:r w:rsidRPr="00376555">
        <w:rPr>
          <w:i/>
        </w:rPr>
        <w:t>Mining the Age of Entitlement</w:t>
      </w:r>
      <w:r>
        <w:t xml:space="preserve">, 2014 figure 1 but excluding ‘Mining other than coal’, ‘Multiple’ &amp; ‘Minerals processing’. See </w:t>
      </w:r>
      <w:hyperlink r:id="rId14" w:history="1">
        <w:r w:rsidRPr="00B46238">
          <w:rPr>
            <w:rStyle w:val="Hyperlink"/>
          </w:rPr>
          <w:t>http://www.tai.org.au/content/mining-age-entitlement</w:t>
        </w:r>
      </w:hyperlink>
      <w:r>
        <w:t xml:space="preserve"> . </w:t>
      </w:r>
    </w:p>
  </w:footnote>
  <w:footnote w:id="19">
    <w:p w:rsidR="002C4DF0" w:rsidRDefault="002C4DF0">
      <w:pPr>
        <w:pStyle w:val="FootnoteText"/>
      </w:pPr>
      <w:r>
        <w:rPr>
          <w:rStyle w:val="FootnoteReference"/>
        </w:rPr>
        <w:footnoteRef/>
      </w:r>
      <w:r>
        <w:t xml:space="preserve"> This figure assumes $3.2b of the annual cost of fuel tax credits should not be treated as a tax expense because it relates to transport use and fuel excise for transport use should be understood as a user charge for the public road network. It also excludes other transport related fossil fuel tax expenditures.</w:t>
      </w:r>
    </w:p>
  </w:footnote>
  <w:footnote w:id="20">
    <w:p w:rsidR="002C4DF0" w:rsidRDefault="002C4DF0">
      <w:pPr>
        <w:pStyle w:val="FootnoteText"/>
      </w:pPr>
      <w:r>
        <w:rPr>
          <w:rStyle w:val="FootnoteReference"/>
        </w:rPr>
        <w:footnoteRef/>
      </w:r>
      <w:r>
        <w:t xml:space="preserve"> This comprises $0.6b Direct Action plus $1.4b RET equivalent subsidy for renewable generation - $1b pa new LRET plus $0.4b SRES. </w:t>
      </w:r>
    </w:p>
  </w:footnote>
  <w:footnote w:id="21">
    <w:p w:rsidR="002C4DF0" w:rsidRDefault="002C4DF0">
      <w:pPr>
        <w:pStyle w:val="FootnoteText"/>
      </w:pPr>
      <w:r>
        <w:rPr>
          <w:rStyle w:val="FootnoteReference"/>
        </w:rPr>
        <w:footnoteRef/>
      </w:r>
      <w:r>
        <w:t xml:space="preserve"> This comprises an assumed $2b pa fuel tax credit for non-transport use plus $1.9b state government industry assistance plus fossil fuel industry share of $0.5b immediate deduction for exploration and prospecting plus accelerated depreciation (not estimated). </w:t>
      </w:r>
    </w:p>
  </w:footnote>
  <w:footnote w:id="22">
    <w:p w:rsidR="002C4DF0" w:rsidRDefault="002C4DF0">
      <w:pPr>
        <w:pStyle w:val="FootnoteText"/>
      </w:pPr>
      <w:r>
        <w:rPr>
          <w:rStyle w:val="FootnoteReference"/>
        </w:rPr>
        <w:footnoteRef/>
      </w:r>
      <w:r>
        <w:t xml:space="preserve"> The situation is strongly reminiscent of Black Jack McEwen’s mantra ‘protection all-round’.</w:t>
      </w:r>
    </w:p>
  </w:footnote>
  <w:footnote w:id="23">
    <w:p w:rsidR="002C4DF0" w:rsidRDefault="002C4DF0">
      <w:pPr>
        <w:pStyle w:val="FootnoteText"/>
      </w:pPr>
      <w:r>
        <w:rPr>
          <w:rStyle w:val="FootnoteReference"/>
        </w:rPr>
        <w:footnoteRef/>
      </w:r>
      <w:r>
        <w:t xml:space="preserve"> That target is to reduce emissions by 5% on 2000 levels by 2020. See </w:t>
      </w:r>
      <w:hyperlink r:id="rId15" w:history="1">
        <w:r w:rsidRPr="003F10DB">
          <w:rPr>
            <w:rStyle w:val="Hyperlink"/>
          </w:rPr>
          <w:t>http://climatechangeauthority.gov.au/files/files/Target-Progress-Review/Targets%20and%20Progress%20Review%20Final%20Report.pdf</w:t>
        </w:r>
      </w:hyperlink>
      <w:r>
        <w:t xml:space="preserve"> . For an assessment of efficacy see </w:t>
      </w:r>
      <w:hyperlink r:id="rId16" w:history="1">
        <w:r w:rsidRPr="003F10DB">
          <w:rPr>
            <w:rStyle w:val="Hyperlink"/>
          </w:rPr>
          <w:t>http://www.aph.gov.au/About_Parliament/Parliamentary_Departments/Parliamentary_Library/pubs/rp/BudgetReview201415/Emissions</w:t>
        </w:r>
      </w:hyperlink>
      <w:r>
        <w:t xml:space="preserve"> .</w:t>
      </w:r>
    </w:p>
  </w:footnote>
  <w:footnote w:id="24">
    <w:p w:rsidR="002C4DF0" w:rsidRPr="0030647E" w:rsidRDefault="002C4DF0" w:rsidP="0030647E">
      <w:pPr>
        <w:pStyle w:val="FootnoteText"/>
      </w:pPr>
      <w:r>
        <w:rPr>
          <w:rStyle w:val="FootnoteReference"/>
        </w:rPr>
        <w:footnoteRef/>
      </w:r>
      <w:r>
        <w:t xml:space="preserve"> </w:t>
      </w:r>
      <w:r w:rsidRPr="0030647E">
        <w:t xml:space="preserve">For example, in the US, the EPA is implementing emissions standards for new power plants and targeted emission reduction plans for the portfolio of existing power stations in each state. See </w:t>
      </w:r>
      <w:hyperlink r:id="rId17" w:history="1">
        <w:r w:rsidRPr="0030647E">
          <w:rPr>
            <w:rStyle w:val="Hyperlink"/>
          </w:rPr>
          <w:t>http://www2.epa.gov/carbon-pollution-standards</w:t>
        </w:r>
      </w:hyperlink>
      <w:r w:rsidRPr="0030647E">
        <w:t xml:space="preserve"> .</w:t>
      </w:r>
    </w:p>
  </w:footnote>
  <w:footnote w:id="25">
    <w:p w:rsidR="002C4DF0" w:rsidRDefault="002C4DF0" w:rsidP="00466ED1">
      <w:pPr>
        <w:spacing w:after="0" w:line="240" w:lineRule="auto"/>
      </w:pPr>
      <w:r w:rsidRPr="0030647E">
        <w:rPr>
          <w:rStyle w:val="FootnoteReference"/>
          <w:sz w:val="20"/>
          <w:szCs w:val="20"/>
        </w:rPr>
        <w:footnoteRef/>
      </w:r>
      <w:r w:rsidRPr="0030647E">
        <w:rPr>
          <w:sz w:val="20"/>
          <w:szCs w:val="20"/>
        </w:rPr>
        <w:t xml:space="preserve"> See Investor Group on Climate Change Australia and New Zealand , Position paper on Post 2020 emission reduction targets for Australia, April 2015, at </w:t>
      </w:r>
      <w:hyperlink r:id="rId18" w:history="1">
        <w:r w:rsidRPr="0030647E">
          <w:rPr>
            <w:rStyle w:val="Hyperlink"/>
            <w:sz w:val="20"/>
            <w:szCs w:val="20"/>
          </w:rPr>
          <w:t>http://www.igcc.org.au/Resources/Documents/IGCC%20INDC%20discussion%20paper_150424.pdf</w:t>
        </w:r>
      </w:hyperlink>
    </w:p>
  </w:footnote>
  <w:footnote w:id="26">
    <w:p w:rsidR="002C4DF0" w:rsidRDefault="002C4DF0" w:rsidP="00466ED1">
      <w:pPr>
        <w:pStyle w:val="FootnoteText"/>
      </w:pPr>
      <w:r>
        <w:rPr>
          <w:rStyle w:val="FootnoteReference"/>
        </w:rPr>
        <w:footnoteRef/>
      </w:r>
      <w:r>
        <w:t xml:space="preserve"> Wholesale energy prices are not regulated. Retail price regulation is in the process of being phased out. In regards gas only New South Wales regulates prices for small customers. In regards electricity regulation has been phased out in Victoria, NSW, </w:t>
      </w:r>
      <w:proofErr w:type="gramStart"/>
      <w:r>
        <w:t>SA</w:t>
      </w:r>
      <w:proofErr w:type="gramEnd"/>
      <w:r>
        <w:t xml:space="preserve"> and will be phased out in SE QLD in July 2015. See </w:t>
      </w:r>
      <w:hyperlink r:id="rId19" w:history="1">
        <w:r w:rsidRPr="007E1A1E">
          <w:rPr>
            <w:rStyle w:val="Hyperlink"/>
          </w:rPr>
          <w:t>https://www.aer.gov.au/sites/default/files/State%20of%20the%20energy%20market%202014%20-%20Chapter%205%20-%20Energy%20retail%20markets%20A4_0.pdf</w:t>
        </w:r>
      </w:hyperlink>
      <w:r>
        <w:t xml:space="preserve"> . Prices paid to the state owned statutory bodies and private owners that have responsibility for the electricity networks are regulated.</w:t>
      </w:r>
    </w:p>
  </w:footnote>
  <w:footnote w:id="27">
    <w:p w:rsidR="002C4DF0" w:rsidRDefault="002C4DF0">
      <w:pPr>
        <w:pStyle w:val="FootnoteText"/>
      </w:pPr>
      <w:r>
        <w:rPr>
          <w:rStyle w:val="FootnoteReference"/>
        </w:rPr>
        <w:footnoteRef/>
      </w:r>
      <w:r>
        <w:t xml:space="preserve"> Since 2009 total electricity demand has been falling. In 2014 it was similar to 2000 levels in all states bar Queensland. Peak demand has also been falling in recent years. See Wood, T et al </w:t>
      </w:r>
      <w:proofErr w:type="spellStart"/>
      <w:r>
        <w:t>Sundown</w:t>
      </w:r>
      <w:proofErr w:type="gramStart"/>
      <w:r>
        <w:t>,sunrise</w:t>
      </w:r>
      <w:proofErr w:type="spellEnd"/>
      <w:proofErr w:type="gramEnd"/>
      <w:r>
        <w:t xml:space="preserve">: How Australia Can Finally Get Solar Power Right, Grattan Institute, 2015 p 7.  See also Nelson, T et al, </w:t>
      </w:r>
      <w:r w:rsidRPr="00466ED1">
        <w:rPr>
          <w:i/>
        </w:rPr>
        <w:t>Energy – only markets and renewable energy targets: complementary policy or policy collision</w:t>
      </w:r>
      <w:r>
        <w:t>, Economic Analysis and Policy, Vol 46, Jun 2015.  Of the three cost components of energy supply - wholesale costs, network costs and retailing costs network costs account for the largest share. However, reflecting a legacy of historical regulated pricing arrangements network costs are currently, inappropriately, partially recovered from usage prices paid by consumers. The AEMC (Australian Energy Market Commission) will require network businesses to develop electricity pricing structures that better reflect cost structures by 2017.</w:t>
      </w:r>
    </w:p>
  </w:footnote>
  <w:footnote w:id="28">
    <w:p w:rsidR="002C4DF0" w:rsidRDefault="002C4DF0">
      <w:pPr>
        <w:pStyle w:val="FootnoteText"/>
      </w:pPr>
      <w:r>
        <w:rPr>
          <w:rStyle w:val="FootnoteReference"/>
        </w:rPr>
        <w:footnoteRef/>
      </w:r>
      <w:r>
        <w:t xml:space="preserve"> Whilst, given current budgetary stringency, these are more likely to take the form of taxes or reduced subsidies or subsidy equivalents it is conceivable they could provide some immediate benefit to the Australian </w:t>
      </w:r>
      <w:proofErr w:type="spellStart"/>
      <w:r>
        <w:t>gentailers</w:t>
      </w:r>
      <w:proofErr w:type="spellEnd"/>
      <w:r>
        <w:t xml:space="preserve"> in the form of increased subsidies to do things they were already, anyway planning to do.</w:t>
      </w:r>
    </w:p>
  </w:footnote>
  <w:footnote w:id="29">
    <w:p w:rsidR="002C4DF0" w:rsidRPr="000C22BF" w:rsidRDefault="002C4DF0" w:rsidP="00917603">
      <w:pPr>
        <w:spacing w:after="0" w:line="240" w:lineRule="auto"/>
        <w:rPr>
          <w:sz w:val="20"/>
          <w:szCs w:val="20"/>
        </w:rPr>
      </w:pPr>
      <w:r>
        <w:rPr>
          <w:rStyle w:val="FootnoteReference"/>
        </w:rPr>
        <w:footnoteRef/>
      </w:r>
      <w:r>
        <w:t xml:space="preserve"> </w:t>
      </w:r>
      <w:r w:rsidRPr="000C22BF">
        <w:rPr>
          <w:sz w:val="20"/>
          <w:szCs w:val="20"/>
        </w:rPr>
        <w:t xml:space="preserve">Many of the base-load power stations operated by Australian </w:t>
      </w:r>
      <w:proofErr w:type="spellStart"/>
      <w:r w:rsidRPr="000C22BF">
        <w:rPr>
          <w:sz w:val="20"/>
          <w:szCs w:val="20"/>
        </w:rPr>
        <w:t>gentailers</w:t>
      </w:r>
      <w:proofErr w:type="spellEnd"/>
      <w:r w:rsidRPr="000C22BF">
        <w:rPr>
          <w:sz w:val="20"/>
          <w:szCs w:val="20"/>
        </w:rPr>
        <w:t xml:space="preserve"> today were first commissioned 30 to 50 years ago.</w:t>
      </w:r>
      <w:r>
        <w:rPr>
          <w:sz w:val="20"/>
          <w:szCs w:val="20"/>
        </w:rPr>
        <w:t xml:space="preserve"> Indicative working lifespan is about 50 years.</w:t>
      </w:r>
    </w:p>
  </w:footnote>
  <w:footnote w:id="30">
    <w:p w:rsidR="002C4DF0" w:rsidRDefault="002C4DF0">
      <w:pPr>
        <w:pStyle w:val="FootnoteText"/>
      </w:pPr>
      <w:r>
        <w:rPr>
          <w:rStyle w:val="FootnoteReference"/>
        </w:rPr>
        <w:footnoteRef/>
      </w:r>
      <w:r>
        <w:t xml:space="preserve"> Evidently, the extent of the economic impact will depend on future life. For example, the AGL owned Liddell was commissioned between 1971 and </w:t>
      </w:r>
      <w:proofErr w:type="gramStart"/>
      <w:r>
        <w:t>1973 ,</w:t>
      </w:r>
      <w:proofErr w:type="gramEnd"/>
      <w:r>
        <w:t xml:space="preserve"> </w:t>
      </w:r>
      <w:proofErr w:type="spellStart"/>
      <w:r>
        <w:t>ie</w:t>
      </w:r>
      <w:proofErr w:type="spellEnd"/>
      <w:r>
        <w:t xml:space="preserve"> over 40 years ago and is scheduled for closure in 2022, see p 717 of </w:t>
      </w:r>
      <w:hyperlink r:id="rId20" w:history="1">
        <w:r w:rsidRPr="00661164">
          <w:rPr>
            <w:rStyle w:val="Hyperlink"/>
          </w:rPr>
          <w:t>http://www.competitiontribunal.gov.au/__data/assets/pdf_file/0006/24873/AF21-Confidential-Restriction-on-Publication-Claimed.pdf</w:t>
        </w:r>
      </w:hyperlink>
      <w:r>
        <w:t xml:space="preserve"> . Bayswater, also owned by AGL was commissioned between 1985 and 1986.  Eraring, owned by Origin, was commissioned between 1982 and 1984. Loy Yang B owned by GDF Suez and Mitsui was commissioned only 20 years ago. The entire Australian ‘fleet’ is aged - the mean age of brown and black coal power stations is 34.2 and 27.4 years respectively. See Nelson, T et al, </w:t>
      </w:r>
      <w:r w:rsidRPr="00E82DEB">
        <w:rPr>
          <w:i/>
        </w:rPr>
        <w:t>Energy – only markets and renewable energy targets: complementary policy or policy collision</w:t>
      </w:r>
      <w:r>
        <w:t xml:space="preserve">, Economic Analysis and Policy, Vol 46, Jun 2015. </w:t>
      </w:r>
    </w:p>
  </w:footnote>
  <w:footnote w:id="31">
    <w:p w:rsidR="002C4DF0" w:rsidRDefault="002C4DF0" w:rsidP="000C22BF">
      <w:pPr>
        <w:pStyle w:val="FootnoteText"/>
      </w:pPr>
      <w:r>
        <w:rPr>
          <w:rStyle w:val="FootnoteReference"/>
        </w:rPr>
        <w:footnoteRef/>
      </w:r>
      <w:r>
        <w:t xml:space="preserve"> Unless state owned reserves are not used in greater proportion to their current share of total reserves.</w:t>
      </w:r>
    </w:p>
  </w:footnote>
  <w:footnote w:id="32">
    <w:p w:rsidR="002C4DF0" w:rsidRDefault="002C4DF0">
      <w:pPr>
        <w:pStyle w:val="FootnoteText"/>
      </w:pPr>
      <w:r>
        <w:rPr>
          <w:rStyle w:val="FootnoteReference"/>
        </w:rPr>
        <w:footnoteRef/>
      </w:r>
      <w:r>
        <w:t xml:space="preserve"> By </w:t>
      </w:r>
      <w:proofErr w:type="spellStart"/>
      <w:r>
        <w:t>GWh</w:t>
      </w:r>
      <w:proofErr w:type="spellEnd"/>
      <w:r>
        <w:t xml:space="preserve"> unless otherwise noted.</w:t>
      </w:r>
    </w:p>
  </w:footnote>
  <w:footnote w:id="33">
    <w:p w:rsidR="002C4DF0" w:rsidRPr="00A7132E" w:rsidRDefault="002C4DF0">
      <w:pPr>
        <w:pStyle w:val="FootnoteText"/>
        <w:rPr>
          <w:b/>
        </w:rPr>
      </w:pPr>
      <w:r>
        <w:rPr>
          <w:rStyle w:val="FootnoteReference"/>
        </w:rPr>
        <w:footnoteRef/>
      </w:r>
      <w:r>
        <w:t xml:space="preserve"> </w:t>
      </w:r>
      <w:r w:rsidRPr="00FF29A6">
        <w:t>By revenue AGL</w:t>
      </w:r>
      <w:r>
        <w:t xml:space="preserve"> is roughly 80% an</w:t>
      </w:r>
      <w:r w:rsidRPr="00FF29A6">
        <w:t xml:space="preserve"> electricity company, 20% a gas company.</w:t>
      </w:r>
      <w:r>
        <w:t xml:space="preserve"> AGL’s accounts do not facilitate an understanding of this split up. By revenue, its retail energy operation is about 73% electricity, by gross margin wholesale operations are roughly 86% electricity. </w:t>
      </w:r>
      <w:r w:rsidRPr="00C462F8">
        <w:rPr>
          <w:rFonts w:ascii="Calibri" w:hAnsi="Calibri"/>
        </w:rPr>
        <w:t xml:space="preserve">Less than 5% of their </w:t>
      </w:r>
      <w:r>
        <w:rPr>
          <w:rFonts w:ascii="Calibri" w:hAnsi="Calibri"/>
        </w:rPr>
        <w:t xml:space="preserve">identified segment assets are oil and gas reserves. The AGL balance sheet does not separately identify brown coal reserves but any value ascribed is likely minimal. </w:t>
      </w:r>
      <w:r>
        <w:t>See the 2014 4E pp 18 &amp; 22 of Directors Report and pp 24</w:t>
      </w:r>
      <w:proofErr w:type="gramStart"/>
      <w:r>
        <w:t>,35</w:t>
      </w:r>
      <w:proofErr w:type="gramEnd"/>
      <w:r>
        <w:t xml:space="preserve"> and 36 of the Financial Statements. AGL’s operations are conducted in Australia.</w:t>
      </w:r>
    </w:p>
  </w:footnote>
  <w:footnote w:id="34">
    <w:p w:rsidR="002C4DF0" w:rsidRDefault="002C4DF0">
      <w:pPr>
        <w:pStyle w:val="FootnoteText"/>
      </w:pPr>
      <w:r>
        <w:rPr>
          <w:rStyle w:val="FootnoteReference"/>
        </w:rPr>
        <w:footnoteRef/>
      </w:r>
      <w:r>
        <w:t xml:space="preserve"> The 19% figure is for 13/14, </w:t>
      </w:r>
      <w:proofErr w:type="spellStart"/>
      <w:r>
        <w:t>ie</w:t>
      </w:r>
      <w:proofErr w:type="spellEnd"/>
      <w:r>
        <w:t xml:space="preserve"> prior to the purchase of Macquarie Generation in September 2014. See p 14 of the 2014 Annual Report. The 9.1% is a pro forma estimate on the counterfactual assumption AGL had acquired Macquarie Generation on 1 July 2013. Pro forma AGL’s generation output is roughly split brown coal 33%, black coal 53%, gas 4%, </w:t>
      </w:r>
      <w:proofErr w:type="gramStart"/>
      <w:r>
        <w:t>renewables</w:t>
      </w:r>
      <w:proofErr w:type="gramEnd"/>
      <w:r>
        <w:t xml:space="preserve"> 10%. This estimate assumes output from Liddell &amp; Bayswater is 23000 </w:t>
      </w:r>
      <w:proofErr w:type="spellStart"/>
      <w:r>
        <w:t>GWh</w:t>
      </w:r>
      <w:proofErr w:type="spellEnd"/>
      <w:r>
        <w:t xml:space="preserve"> pa, see </w:t>
      </w:r>
      <w:hyperlink r:id="rId21" w:history="1">
        <w:r w:rsidRPr="00A936E1">
          <w:rPr>
            <w:rStyle w:val="Hyperlink"/>
          </w:rPr>
          <w:t>http://www.agl.com.au/about-agl/how-we-source-energy/thermal-energy/agl-macquarie</w:t>
        </w:r>
      </w:hyperlink>
      <w:proofErr w:type="gramStart"/>
      <w:r>
        <w:t xml:space="preserve"> </w:t>
      </w:r>
      <w:proofErr w:type="gramEnd"/>
      <w:r>
        <w:t xml:space="preserve"> . See also</w:t>
      </w:r>
      <w:r w:rsidRPr="000327C2">
        <w:t xml:space="preserve"> </w:t>
      </w:r>
      <w:hyperlink r:id="rId22" w:history="1">
        <w:r w:rsidRPr="00A936E1">
          <w:rPr>
            <w:rStyle w:val="Hyperlink"/>
          </w:rPr>
          <w:t>http://aglblog.com.au/2014/07/agls-electricity-generation-portfolio-201314/</w:t>
        </w:r>
      </w:hyperlink>
      <w:r>
        <w:t xml:space="preserve"> .</w:t>
      </w:r>
    </w:p>
  </w:footnote>
  <w:footnote w:id="35">
    <w:p w:rsidR="002C4DF0" w:rsidRDefault="002C4DF0">
      <w:pPr>
        <w:pStyle w:val="FootnoteText"/>
      </w:pPr>
      <w:r>
        <w:rPr>
          <w:rStyle w:val="FootnoteReference"/>
        </w:rPr>
        <w:footnoteRef/>
      </w:r>
      <w:r>
        <w:t xml:space="preserve"> See </w:t>
      </w:r>
      <w:hyperlink r:id="rId23" w:history="1">
        <w:r w:rsidRPr="000F4D9C">
          <w:rPr>
            <w:rStyle w:val="Hyperlink"/>
          </w:rPr>
          <w:t>http://www.agl.com.au/about-agl/media-centre/article-list/2012/jun/agl-completes-purchase-of-loy-yang-a-power-station-and-adjacent-mine</w:t>
        </w:r>
      </w:hyperlink>
      <w:r>
        <w:t xml:space="preserve"> .</w:t>
      </w:r>
    </w:p>
  </w:footnote>
  <w:footnote w:id="36">
    <w:p w:rsidR="002C4DF0" w:rsidRDefault="002C4DF0">
      <w:pPr>
        <w:pStyle w:val="FootnoteText"/>
      </w:pPr>
      <w:r>
        <w:rPr>
          <w:rStyle w:val="FootnoteReference"/>
        </w:rPr>
        <w:footnoteRef/>
      </w:r>
      <w:r>
        <w:t xml:space="preserve"> Macquarie generation owns and operates the Bayswater and Liddell black coal fired power stations in NSW. It is the largest domestic buyer of NSW coal. See </w:t>
      </w:r>
      <w:hyperlink r:id="rId24" w:history="1">
        <w:r w:rsidRPr="000F4D9C">
          <w:rPr>
            <w:rStyle w:val="Hyperlink"/>
          </w:rPr>
          <w:t>http://www.agl.com.au/about-agl/how-we-source-energy/thermal-energy/agl-macquarie</w:t>
        </w:r>
      </w:hyperlink>
      <w:r>
        <w:t xml:space="preserve"> .</w:t>
      </w:r>
    </w:p>
  </w:footnote>
  <w:footnote w:id="37">
    <w:p w:rsidR="002C4DF0" w:rsidRDefault="002C4DF0">
      <w:pPr>
        <w:pStyle w:val="FootnoteText"/>
      </w:pPr>
      <w:r>
        <w:rPr>
          <w:rStyle w:val="FootnoteReference"/>
        </w:rPr>
        <w:footnoteRef/>
      </w:r>
      <w:r>
        <w:t xml:space="preserve"> Approximately 65% of </w:t>
      </w:r>
      <w:proofErr w:type="spellStart"/>
      <w:r>
        <w:t>Infratil’s</w:t>
      </w:r>
      <w:proofErr w:type="spellEnd"/>
      <w:r>
        <w:t xml:space="preserve"> assets are energy-related including 40% renewable (</w:t>
      </w:r>
      <w:proofErr w:type="spellStart"/>
      <w:r>
        <w:t>Trustpower</w:t>
      </w:r>
      <w:proofErr w:type="spellEnd"/>
      <w:r>
        <w:t xml:space="preserve">). </w:t>
      </w:r>
      <w:proofErr w:type="gramStart"/>
      <w:r>
        <w:t>See p 40 2014 Annual Report.</w:t>
      </w:r>
      <w:proofErr w:type="gramEnd"/>
    </w:p>
  </w:footnote>
  <w:footnote w:id="38">
    <w:p w:rsidR="002C4DF0" w:rsidRDefault="002C4DF0">
      <w:pPr>
        <w:pStyle w:val="FootnoteText"/>
      </w:pPr>
      <w:r>
        <w:rPr>
          <w:rStyle w:val="FootnoteReference"/>
        </w:rPr>
        <w:footnoteRef/>
      </w:r>
      <w:r>
        <w:t xml:space="preserve"> </w:t>
      </w:r>
      <w:proofErr w:type="spellStart"/>
      <w:r>
        <w:t>Infratil</w:t>
      </w:r>
      <w:proofErr w:type="spellEnd"/>
      <w:r>
        <w:t xml:space="preserve"> Energy Australia and Perth Energy have </w:t>
      </w:r>
      <w:proofErr w:type="gramStart"/>
      <w:r>
        <w:t>285MW  gas</w:t>
      </w:r>
      <w:proofErr w:type="gramEnd"/>
      <w:r>
        <w:t>-fired generation capacity.</w:t>
      </w:r>
    </w:p>
  </w:footnote>
  <w:footnote w:id="39">
    <w:p w:rsidR="002C4DF0" w:rsidRDefault="002C4DF0">
      <w:pPr>
        <w:pStyle w:val="FootnoteText"/>
      </w:pPr>
      <w:r>
        <w:rPr>
          <w:rStyle w:val="FootnoteReference"/>
        </w:rPr>
        <w:footnoteRef/>
      </w:r>
      <w:r>
        <w:t xml:space="preserve"> But note </w:t>
      </w:r>
      <w:proofErr w:type="spellStart"/>
      <w:r>
        <w:t>Infratil’s</w:t>
      </w:r>
      <w:proofErr w:type="spellEnd"/>
      <w:r>
        <w:t xml:space="preserve"> investment in </w:t>
      </w:r>
      <w:proofErr w:type="spellStart"/>
      <w:r>
        <w:t>Trustpower</w:t>
      </w:r>
      <w:proofErr w:type="spellEnd"/>
      <w:r>
        <w:t>( which is 100% renewables) represented 40% of the book value of assets as at 31 March 2014</w:t>
      </w:r>
    </w:p>
  </w:footnote>
  <w:footnote w:id="40">
    <w:p w:rsidR="002C4DF0" w:rsidRDefault="002C4DF0">
      <w:pPr>
        <w:pStyle w:val="FootnoteText"/>
      </w:pPr>
      <w:r>
        <w:rPr>
          <w:rStyle w:val="FootnoteReference"/>
        </w:rPr>
        <w:footnoteRef/>
      </w:r>
      <w:r>
        <w:t xml:space="preserve"> Origin is best thought of, to date, as: a conventional gas explorer, reserve owner and wholesale producer (about 7% of revenue in 13/14); a gas and LPG vendor (about 15% of revenue), most of the balance (78%) of revenue is due to electricity generation and retailing in 13/14. In addition it is an owner of CSG reserves and CSG supplier to LNG plant through its interest in Australia Pacific LNG. See Origin 2014 Annual Report pp 17-27 &amp; 75. </w:t>
      </w:r>
    </w:p>
  </w:footnote>
  <w:footnote w:id="41">
    <w:p w:rsidR="002C4DF0" w:rsidRDefault="002C4DF0">
      <w:pPr>
        <w:pStyle w:val="FootnoteText"/>
      </w:pPr>
      <w:r>
        <w:rPr>
          <w:rStyle w:val="FootnoteReference"/>
        </w:rPr>
        <w:footnoteRef/>
      </w:r>
      <w:r>
        <w:t xml:space="preserve"> The 0.06% refers to Origin’s ‘internal generation portfolio’, </w:t>
      </w:r>
      <w:proofErr w:type="spellStart"/>
      <w:r>
        <w:t>ie</w:t>
      </w:r>
      <w:proofErr w:type="spellEnd"/>
      <w:r>
        <w:t xml:space="preserve"> excludes Contact Energy which was 53% owned by Origin until August 2015. See p 20 of the 2014 Annual Report. Origin’s internal generation is roughly split 66% black coal (Eraring), 33.4% gas &amp; 0.6% renewable.   Like AGL, Origin's operations are focused on </w:t>
      </w:r>
      <w:proofErr w:type="gramStart"/>
      <w:r>
        <w:t>Australia,</w:t>
      </w:r>
      <w:proofErr w:type="gramEnd"/>
      <w:r>
        <w:t xml:space="preserve"> however, Origin does derive 1% of its revenue outside Australia.</w:t>
      </w:r>
    </w:p>
  </w:footnote>
  <w:footnote w:id="42">
    <w:p w:rsidR="002C4DF0" w:rsidRDefault="002C4DF0">
      <w:pPr>
        <w:pStyle w:val="FootnoteText"/>
      </w:pPr>
      <w:r>
        <w:rPr>
          <w:rStyle w:val="FootnoteReference"/>
        </w:rPr>
        <w:footnoteRef/>
      </w:r>
      <w:r>
        <w:t xml:space="preserve"> Australia Pacific LNG owns CSG reserves in Qld and is anticipated to commence export of LNG from its Curtis Island CSG to LNG facility in mid-2015.</w:t>
      </w:r>
    </w:p>
  </w:footnote>
  <w:footnote w:id="43">
    <w:p w:rsidR="002C4DF0" w:rsidRDefault="002C4DF0">
      <w:pPr>
        <w:pStyle w:val="FootnoteText"/>
      </w:pPr>
      <w:r>
        <w:rPr>
          <w:rStyle w:val="FootnoteReference"/>
        </w:rPr>
        <w:footnoteRef/>
      </w:r>
      <w:r>
        <w:t xml:space="preserve"> </w:t>
      </w:r>
      <w:proofErr w:type="gramStart"/>
      <w:r>
        <w:t>See p 14 Contact Energy 2014 Annual Report.</w:t>
      </w:r>
      <w:proofErr w:type="gramEnd"/>
      <w:r>
        <w:t xml:space="preserve"> </w:t>
      </w:r>
    </w:p>
  </w:footnote>
  <w:footnote w:id="44">
    <w:p w:rsidR="00466ED1" w:rsidRPr="00466ED1" w:rsidRDefault="00466ED1">
      <w:pPr>
        <w:pStyle w:val="FootnoteText"/>
      </w:pPr>
      <w:r>
        <w:rPr>
          <w:rStyle w:val="FootnoteReference"/>
        </w:rPr>
        <w:footnoteRef/>
      </w:r>
      <w:r>
        <w:t xml:space="preserve"> </w:t>
      </w:r>
      <w:r w:rsidRPr="00466ED1">
        <w:t>Such changes might stem, for example, from the implementation of policies directed towards achievement of the recently announced 26 -28% target or stronger steps to move in the direction of becoming at least a ‘world average citizen’.</w:t>
      </w:r>
    </w:p>
  </w:footnote>
  <w:footnote w:id="45">
    <w:p w:rsidR="002C4DF0" w:rsidRDefault="002C4DF0">
      <w:pPr>
        <w:pStyle w:val="FootnoteText"/>
      </w:pPr>
      <w:r w:rsidRPr="00466ED1">
        <w:rPr>
          <w:rStyle w:val="FootnoteReference"/>
        </w:rPr>
        <w:footnoteRef/>
      </w:r>
      <w:r w:rsidRPr="00466ED1">
        <w:t xml:space="preserve"> But they are more significant to Origin</w:t>
      </w:r>
      <w:r>
        <w:t>. In regard generation plant capacity 5% of Origin's (excluding Contact Energy</w:t>
      </w:r>
      <w:proofErr w:type="gramStart"/>
      <w:r>
        <w:t>)  and</w:t>
      </w:r>
      <w:proofErr w:type="gramEnd"/>
      <w:r>
        <w:t xml:space="preserve"> 17% of AGL's is renewable. Neither company would appear to be highly exposed to </w:t>
      </w:r>
      <w:proofErr w:type="gramStart"/>
      <w:r>
        <w:t>stranded  reserve</w:t>
      </w:r>
      <w:proofErr w:type="gramEnd"/>
      <w:r>
        <w:t xml:space="preserve"> balance sheet risk by international standards. Origin has no coal reserves, AGL's brown coal reserves are of minimal value. Both have gas reserves but they are less likely near term candidates for write-downs. The risks to operations and to the longevity of the power stations are more significant. </w:t>
      </w:r>
    </w:p>
  </w:footnote>
  <w:footnote w:id="46">
    <w:p w:rsidR="002C4DF0" w:rsidRDefault="002C4DF0">
      <w:pPr>
        <w:pStyle w:val="FootnoteText"/>
      </w:pPr>
      <w:r>
        <w:rPr>
          <w:rStyle w:val="FootnoteReference"/>
        </w:rPr>
        <w:footnoteRef/>
      </w:r>
      <w:r>
        <w:t xml:space="preserve"> </w:t>
      </w:r>
      <w:proofErr w:type="gramStart"/>
      <w:r>
        <w:t>Based on contribution to cash flow from operations.</w:t>
      </w:r>
      <w:proofErr w:type="gramEnd"/>
      <w:r>
        <w:t xml:space="preserve"> </w:t>
      </w:r>
      <w:proofErr w:type="gramStart"/>
      <w:r>
        <w:t xml:space="preserve">See p 54 </w:t>
      </w:r>
      <w:hyperlink r:id="rId25" w:history="1">
        <w:r w:rsidRPr="000948BB">
          <w:rPr>
            <w:rStyle w:val="Hyperlink"/>
          </w:rPr>
          <w:t>http://www.originenergy.com.au/content/dam/origin/about/investors-media/results-presentation-investment-analysts-2014.pdf</w:t>
        </w:r>
      </w:hyperlink>
      <w:r>
        <w:t xml:space="preserve"> .</w:t>
      </w:r>
      <w:proofErr w:type="gramEnd"/>
    </w:p>
  </w:footnote>
  <w:footnote w:id="47">
    <w:p w:rsidR="002C4DF0" w:rsidRDefault="002C4DF0" w:rsidP="00900FA3">
      <w:pPr>
        <w:pStyle w:val="FootnoteText"/>
      </w:pPr>
      <w:r>
        <w:rPr>
          <w:rStyle w:val="FootnoteReference"/>
        </w:rPr>
        <w:footnoteRef/>
      </w:r>
      <w:r>
        <w:t xml:space="preserve"> See </w:t>
      </w:r>
      <w:hyperlink r:id="rId26" w:history="1">
        <w:r w:rsidRPr="00EB1CF7">
          <w:rPr>
            <w:rStyle w:val="Hyperlink"/>
          </w:rPr>
          <w:t>http://igcc.org.au/Resources/Documents/Climate-Change-Investment-Solutions-GuideFINAL.pdf</w:t>
        </w:r>
      </w:hyperlink>
      <w:r>
        <w:t xml:space="preserve"> p 15.</w:t>
      </w:r>
    </w:p>
  </w:footnote>
  <w:footnote w:id="48">
    <w:p w:rsidR="002C4DF0" w:rsidRDefault="002C4DF0">
      <w:pPr>
        <w:pStyle w:val="FootnoteText"/>
      </w:pPr>
      <w:r>
        <w:rPr>
          <w:rStyle w:val="FootnoteReference"/>
        </w:rPr>
        <w:footnoteRef/>
      </w:r>
      <w:r>
        <w:t xml:space="preserve"> The ratings in this column are sourced from the EIRIS/CAER profiles of each company. Assessed responses range from ‘No evidence’ through ‘Limited’’ and ‘Intermediate’ to ‘Good’ and ‘Exceptional’. EIRIS rates over 3000 companies worldwide. Management response to climate change is assessed using four criteria - policy and governance, management and strategy, disclosure, performance and innovation. Each criterion is assessed by evaluating the fulfilment of various indicators. For example, the criterion ‘performance and innovation’ includes indicators such as recent ‘reductions in operational emissions’ &amp; ‘operational efficiency relative to sector’.</w:t>
      </w:r>
    </w:p>
  </w:footnote>
  <w:footnote w:id="49">
    <w:p w:rsidR="002C4DF0" w:rsidRDefault="002C4DF0">
      <w:pPr>
        <w:pStyle w:val="FootnoteText"/>
      </w:pPr>
      <w:r>
        <w:rPr>
          <w:rStyle w:val="FootnoteReference"/>
        </w:rPr>
        <w:footnoteRef/>
      </w:r>
      <w:r>
        <w:t xml:space="preserve"> Note this </w:t>
      </w:r>
      <w:r w:rsidR="00A409FE">
        <w:t>was</w:t>
      </w:r>
      <w:r>
        <w:t xml:space="preserve"> the EIRIS/CAER assessment of the situation at AGL uniformly assessed across a database of over 3000 listed companies</w:t>
      </w:r>
      <w:r w:rsidR="00A409FE">
        <w:t xml:space="preserve"> as at November 2014, </w:t>
      </w:r>
      <w:proofErr w:type="spellStart"/>
      <w:r w:rsidR="00A409FE">
        <w:t>ie</w:t>
      </w:r>
      <w:proofErr w:type="spellEnd"/>
      <w:r w:rsidR="00A409FE">
        <w:t xml:space="preserve"> before the announcement of a revised GHG policy in April 2015. </w:t>
      </w:r>
      <w:r>
        <w:t xml:space="preserve"> In their 2015 CDP response at CC3.1 AGL does claim to have absolute targets for emissions reductions. Those targets are: for a 1% reduction from 2013 to 2016 in emissions as a consequence of their commitment to invest in renewable capacity; a 0.3% reduction from 2014 to 2017 as a consequence of their commitment to carbon sequestration at a specific power station; and a 94.2% reduction from 2014 to 2050 as a consequence of their commitment to not build, finance or acquire new conventional coal fired power stations and to close conventional coal fired power stations by 2050. Though none of these plans is formally framed as a quantitative goal for emissions reductions they can, as AGL has </w:t>
      </w:r>
      <w:r w:rsidR="00A409FE">
        <w:t xml:space="preserve">reasonably </w:t>
      </w:r>
      <w:r>
        <w:t xml:space="preserve">done, be equated to such a goal. At CC3.1d AGL notes it made no progress towards any of these goals during the most recent reporting year. See </w:t>
      </w:r>
      <w:hyperlink r:id="rId27" w:history="1">
        <w:r w:rsidRPr="008118D3">
          <w:rPr>
            <w:rStyle w:val="Hyperlink"/>
          </w:rPr>
          <w:t>http://aglblog.com.au/2015/07/agls-cdp-climate-change-2015-response/</w:t>
        </w:r>
      </w:hyperlink>
      <w:r>
        <w:t xml:space="preserve"> .</w:t>
      </w:r>
    </w:p>
  </w:footnote>
  <w:footnote w:id="50">
    <w:p w:rsidR="002C4DF0" w:rsidRDefault="002C4DF0">
      <w:pPr>
        <w:pStyle w:val="FootnoteText"/>
      </w:pPr>
      <w:r>
        <w:rPr>
          <w:rStyle w:val="FootnoteReference"/>
        </w:rPr>
        <w:footnoteRef/>
      </w:r>
      <w:r>
        <w:t xml:space="preserve"> In answer to CDP question CC3.1 in its 2015 response Origin states it did not have an active emissions reduction target during 2013/14. It gives as its reason for not having a target that its absolute emissions are expected to increase. See CC 3.1e. No mention is made of the earlier intensity target.</w:t>
      </w:r>
    </w:p>
  </w:footnote>
  <w:footnote w:id="51">
    <w:p w:rsidR="002C4DF0" w:rsidRDefault="002C4DF0">
      <w:pPr>
        <w:pStyle w:val="FootnoteText"/>
      </w:pPr>
      <w:r>
        <w:rPr>
          <w:rStyle w:val="FootnoteReference"/>
        </w:rPr>
        <w:footnoteRef/>
      </w:r>
      <w:r>
        <w:t xml:space="preserve">See </w:t>
      </w:r>
      <w:hyperlink r:id="rId28" w:history="1">
        <w:r w:rsidRPr="00EB1CF7">
          <w:rPr>
            <w:rStyle w:val="Hyperlink"/>
          </w:rPr>
          <w:t>http://www.agl.com.au/~/media/AGL/About%20AGL/Documents/How%20We%20Source%20Energy/CSG%20and%20the%20Environment/Camden/Northern%20Expansion/V3_Appendix%20H.pdf</w:t>
        </w:r>
      </w:hyperlink>
      <w:r>
        <w:t xml:space="preserve"> p 14.</w:t>
      </w:r>
    </w:p>
  </w:footnote>
  <w:footnote w:id="52">
    <w:p w:rsidR="002C4DF0" w:rsidRDefault="002C4DF0">
      <w:pPr>
        <w:pStyle w:val="FootnoteText"/>
      </w:pPr>
      <w:r>
        <w:rPr>
          <w:rStyle w:val="FootnoteReference"/>
        </w:rPr>
        <w:footnoteRef/>
      </w:r>
      <w:r>
        <w:t xml:space="preserve"> See </w:t>
      </w:r>
      <w:hyperlink r:id="rId29" w:history="1">
        <w:r w:rsidRPr="000C0A46">
          <w:rPr>
            <w:rStyle w:val="Hyperlink"/>
          </w:rPr>
          <w:t>http://2012.aglsustainability.com.au/files/assets/basic-html/page68.html</w:t>
        </w:r>
      </w:hyperlink>
      <w:r>
        <w:t xml:space="preserve"> .</w:t>
      </w:r>
    </w:p>
  </w:footnote>
  <w:footnote w:id="53">
    <w:p w:rsidR="002C4DF0" w:rsidRDefault="002C4DF0">
      <w:pPr>
        <w:pStyle w:val="FootnoteText"/>
      </w:pPr>
      <w:r>
        <w:rPr>
          <w:rStyle w:val="FootnoteReference"/>
        </w:rPr>
        <w:footnoteRef/>
      </w:r>
      <w:r>
        <w:t xml:space="preserve"> See </w:t>
      </w:r>
      <w:hyperlink r:id="rId30" w:history="1">
        <w:r w:rsidRPr="000C0A46">
          <w:rPr>
            <w:rStyle w:val="Hyperlink"/>
          </w:rPr>
          <w:t>http://agl2014.sustainability-report.com.au/environment/greenhouse-and-energy</w:t>
        </w:r>
      </w:hyperlink>
      <w:r>
        <w:t xml:space="preserve"> .</w:t>
      </w:r>
    </w:p>
  </w:footnote>
  <w:footnote w:id="54">
    <w:p w:rsidR="002C4DF0" w:rsidRPr="008E1254" w:rsidRDefault="002C4DF0" w:rsidP="00C36CEE">
      <w:pPr>
        <w:pStyle w:val="Heading4"/>
        <w:spacing w:before="0" w:beforeAutospacing="0" w:after="0" w:afterAutospacing="0"/>
        <w:rPr>
          <w:rFonts w:asciiTheme="minorHAnsi" w:hAnsiTheme="minorHAnsi"/>
          <w:b w:val="0"/>
          <w:sz w:val="20"/>
          <w:szCs w:val="20"/>
        </w:rPr>
      </w:pPr>
      <w:r w:rsidRPr="008E1254">
        <w:rPr>
          <w:rStyle w:val="FootnoteReference"/>
          <w:rFonts w:asciiTheme="minorHAnsi" w:hAnsiTheme="minorHAnsi"/>
          <w:b w:val="0"/>
          <w:sz w:val="20"/>
          <w:szCs w:val="20"/>
        </w:rPr>
        <w:footnoteRef/>
      </w:r>
      <w:r w:rsidRPr="008E1254">
        <w:rPr>
          <w:rFonts w:asciiTheme="minorHAnsi" w:hAnsiTheme="minorHAnsi"/>
          <w:b w:val="0"/>
          <w:sz w:val="20"/>
          <w:szCs w:val="20"/>
        </w:rPr>
        <w:t xml:space="preserve"> See the graph entitled ‘Carbon intensity of operated generation assets’ at </w:t>
      </w:r>
      <w:hyperlink r:id="rId31" w:history="1">
        <w:r w:rsidRPr="008E1254">
          <w:rPr>
            <w:rStyle w:val="Hyperlink"/>
            <w:rFonts w:asciiTheme="minorHAnsi" w:hAnsiTheme="minorHAnsi"/>
            <w:b w:val="0"/>
            <w:sz w:val="20"/>
            <w:szCs w:val="20"/>
          </w:rPr>
          <w:t>http://agl2014.sustainability-report.com.au/data-centre/environment</w:t>
        </w:r>
      </w:hyperlink>
      <w:r w:rsidRPr="008E1254">
        <w:rPr>
          <w:rFonts w:asciiTheme="minorHAnsi" w:hAnsiTheme="minorHAnsi"/>
          <w:b w:val="0"/>
          <w:sz w:val="20"/>
          <w:szCs w:val="20"/>
        </w:rPr>
        <w:t xml:space="preserve"> .</w:t>
      </w:r>
    </w:p>
  </w:footnote>
  <w:footnote w:id="55">
    <w:p w:rsidR="002C4DF0" w:rsidRDefault="002C4DF0" w:rsidP="00C36CEE">
      <w:pPr>
        <w:pStyle w:val="FootnoteText"/>
      </w:pPr>
      <w:r>
        <w:rPr>
          <w:rStyle w:val="FootnoteReference"/>
        </w:rPr>
        <w:footnoteRef/>
      </w:r>
      <w:r>
        <w:t xml:space="preserve"> See Fig 18 of ACIL Allen Consulting </w:t>
      </w:r>
      <w:r w:rsidRPr="009144CE">
        <w:rPr>
          <w:i/>
        </w:rPr>
        <w:t>Emission Factors</w:t>
      </w:r>
      <w:r>
        <w:rPr>
          <w:i/>
        </w:rPr>
        <w:t xml:space="preserve"> </w:t>
      </w:r>
      <w:r>
        <w:t xml:space="preserve">2014 at </w:t>
      </w:r>
      <w:hyperlink r:id="rId32" w:history="1">
        <w:r w:rsidRPr="008743E5">
          <w:rPr>
            <w:rStyle w:val="Hyperlink"/>
          </w:rPr>
          <w:t>www.aemo.com.</w:t>
        </w:r>
        <w:r w:rsidRPr="008743E5">
          <w:rPr>
            <w:rStyle w:val="Hyperlink"/>
            <w:bCs/>
          </w:rPr>
          <w:t>au</w:t>
        </w:r>
      </w:hyperlink>
      <w:r w:rsidRPr="008743E5">
        <w:rPr>
          <w:rStyle w:val="HTMLCite"/>
          <w:i w:val="0"/>
          <w:iCs w:val="0"/>
        </w:rPr>
        <w:t xml:space="preserve"> .</w:t>
      </w:r>
    </w:p>
  </w:footnote>
  <w:footnote w:id="56">
    <w:p w:rsidR="002C4DF0" w:rsidRDefault="002C4DF0">
      <w:pPr>
        <w:pStyle w:val="FootnoteText"/>
      </w:pPr>
      <w:r>
        <w:rPr>
          <w:rStyle w:val="FootnoteReference"/>
        </w:rPr>
        <w:footnoteRef/>
      </w:r>
      <w:r>
        <w:t xml:space="preserve"> See </w:t>
      </w:r>
      <w:hyperlink r:id="rId33" w:history="1">
        <w:r w:rsidRPr="005129CE">
          <w:rPr>
            <w:rStyle w:val="Hyperlink"/>
          </w:rPr>
          <w:t>http://www.agl.com.au/~/media/AGL/About%20AGL/Documents/Media%20Center/Corporate%20Governance%20Policies%20Charter/1704015_GHG_Policy_Final.pdf</w:t>
        </w:r>
      </w:hyperlink>
      <w:r>
        <w:t xml:space="preserve"> .</w:t>
      </w:r>
    </w:p>
  </w:footnote>
  <w:footnote w:id="57">
    <w:p w:rsidR="002C4DF0" w:rsidRDefault="002C4DF0">
      <w:pPr>
        <w:pStyle w:val="FootnoteText"/>
      </w:pPr>
      <w:r>
        <w:rPr>
          <w:rStyle w:val="FootnoteReference"/>
        </w:rPr>
        <w:footnoteRef/>
      </w:r>
      <w:r>
        <w:t xml:space="preserve"> On an equity basis, see </w:t>
      </w:r>
      <w:hyperlink r:id="rId34" w:history="1">
        <w:r w:rsidRPr="0044544C">
          <w:rPr>
            <w:rStyle w:val="Hyperlink"/>
          </w:rPr>
          <w:t>http://www.originenergy.com.au/sustainability/sites/default/files/gri_download/GRI_environment.pdf</w:t>
        </w:r>
      </w:hyperlink>
      <w:r>
        <w:t xml:space="preserve"> p 8.</w:t>
      </w:r>
    </w:p>
  </w:footnote>
  <w:footnote w:id="58">
    <w:p w:rsidR="002C4DF0" w:rsidRDefault="002C4DF0">
      <w:pPr>
        <w:pStyle w:val="FootnoteText"/>
      </w:pPr>
      <w:r>
        <w:rPr>
          <w:rStyle w:val="FootnoteReference"/>
        </w:rPr>
        <w:footnoteRef/>
      </w:r>
      <w:r>
        <w:t xml:space="preserve"> See </w:t>
      </w:r>
      <w:hyperlink r:id="rId35" w:history="1">
        <w:r w:rsidRPr="0044544C">
          <w:rPr>
            <w:rStyle w:val="Hyperlink"/>
          </w:rPr>
          <w:t>http://reports.originenergy.com.au/2010/sustainability/gri/energy_use_and_air_emissions/</w:t>
        </w:r>
      </w:hyperlink>
      <w:r>
        <w:t xml:space="preserve"> .</w:t>
      </w:r>
    </w:p>
  </w:footnote>
  <w:footnote w:id="59">
    <w:p w:rsidR="002C4DF0" w:rsidRDefault="002C4DF0">
      <w:pPr>
        <w:pStyle w:val="FootnoteText"/>
      </w:pPr>
      <w:r>
        <w:rPr>
          <w:rStyle w:val="FootnoteReference"/>
        </w:rPr>
        <w:footnoteRef/>
      </w:r>
      <w:r>
        <w:t xml:space="preserve"> That is for electricity supplied to Origin’s customers. AGL’s 2010 commitments also included benchmarking supply chain carbon intensity. Their public disclosure does not appear to track this metric.</w:t>
      </w:r>
    </w:p>
  </w:footnote>
  <w:footnote w:id="60">
    <w:p w:rsidR="002C4DF0" w:rsidRDefault="002C4DF0">
      <w:pPr>
        <w:pStyle w:val="FootnoteText"/>
      </w:pPr>
      <w:r>
        <w:rPr>
          <w:rStyle w:val="FootnoteReference"/>
        </w:rPr>
        <w:footnoteRef/>
      </w:r>
      <w:r>
        <w:t xml:space="preserve"> In the years 2007, 08 and 09 Origin's supply chain emissions intensity was similar to the grid average. See </w:t>
      </w:r>
      <w:hyperlink r:id="rId36" w:anchor="two" w:history="1">
        <w:r w:rsidRPr="0044544C">
          <w:rPr>
            <w:rStyle w:val="Hyperlink"/>
          </w:rPr>
          <w:t>http://reports.originenergy.com.au/2010/sustainability/our_communities/5-year-strategies/#two</w:t>
        </w:r>
      </w:hyperlink>
      <w:r>
        <w:t xml:space="preserve"> . Current disclosure focuses on the emissions intensity of Origin's internal generation which has nearly doubled over the past 3 years on an equity basis. Nevertheless, on an operational control basis it is now about 10% under the grid average. See p 9 of </w:t>
      </w:r>
      <w:hyperlink r:id="rId37" w:history="1">
        <w:r w:rsidRPr="0044544C">
          <w:rPr>
            <w:rStyle w:val="Hyperlink"/>
          </w:rPr>
          <w:t>http://www.originenergy.com.au/sustainability/sites/default/files/gri_download/GRI_environment.pdf</w:t>
        </w:r>
      </w:hyperlink>
      <w:r>
        <w:t xml:space="preserve"> . See also chart 3 of </w:t>
      </w:r>
      <w:hyperlink r:id="rId38" w:history="1">
        <w:r w:rsidRPr="0044544C">
          <w:rPr>
            <w:rStyle w:val="Hyperlink"/>
          </w:rPr>
          <w:t>http://www.originenergy.com.au/sustainability/material-aspects/emissions</w:t>
        </w:r>
      </w:hyperlink>
      <w:r>
        <w:t xml:space="preserve"> . The distinction between electricity sold and generated is significant because Origin retailed over twice the </w:t>
      </w:r>
      <w:proofErr w:type="spellStart"/>
      <w:r>
        <w:t>GWh</w:t>
      </w:r>
      <w:proofErr w:type="spellEnd"/>
      <w:r>
        <w:t xml:space="preserve"> it generated. By contrast, with the purchase of </w:t>
      </w:r>
      <w:proofErr w:type="spellStart"/>
      <w:r>
        <w:t>MacGen</w:t>
      </w:r>
      <w:proofErr w:type="spellEnd"/>
      <w:r>
        <w:t xml:space="preserve">, AGL distributes itself only about two thirds the </w:t>
      </w:r>
      <w:proofErr w:type="spellStart"/>
      <w:r>
        <w:t>GWh</w:t>
      </w:r>
      <w:proofErr w:type="spellEnd"/>
      <w:r>
        <w:t xml:space="preserve"> it generates. See pp 37 &amp; 45 of </w:t>
      </w:r>
      <w:hyperlink r:id="rId39" w:history="1">
        <w:r w:rsidRPr="003F10DB">
          <w:rPr>
            <w:rStyle w:val="Hyperlink"/>
          </w:rPr>
          <w:t>http://www.agl.com.au/~/media/AGL/About%20AGL/Documents/Media%20Center/Investor%20Center/2014/2014Results_Pres_release.pdf</w:t>
        </w:r>
      </w:hyperlink>
      <w:r>
        <w:t xml:space="preserve"> . </w:t>
      </w:r>
    </w:p>
  </w:footnote>
  <w:footnote w:id="61">
    <w:p w:rsidR="002C4DF0" w:rsidRDefault="002C4DF0">
      <w:pPr>
        <w:pStyle w:val="FootnoteText"/>
      </w:pPr>
      <w:r>
        <w:rPr>
          <w:rStyle w:val="FootnoteReference"/>
        </w:rPr>
        <w:footnoteRef/>
      </w:r>
      <w:r>
        <w:t xml:space="preserve"> See 2015 CDP response CC7.1 for base year 08/09 emissions and CC8.3 for reporting year 2013/14 emissions.</w:t>
      </w:r>
    </w:p>
  </w:footnote>
  <w:footnote w:id="62">
    <w:p w:rsidR="002C4DF0" w:rsidRDefault="002C4DF0">
      <w:pPr>
        <w:pStyle w:val="FootnoteText"/>
      </w:pPr>
      <w:r>
        <w:rPr>
          <w:rStyle w:val="FootnoteReference"/>
        </w:rPr>
        <w:footnoteRef/>
      </w:r>
      <w:r>
        <w:t xml:space="preserve"> Shareholder resolutions seeking such targets have been put to numerous US utilities in recent years. Often they have been withdrawn because the company has agreed to address the issue. </w:t>
      </w:r>
      <w:proofErr w:type="gramStart"/>
      <w:r>
        <w:t xml:space="preserve">See  </w:t>
      </w:r>
      <w:proofErr w:type="gramEnd"/>
      <w:hyperlink r:id="rId40" w:anchor="/" w:history="1">
        <w:r w:rsidRPr="00925A0A">
          <w:rPr>
            <w:rStyle w:val="Hyperlink"/>
          </w:rPr>
          <w:t>www.ceres.org/investor-network/resolutions#/</w:t>
        </w:r>
      </w:hyperlink>
      <w:r>
        <w:t xml:space="preserve"> .</w:t>
      </w:r>
    </w:p>
  </w:footnote>
  <w:footnote w:id="63">
    <w:p w:rsidR="002C4DF0" w:rsidRDefault="002C4DF0">
      <w:pPr>
        <w:pStyle w:val="FootnoteText"/>
      </w:pPr>
      <w:r>
        <w:rPr>
          <w:rStyle w:val="FootnoteReference"/>
        </w:rPr>
        <w:footnoteRef/>
      </w:r>
      <w:r>
        <w:t xml:space="preserve"> See </w:t>
      </w:r>
      <w:hyperlink r:id="rId41" w:history="1">
        <w:r w:rsidRPr="00925A0A">
          <w:rPr>
            <w:rStyle w:val="Hyperlink"/>
          </w:rPr>
          <w:t>http://www.aph.gov.au/About_Parliament/Parliamentary_Departments/Parliamentary_Library/pubs/rp/rp1314/ClimateChangeTimeline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F0" w:rsidRDefault="00177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443" o:spid="_x0000_s2056"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F0" w:rsidRDefault="00177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444" o:spid="_x0000_s2057"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DF0" w:rsidRDefault="00177E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442" o:spid="_x0000_s2055"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32"/>
    <w:multiLevelType w:val="hybridMultilevel"/>
    <w:tmpl w:val="690C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26246"/>
    <w:multiLevelType w:val="multilevel"/>
    <w:tmpl w:val="A7A4E864"/>
    <w:lvl w:ilvl="0">
      <w:start w:val="1"/>
      <w:numFmt w:val="decimal"/>
      <w:lvlText w:val="%1."/>
      <w:lvlJc w:val="left"/>
      <w:pPr>
        <w:ind w:left="786" w:hanging="360"/>
      </w:pPr>
      <w:rPr>
        <w:rFonts w:hint="default"/>
      </w:rPr>
    </w:lvl>
    <w:lvl w:ilvl="1">
      <w:start w:val="3"/>
      <w:numFmt w:val="decimal"/>
      <w:isLgl/>
      <w:lvlText w:val="%1.%2"/>
      <w:lvlJc w:val="left"/>
      <w:pPr>
        <w:ind w:left="1004" w:hanging="720"/>
      </w:pPr>
      <w:rPr>
        <w:rFonts w:hint="default"/>
        <w:b/>
        <w:i/>
      </w:rPr>
    </w:lvl>
    <w:lvl w:ilvl="2">
      <w:start w:val="1"/>
      <w:numFmt w:val="decimal"/>
      <w:isLgl/>
      <w:lvlText w:val="%1.%2.%3"/>
      <w:lvlJc w:val="left"/>
      <w:pPr>
        <w:ind w:left="1004" w:hanging="720"/>
      </w:pPr>
      <w:rPr>
        <w:rFonts w:hint="default"/>
        <w:b/>
        <w:i/>
      </w:rPr>
    </w:lvl>
    <w:lvl w:ilvl="3">
      <w:start w:val="1"/>
      <w:numFmt w:val="decimal"/>
      <w:isLgl/>
      <w:lvlText w:val="%1.%2.%3.%4"/>
      <w:lvlJc w:val="left"/>
      <w:pPr>
        <w:ind w:left="1364" w:hanging="1080"/>
      </w:pPr>
      <w:rPr>
        <w:rFonts w:hint="default"/>
        <w:b/>
        <w:i/>
      </w:rPr>
    </w:lvl>
    <w:lvl w:ilvl="4">
      <w:start w:val="1"/>
      <w:numFmt w:val="decimal"/>
      <w:isLgl/>
      <w:lvlText w:val="%1.%2.%3.%4.%5"/>
      <w:lvlJc w:val="left"/>
      <w:pPr>
        <w:ind w:left="1364" w:hanging="1080"/>
      </w:pPr>
      <w:rPr>
        <w:rFonts w:hint="default"/>
        <w:b/>
        <w:i/>
      </w:rPr>
    </w:lvl>
    <w:lvl w:ilvl="5">
      <w:start w:val="1"/>
      <w:numFmt w:val="decimal"/>
      <w:isLgl/>
      <w:lvlText w:val="%1.%2.%3.%4.%5.%6"/>
      <w:lvlJc w:val="left"/>
      <w:pPr>
        <w:ind w:left="1724" w:hanging="1440"/>
      </w:pPr>
      <w:rPr>
        <w:rFonts w:hint="default"/>
        <w:b/>
        <w:i/>
      </w:rPr>
    </w:lvl>
    <w:lvl w:ilvl="6">
      <w:start w:val="1"/>
      <w:numFmt w:val="decimal"/>
      <w:isLgl/>
      <w:lvlText w:val="%1.%2.%3.%4.%5.%6.%7"/>
      <w:lvlJc w:val="left"/>
      <w:pPr>
        <w:ind w:left="2084" w:hanging="1800"/>
      </w:pPr>
      <w:rPr>
        <w:rFonts w:hint="default"/>
        <w:b/>
        <w:i/>
      </w:rPr>
    </w:lvl>
    <w:lvl w:ilvl="7">
      <w:start w:val="1"/>
      <w:numFmt w:val="decimal"/>
      <w:isLgl/>
      <w:lvlText w:val="%1.%2.%3.%4.%5.%6.%7.%8"/>
      <w:lvlJc w:val="left"/>
      <w:pPr>
        <w:ind w:left="2084" w:hanging="1800"/>
      </w:pPr>
      <w:rPr>
        <w:rFonts w:hint="default"/>
        <w:b/>
        <w:i/>
      </w:rPr>
    </w:lvl>
    <w:lvl w:ilvl="8">
      <w:start w:val="1"/>
      <w:numFmt w:val="decimal"/>
      <w:isLgl/>
      <w:lvlText w:val="%1.%2.%3.%4.%5.%6.%7.%8.%9"/>
      <w:lvlJc w:val="left"/>
      <w:pPr>
        <w:ind w:left="2444" w:hanging="2160"/>
      </w:pPr>
      <w:rPr>
        <w:rFonts w:hint="default"/>
        <w:b/>
        <w:i/>
      </w:rPr>
    </w:lvl>
  </w:abstractNum>
  <w:abstractNum w:abstractNumId="2">
    <w:nsid w:val="4BF0778C"/>
    <w:multiLevelType w:val="hybridMultilevel"/>
    <w:tmpl w:val="468014EC"/>
    <w:lvl w:ilvl="0" w:tplc="B038D1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62058D"/>
    <w:multiLevelType w:val="hybridMultilevel"/>
    <w:tmpl w:val="9FE0EE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2246" w:hanging="360"/>
      </w:pPr>
      <w:rPr>
        <w:rFonts w:ascii="Courier New" w:hAnsi="Courier New" w:cs="Courier New" w:hint="default"/>
      </w:rPr>
    </w:lvl>
    <w:lvl w:ilvl="2" w:tplc="0C090005" w:tentative="1">
      <w:start w:val="1"/>
      <w:numFmt w:val="bullet"/>
      <w:lvlText w:val=""/>
      <w:lvlJc w:val="left"/>
      <w:pPr>
        <w:ind w:left="-1526" w:hanging="360"/>
      </w:pPr>
      <w:rPr>
        <w:rFonts w:ascii="Wingdings" w:hAnsi="Wingdings" w:hint="default"/>
      </w:rPr>
    </w:lvl>
    <w:lvl w:ilvl="3" w:tplc="0C090001" w:tentative="1">
      <w:start w:val="1"/>
      <w:numFmt w:val="bullet"/>
      <w:lvlText w:val=""/>
      <w:lvlJc w:val="left"/>
      <w:pPr>
        <w:ind w:left="-806" w:hanging="360"/>
      </w:pPr>
      <w:rPr>
        <w:rFonts w:ascii="Symbol" w:hAnsi="Symbol" w:hint="default"/>
      </w:rPr>
    </w:lvl>
    <w:lvl w:ilvl="4" w:tplc="0C090003" w:tentative="1">
      <w:start w:val="1"/>
      <w:numFmt w:val="bullet"/>
      <w:lvlText w:val="o"/>
      <w:lvlJc w:val="left"/>
      <w:pPr>
        <w:ind w:left="-86" w:hanging="360"/>
      </w:pPr>
      <w:rPr>
        <w:rFonts w:ascii="Courier New" w:hAnsi="Courier New" w:cs="Courier New" w:hint="default"/>
      </w:rPr>
    </w:lvl>
    <w:lvl w:ilvl="5" w:tplc="0C090005" w:tentative="1">
      <w:start w:val="1"/>
      <w:numFmt w:val="bullet"/>
      <w:lvlText w:val=""/>
      <w:lvlJc w:val="left"/>
      <w:pPr>
        <w:ind w:left="634" w:hanging="360"/>
      </w:pPr>
      <w:rPr>
        <w:rFonts w:ascii="Wingdings" w:hAnsi="Wingdings" w:hint="default"/>
      </w:rPr>
    </w:lvl>
    <w:lvl w:ilvl="6" w:tplc="0C090001" w:tentative="1">
      <w:start w:val="1"/>
      <w:numFmt w:val="bullet"/>
      <w:lvlText w:val=""/>
      <w:lvlJc w:val="left"/>
      <w:pPr>
        <w:ind w:left="1354" w:hanging="360"/>
      </w:pPr>
      <w:rPr>
        <w:rFonts w:ascii="Symbol" w:hAnsi="Symbol" w:hint="default"/>
      </w:rPr>
    </w:lvl>
    <w:lvl w:ilvl="7" w:tplc="0C090003" w:tentative="1">
      <w:start w:val="1"/>
      <w:numFmt w:val="bullet"/>
      <w:lvlText w:val="o"/>
      <w:lvlJc w:val="left"/>
      <w:pPr>
        <w:ind w:left="2074" w:hanging="360"/>
      </w:pPr>
      <w:rPr>
        <w:rFonts w:ascii="Courier New" w:hAnsi="Courier New" w:cs="Courier New" w:hint="default"/>
      </w:rPr>
    </w:lvl>
    <w:lvl w:ilvl="8" w:tplc="0C090005" w:tentative="1">
      <w:start w:val="1"/>
      <w:numFmt w:val="bullet"/>
      <w:lvlText w:val=""/>
      <w:lvlJc w:val="left"/>
      <w:pPr>
        <w:ind w:left="2794" w:hanging="360"/>
      </w:pPr>
      <w:rPr>
        <w:rFonts w:ascii="Wingdings" w:hAnsi="Wingdings" w:hint="default"/>
      </w:rPr>
    </w:lvl>
  </w:abstractNum>
  <w:abstractNum w:abstractNumId="4">
    <w:nsid w:val="53412EDF"/>
    <w:multiLevelType w:val="hybridMultilevel"/>
    <w:tmpl w:val="6282B3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7E3481"/>
    <w:multiLevelType w:val="hybridMultilevel"/>
    <w:tmpl w:val="24CAA7BC"/>
    <w:lvl w:ilvl="0" w:tplc="53509F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EDC30E2"/>
    <w:multiLevelType w:val="hybridMultilevel"/>
    <w:tmpl w:val="0094AB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2819EE"/>
    <w:rsid w:val="000006C5"/>
    <w:rsid w:val="0000744F"/>
    <w:rsid w:val="00007E62"/>
    <w:rsid w:val="00011C3D"/>
    <w:rsid w:val="0001335C"/>
    <w:rsid w:val="00013795"/>
    <w:rsid w:val="00020C0D"/>
    <w:rsid w:val="00022144"/>
    <w:rsid w:val="000327C2"/>
    <w:rsid w:val="000415B9"/>
    <w:rsid w:val="00050A8E"/>
    <w:rsid w:val="00054A11"/>
    <w:rsid w:val="00065B33"/>
    <w:rsid w:val="00070196"/>
    <w:rsid w:val="0007441E"/>
    <w:rsid w:val="000817CA"/>
    <w:rsid w:val="00082F47"/>
    <w:rsid w:val="00093A0D"/>
    <w:rsid w:val="0009401D"/>
    <w:rsid w:val="000B58C9"/>
    <w:rsid w:val="000C22BF"/>
    <w:rsid w:val="000C340A"/>
    <w:rsid w:val="000C6EF7"/>
    <w:rsid w:val="000E5821"/>
    <w:rsid w:val="00105BCF"/>
    <w:rsid w:val="001208BB"/>
    <w:rsid w:val="001217CE"/>
    <w:rsid w:val="00132FCF"/>
    <w:rsid w:val="00143429"/>
    <w:rsid w:val="00153E3F"/>
    <w:rsid w:val="0015644D"/>
    <w:rsid w:val="00170DBC"/>
    <w:rsid w:val="001722B8"/>
    <w:rsid w:val="00177354"/>
    <w:rsid w:val="001774E1"/>
    <w:rsid w:val="00177E5A"/>
    <w:rsid w:val="001A69C3"/>
    <w:rsid w:val="001B129C"/>
    <w:rsid w:val="001B163F"/>
    <w:rsid w:val="001B317B"/>
    <w:rsid w:val="001D51D8"/>
    <w:rsid w:val="001D7859"/>
    <w:rsid w:val="001E3E7B"/>
    <w:rsid w:val="0022224C"/>
    <w:rsid w:val="00223D84"/>
    <w:rsid w:val="002300FA"/>
    <w:rsid w:val="00234364"/>
    <w:rsid w:val="002355C7"/>
    <w:rsid w:val="0024329B"/>
    <w:rsid w:val="00246D54"/>
    <w:rsid w:val="00247233"/>
    <w:rsid w:val="002643EA"/>
    <w:rsid w:val="0027510F"/>
    <w:rsid w:val="00280C2E"/>
    <w:rsid w:val="002819EE"/>
    <w:rsid w:val="00287B5D"/>
    <w:rsid w:val="002918C4"/>
    <w:rsid w:val="002944BC"/>
    <w:rsid w:val="0029609A"/>
    <w:rsid w:val="002C0A75"/>
    <w:rsid w:val="002C262E"/>
    <w:rsid w:val="002C4DF0"/>
    <w:rsid w:val="002D3486"/>
    <w:rsid w:val="002E36D4"/>
    <w:rsid w:val="003015B6"/>
    <w:rsid w:val="00301BB5"/>
    <w:rsid w:val="003042C6"/>
    <w:rsid w:val="0030647E"/>
    <w:rsid w:val="00307B36"/>
    <w:rsid w:val="00326285"/>
    <w:rsid w:val="00376555"/>
    <w:rsid w:val="0039539A"/>
    <w:rsid w:val="003A039E"/>
    <w:rsid w:val="003A2120"/>
    <w:rsid w:val="003A2C70"/>
    <w:rsid w:val="003B29A1"/>
    <w:rsid w:val="003C1731"/>
    <w:rsid w:val="003E03CD"/>
    <w:rsid w:val="003E7463"/>
    <w:rsid w:val="003E7EDC"/>
    <w:rsid w:val="003F6111"/>
    <w:rsid w:val="004133ED"/>
    <w:rsid w:val="00426B38"/>
    <w:rsid w:val="00440333"/>
    <w:rsid w:val="00455EAE"/>
    <w:rsid w:val="00457CF3"/>
    <w:rsid w:val="00466ED1"/>
    <w:rsid w:val="00473DBF"/>
    <w:rsid w:val="00474721"/>
    <w:rsid w:val="004749A5"/>
    <w:rsid w:val="004821CB"/>
    <w:rsid w:val="00487EC5"/>
    <w:rsid w:val="004D09B2"/>
    <w:rsid w:val="005061B2"/>
    <w:rsid w:val="00511DC8"/>
    <w:rsid w:val="005165D0"/>
    <w:rsid w:val="00522F41"/>
    <w:rsid w:val="005303AA"/>
    <w:rsid w:val="00544E03"/>
    <w:rsid w:val="00552870"/>
    <w:rsid w:val="005571DA"/>
    <w:rsid w:val="0056233A"/>
    <w:rsid w:val="0057154E"/>
    <w:rsid w:val="005777AB"/>
    <w:rsid w:val="005841F6"/>
    <w:rsid w:val="0058523C"/>
    <w:rsid w:val="005D3F2D"/>
    <w:rsid w:val="005D780F"/>
    <w:rsid w:val="0060441B"/>
    <w:rsid w:val="006125C5"/>
    <w:rsid w:val="006206FD"/>
    <w:rsid w:val="006427F2"/>
    <w:rsid w:val="00642EFF"/>
    <w:rsid w:val="00646DC6"/>
    <w:rsid w:val="006925D8"/>
    <w:rsid w:val="00692C41"/>
    <w:rsid w:val="00693BF1"/>
    <w:rsid w:val="006962DC"/>
    <w:rsid w:val="006A7074"/>
    <w:rsid w:val="006C3C34"/>
    <w:rsid w:val="006C4692"/>
    <w:rsid w:val="006D663B"/>
    <w:rsid w:val="006E4B24"/>
    <w:rsid w:val="006F046E"/>
    <w:rsid w:val="006F0E37"/>
    <w:rsid w:val="007076A0"/>
    <w:rsid w:val="0071111D"/>
    <w:rsid w:val="0071339F"/>
    <w:rsid w:val="00713ED9"/>
    <w:rsid w:val="007251D8"/>
    <w:rsid w:val="00757573"/>
    <w:rsid w:val="00762E64"/>
    <w:rsid w:val="00782252"/>
    <w:rsid w:val="007A4834"/>
    <w:rsid w:val="007C6028"/>
    <w:rsid w:val="007D691D"/>
    <w:rsid w:val="007D7B6E"/>
    <w:rsid w:val="00803FE4"/>
    <w:rsid w:val="00815EE9"/>
    <w:rsid w:val="00823350"/>
    <w:rsid w:val="00842308"/>
    <w:rsid w:val="008743E5"/>
    <w:rsid w:val="008950AF"/>
    <w:rsid w:val="00897732"/>
    <w:rsid w:val="008A2D91"/>
    <w:rsid w:val="008B623B"/>
    <w:rsid w:val="008C1252"/>
    <w:rsid w:val="008E1254"/>
    <w:rsid w:val="00900FA3"/>
    <w:rsid w:val="00902C7D"/>
    <w:rsid w:val="0091329B"/>
    <w:rsid w:val="009144CE"/>
    <w:rsid w:val="00917603"/>
    <w:rsid w:val="009350DA"/>
    <w:rsid w:val="009422BD"/>
    <w:rsid w:val="0096160E"/>
    <w:rsid w:val="0097161B"/>
    <w:rsid w:val="0097270F"/>
    <w:rsid w:val="009739ED"/>
    <w:rsid w:val="0098275C"/>
    <w:rsid w:val="00983996"/>
    <w:rsid w:val="009844B5"/>
    <w:rsid w:val="0099243A"/>
    <w:rsid w:val="009A44E8"/>
    <w:rsid w:val="009B4DB6"/>
    <w:rsid w:val="009D09FB"/>
    <w:rsid w:val="009E0B6D"/>
    <w:rsid w:val="009E4DAF"/>
    <w:rsid w:val="009F296F"/>
    <w:rsid w:val="009F6028"/>
    <w:rsid w:val="00A079A5"/>
    <w:rsid w:val="00A214E5"/>
    <w:rsid w:val="00A34318"/>
    <w:rsid w:val="00A409FE"/>
    <w:rsid w:val="00A534F8"/>
    <w:rsid w:val="00A70C43"/>
    <w:rsid w:val="00A7132E"/>
    <w:rsid w:val="00A73DBC"/>
    <w:rsid w:val="00A818BD"/>
    <w:rsid w:val="00A82DBE"/>
    <w:rsid w:val="00AA3F4D"/>
    <w:rsid w:val="00AB0061"/>
    <w:rsid w:val="00AB7923"/>
    <w:rsid w:val="00AD35E3"/>
    <w:rsid w:val="00AD6844"/>
    <w:rsid w:val="00AD6B79"/>
    <w:rsid w:val="00AF0482"/>
    <w:rsid w:val="00AF04FD"/>
    <w:rsid w:val="00AF393C"/>
    <w:rsid w:val="00AF584F"/>
    <w:rsid w:val="00B01C47"/>
    <w:rsid w:val="00B23E4A"/>
    <w:rsid w:val="00B27AD5"/>
    <w:rsid w:val="00B32399"/>
    <w:rsid w:val="00B32E35"/>
    <w:rsid w:val="00B335C4"/>
    <w:rsid w:val="00B635AC"/>
    <w:rsid w:val="00B654CF"/>
    <w:rsid w:val="00B674B1"/>
    <w:rsid w:val="00B80B40"/>
    <w:rsid w:val="00B92C41"/>
    <w:rsid w:val="00BA28CE"/>
    <w:rsid w:val="00BC0443"/>
    <w:rsid w:val="00BD0653"/>
    <w:rsid w:val="00BD11FA"/>
    <w:rsid w:val="00BD3171"/>
    <w:rsid w:val="00BE5260"/>
    <w:rsid w:val="00BF068A"/>
    <w:rsid w:val="00BF0A6C"/>
    <w:rsid w:val="00C02DF7"/>
    <w:rsid w:val="00C05C1C"/>
    <w:rsid w:val="00C233E6"/>
    <w:rsid w:val="00C30818"/>
    <w:rsid w:val="00C36CEE"/>
    <w:rsid w:val="00C375A8"/>
    <w:rsid w:val="00C37D0D"/>
    <w:rsid w:val="00C462F8"/>
    <w:rsid w:val="00C66E10"/>
    <w:rsid w:val="00CA4D2D"/>
    <w:rsid w:val="00CC19D4"/>
    <w:rsid w:val="00CD5FA7"/>
    <w:rsid w:val="00CE4F49"/>
    <w:rsid w:val="00CF021F"/>
    <w:rsid w:val="00CF0723"/>
    <w:rsid w:val="00D01AFC"/>
    <w:rsid w:val="00D05253"/>
    <w:rsid w:val="00D06806"/>
    <w:rsid w:val="00D173EB"/>
    <w:rsid w:val="00D5081F"/>
    <w:rsid w:val="00DA35D0"/>
    <w:rsid w:val="00DA7C16"/>
    <w:rsid w:val="00DB5654"/>
    <w:rsid w:val="00E26B30"/>
    <w:rsid w:val="00E54E33"/>
    <w:rsid w:val="00E70D1E"/>
    <w:rsid w:val="00E725F5"/>
    <w:rsid w:val="00E82DEB"/>
    <w:rsid w:val="00E84C32"/>
    <w:rsid w:val="00EA782E"/>
    <w:rsid w:val="00EA7833"/>
    <w:rsid w:val="00EB3A46"/>
    <w:rsid w:val="00ED3912"/>
    <w:rsid w:val="00ED6C30"/>
    <w:rsid w:val="00EE0230"/>
    <w:rsid w:val="00F15DDE"/>
    <w:rsid w:val="00F34C96"/>
    <w:rsid w:val="00F35110"/>
    <w:rsid w:val="00F43AC4"/>
    <w:rsid w:val="00F445D4"/>
    <w:rsid w:val="00F53B14"/>
    <w:rsid w:val="00F61AD8"/>
    <w:rsid w:val="00F66928"/>
    <w:rsid w:val="00F73FE4"/>
    <w:rsid w:val="00F845D5"/>
    <w:rsid w:val="00F850CC"/>
    <w:rsid w:val="00F90DED"/>
    <w:rsid w:val="00FA3CE6"/>
    <w:rsid w:val="00FC37F4"/>
    <w:rsid w:val="00FD275B"/>
    <w:rsid w:val="00FE26F5"/>
    <w:rsid w:val="00FE4AD2"/>
    <w:rsid w:val="00FE630A"/>
    <w:rsid w:val="00FF2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EE"/>
  </w:style>
  <w:style w:type="paragraph" w:styleId="Heading4">
    <w:name w:val="heading 4"/>
    <w:basedOn w:val="Normal"/>
    <w:link w:val="Heading4Char"/>
    <w:uiPriority w:val="9"/>
    <w:qFormat/>
    <w:rsid w:val="00AA3F4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9EE"/>
    <w:rPr>
      <w:sz w:val="20"/>
      <w:szCs w:val="20"/>
    </w:rPr>
  </w:style>
  <w:style w:type="character" w:styleId="FootnoteReference">
    <w:name w:val="footnote reference"/>
    <w:basedOn w:val="DefaultParagraphFont"/>
    <w:uiPriority w:val="99"/>
    <w:unhideWhenUsed/>
    <w:rsid w:val="002819EE"/>
    <w:rPr>
      <w:vertAlign w:val="superscript"/>
    </w:rPr>
  </w:style>
  <w:style w:type="paragraph" w:customStyle="1" w:styleId="No1Heading">
    <w:name w:val="No 1 Heading"/>
    <w:basedOn w:val="Normal"/>
    <w:qFormat/>
    <w:rsid w:val="002819EE"/>
    <w:pPr>
      <w:spacing w:after="0" w:line="240" w:lineRule="auto"/>
    </w:pPr>
    <w:rPr>
      <w:rFonts w:eastAsiaTheme="minorEastAsia"/>
      <w:b/>
      <w:sz w:val="40"/>
      <w:u w:val="single"/>
      <w:lang w:eastAsia="ja-JP"/>
    </w:rPr>
  </w:style>
  <w:style w:type="character" w:styleId="Hyperlink">
    <w:name w:val="Hyperlink"/>
    <w:basedOn w:val="DefaultParagraphFont"/>
    <w:uiPriority w:val="99"/>
    <w:unhideWhenUsed/>
    <w:rsid w:val="002819EE"/>
    <w:rPr>
      <w:color w:val="0000FF" w:themeColor="hyperlink"/>
      <w:u w:val="single"/>
    </w:rPr>
  </w:style>
  <w:style w:type="paragraph" w:styleId="ListParagraph">
    <w:name w:val="List Paragraph"/>
    <w:basedOn w:val="Normal"/>
    <w:uiPriority w:val="34"/>
    <w:qFormat/>
    <w:rsid w:val="00AF584F"/>
    <w:pPr>
      <w:ind w:left="720"/>
      <w:contextualSpacing/>
    </w:pPr>
  </w:style>
  <w:style w:type="table" w:styleId="TableGrid">
    <w:name w:val="Table Grid"/>
    <w:basedOn w:val="TableNormal"/>
    <w:uiPriority w:val="59"/>
    <w:rsid w:val="0015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
    <w:name w:val="font6"/>
    <w:basedOn w:val="DefaultParagraphFont"/>
    <w:rsid w:val="00022144"/>
  </w:style>
  <w:style w:type="character" w:customStyle="1" w:styleId="font8">
    <w:name w:val="font8"/>
    <w:basedOn w:val="DefaultParagraphFont"/>
    <w:rsid w:val="00022144"/>
  </w:style>
  <w:style w:type="character" w:customStyle="1" w:styleId="Heading4Char">
    <w:name w:val="Heading 4 Char"/>
    <w:basedOn w:val="DefaultParagraphFont"/>
    <w:link w:val="Heading4"/>
    <w:uiPriority w:val="9"/>
    <w:rsid w:val="00AA3F4D"/>
    <w:rPr>
      <w:rFonts w:ascii="Times New Roman" w:eastAsia="Times New Roman" w:hAnsi="Times New Roman" w:cs="Times New Roman"/>
      <w:b/>
      <w:bCs/>
      <w:sz w:val="24"/>
      <w:szCs w:val="24"/>
      <w:lang w:eastAsia="en-AU"/>
    </w:rPr>
  </w:style>
  <w:style w:type="character" w:styleId="HTMLCite">
    <w:name w:val="HTML Cite"/>
    <w:basedOn w:val="DefaultParagraphFont"/>
    <w:uiPriority w:val="99"/>
    <w:semiHidden/>
    <w:unhideWhenUsed/>
    <w:rsid w:val="009144CE"/>
    <w:rPr>
      <w:i/>
      <w:iCs/>
    </w:rPr>
  </w:style>
  <w:style w:type="character" w:styleId="FollowedHyperlink">
    <w:name w:val="FollowedHyperlink"/>
    <w:basedOn w:val="DefaultParagraphFont"/>
    <w:uiPriority w:val="99"/>
    <w:semiHidden/>
    <w:unhideWhenUsed/>
    <w:rsid w:val="001A69C3"/>
    <w:rPr>
      <w:color w:val="800080" w:themeColor="followedHyperlink"/>
      <w:u w:val="single"/>
    </w:rPr>
  </w:style>
  <w:style w:type="paragraph" w:styleId="Header">
    <w:name w:val="header"/>
    <w:basedOn w:val="Normal"/>
    <w:link w:val="HeaderChar"/>
    <w:uiPriority w:val="99"/>
    <w:unhideWhenUsed/>
    <w:rsid w:val="00F8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D5"/>
  </w:style>
  <w:style w:type="paragraph" w:styleId="Footer">
    <w:name w:val="footer"/>
    <w:basedOn w:val="Normal"/>
    <w:link w:val="FooterChar"/>
    <w:uiPriority w:val="99"/>
    <w:unhideWhenUsed/>
    <w:rsid w:val="00F8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D5"/>
  </w:style>
  <w:style w:type="character" w:styleId="CommentReference">
    <w:name w:val="annotation reference"/>
    <w:basedOn w:val="DefaultParagraphFont"/>
    <w:uiPriority w:val="99"/>
    <w:semiHidden/>
    <w:unhideWhenUsed/>
    <w:rsid w:val="00223D84"/>
    <w:rPr>
      <w:sz w:val="16"/>
      <w:szCs w:val="16"/>
    </w:rPr>
  </w:style>
  <w:style w:type="paragraph" w:styleId="CommentText">
    <w:name w:val="annotation text"/>
    <w:basedOn w:val="Normal"/>
    <w:link w:val="CommentTextChar"/>
    <w:uiPriority w:val="99"/>
    <w:semiHidden/>
    <w:unhideWhenUsed/>
    <w:rsid w:val="00223D84"/>
    <w:pPr>
      <w:spacing w:line="240" w:lineRule="auto"/>
    </w:pPr>
    <w:rPr>
      <w:sz w:val="20"/>
      <w:szCs w:val="20"/>
    </w:rPr>
  </w:style>
  <w:style w:type="character" w:customStyle="1" w:styleId="CommentTextChar">
    <w:name w:val="Comment Text Char"/>
    <w:basedOn w:val="DefaultParagraphFont"/>
    <w:link w:val="CommentText"/>
    <w:uiPriority w:val="99"/>
    <w:semiHidden/>
    <w:rsid w:val="00223D84"/>
    <w:rPr>
      <w:sz w:val="20"/>
      <w:szCs w:val="20"/>
    </w:rPr>
  </w:style>
  <w:style w:type="paragraph" w:styleId="CommentSubject">
    <w:name w:val="annotation subject"/>
    <w:basedOn w:val="CommentText"/>
    <w:next w:val="CommentText"/>
    <w:link w:val="CommentSubjectChar"/>
    <w:uiPriority w:val="99"/>
    <w:semiHidden/>
    <w:unhideWhenUsed/>
    <w:rsid w:val="00223D84"/>
    <w:rPr>
      <w:b/>
      <w:bCs/>
    </w:rPr>
  </w:style>
  <w:style w:type="character" w:customStyle="1" w:styleId="CommentSubjectChar">
    <w:name w:val="Comment Subject Char"/>
    <w:basedOn w:val="CommentTextChar"/>
    <w:link w:val="CommentSubject"/>
    <w:uiPriority w:val="99"/>
    <w:semiHidden/>
    <w:rsid w:val="00223D84"/>
    <w:rPr>
      <w:b/>
      <w:bCs/>
      <w:sz w:val="20"/>
      <w:szCs w:val="20"/>
    </w:rPr>
  </w:style>
  <w:style w:type="paragraph" w:styleId="BalloonText">
    <w:name w:val="Balloon Text"/>
    <w:basedOn w:val="Normal"/>
    <w:link w:val="BalloonTextChar"/>
    <w:uiPriority w:val="99"/>
    <w:semiHidden/>
    <w:unhideWhenUsed/>
    <w:rsid w:val="0022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84"/>
    <w:rPr>
      <w:rFonts w:ascii="Tahoma" w:hAnsi="Tahoma" w:cs="Tahoma"/>
      <w:sz w:val="16"/>
      <w:szCs w:val="16"/>
    </w:rPr>
  </w:style>
  <w:style w:type="paragraph" w:styleId="Revision">
    <w:name w:val="Revision"/>
    <w:hidden/>
    <w:uiPriority w:val="99"/>
    <w:semiHidden/>
    <w:rsid w:val="00EA78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EE"/>
  </w:style>
  <w:style w:type="paragraph" w:styleId="Heading4">
    <w:name w:val="heading 4"/>
    <w:basedOn w:val="Normal"/>
    <w:link w:val="Heading4Char"/>
    <w:uiPriority w:val="9"/>
    <w:qFormat/>
    <w:rsid w:val="00AA3F4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9EE"/>
    <w:rPr>
      <w:sz w:val="20"/>
      <w:szCs w:val="20"/>
    </w:rPr>
  </w:style>
  <w:style w:type="character" w:styleId="FootnoteReference">
    <w:name w:val="footnote reference"/>
    <w:basedOn w:val="DefaultParagraphFont"/>
    <w:uiPriority w:val="99"/>
    <w:unhideWhenUsed/>
    <w:rsid w:val="002819EE"/>
    <w:rPr>
      <w:vertAlign w:val="superscript"/>
    </w:rPr>
  </w:style>
  <w:style w:type="paragraph" w:customStyle="1" w:styleId="No1Heading">
    <w:name w:val="No 1 Heading"/>
    <w:basedOn w:val="Normal"/>
    <w:qFormat/>
    <w:rsid w:val="002819EE"/>
    <w:pPr>
      <w:spacing w:after="0" w:line="240" w:lineRule="auto"/>
    </w:pPr>
    <w:rPr>
      <w:rFonts w:eastAsiaTheme="minorEastAsia"/>
      <w:b/>
      <w:sz w:val="40"/>
      <w:u w:val="single"/>
      <w:lang w:eastAsia="ja-JP"/>
    </w:rPr>
  </w:style>
  <w:style w:type="character" w:styleId="Hyperlink">
    <w:name w:val="Hyperlink"/>
    <w:basedOn w:val="DefaultParagraphFont"/>
    <w:uiPriority w:val="99"/>
    <w:unhideWhenUsed/>
    <w:rsid w:val="002819EE"/>
    <w:rPr>
      <w:color w:val="0000FF" w:themeColor="hyperlink"/>
      <w:u w:val="single"/>
    </w:rPr>
  </w:style>
  <w:style w:type="paragraph" w:styleId="ListParagraph">
    <w:name w:val="List Paragraph"/>
    <w:basedOn w:val="Normal"/>
    <w:uiPriority w:val="34"/>
    <w:qFormat/>
    <w:rsid w:val="00AF584F"/>
    <w:pPr>
      <w:ind w:left="720"/>
      <w:contextualSpacing/>
    </w:pPr>
  </w:style>
  <w:style w:type="table" w:styleId="TableGrid">
    <w:name w:val="Table Grid"/>
    <w:basedOn w:val="TableNormal"/>
    <w:uiPriority w:val="59"/>
    <w:rsid w:val="0015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
    <w:name w:val="font6"/>
    <w:basedOn w:val="DefaultParagraphFont"/>
    <w:rsid w:val="00022144"/>
  </w:style>
  <w:style w:type="character" w:customStyle="1" w:styleId="font8">
    <w:name w:val="font8"/>
    <w:basedOn w:val="DefaultParagraphFont"/>
    <w:rsid w:val="00022144"/>
  </w:style>
  <w:style w:type="character" w:customStyle="1" w:styleId="Heading4Char">
    <w:name w:val="Heading 4 Char"/>
    <w:basedOn w:val="DefaultParagraphFont"/>
    <w:link w:val="Heading4"/>
    <w:uiPriority w:val="9"/>
    <w:rsid w:val="00AA3F4D"/>
    <w:rPr>
      <w:rFonts w:ascii="Times New Roman" w:eastAsia="Times New Roman" w:hAnsi="Times New Roman" w:cs="Times New Roman"/>
      <w:b/>
      <w:bCs/>
      <w:sz w:val="24"/>
      <w:szCs w:val="24"/>
      <w:lang w:eastAsia="en-AU"/>
    </w:rPr>
  </w:style>
  <w:style w:type="character" w:styleId="HTMLCite">
    <w:name w:val="HTML Cite"/>
    <w:basedOn w:val="DefaultParagraphFont"/>
    <w:uiPriority w:val="99"/>
    <w:semiHidden/>
    <w:unhideWhenUsed/>
    <w:rsid w:val="009144CE"/>
    <w:rPr>
      <w:i/>
      <w:iCs/>
    </w:rPr>
  </w:style>
  <w:style w:type="character" w:styleId="FollowedHyperlink">
    <w:name w:val="FollowedHyperlink"/>
    <w:basedOn w:val="DefaultParagraphFont"/>
    <w:uiPriority w:val="99"/>
    <w:semiHidden/>
    <w:unhideWhenUsed/>
    <w:rsid w:val="001A69C3"/>
    <w:rPr>
      <w:color w:val="800080" w:themeColor="followedHyperlink"/>
      <w:u w:val="single"/>
    </w:rPr>
  </w:style>
  <w:style w:type="paragraph" w:styleId="Header">
    <w:name w:val="header"/>
    <w:basedOn w:val="Normal"/>
    <w:link w:val="HeaderChar"/>
    <w:uiPriority w:val="99"/>
    <w:unhideWhenUsed/>
    <w:rsid w:val="00F84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D5"/>
  </w:style>
  <w:style w:type="paragraph" w:styleId="Footer">
    <w:name w:val="footer"/>
    <w:basedOn w:val="Normal"/>
    <w:link w:val="FooterChar"/>
    <w:uiPriority w:val="99"/>
    <w:unhideWhenUsed/>
    <w:rsid w:val="00F84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D5"/>
  </w:style>
  <w:style w:type="character" w:styleId="CommentReference">
    <w:name w:val="annotation reference"/>
    <w:basedOn w:val="DefaultParagraphFont"/>
    <w:uiPriority w:val="99"/>
    <w:semiHidden/>
    <w:unhideWhenUsed/>
    <w:rsid w:val="00223D84"/>
    <w:rPr>
      <w:sz w:val="16"/>
      <w:szCs w:val="16"/>
    </w:rPr>
  </w:style>
  <w:style w:type="paragraph" w:styleId="CommentText">
    <w:name w:val="annotation text"/>
    <w:basedOn w:val="Normal"/>
    <w:link w:val="CommentTextChar"/>
    <w:uiPriority w:val="99"/>
    <w:semiHidden/>
    <w:unhideWhenUsed/>
    <w:rsid w:val="00223D84"/>
    <w:pPr>
      <w:spacing w:line="240" w:lineRule="auto"/>
    </w:pPr>
    <w:rPr>
      <w:sz w:val="20"/>
      <w:szCs w:val="20"/>
    </w:rPr>
  </w:style>
  <w:style w:type="character" w:customStyle="1" w:styleId="CommentTextChar">
    <w:name w:val="Comment Text Char"/>
    <w:basedOn w:val="DefaultParagraphFont"/>
    <w:link w:val="CommentText"/>
    <w:uiPriority w:val="99"/>
    <w:semiHidden/>
    <w:rsid w:val="00223D84"/>
    <w:rPr>
      <w:sz w:val="20"/>
      <w:szCs w:val="20"/>
    </w:rPr>
  </w:style>
  <w:style w:type="paragraph" w:styleId="CommentSubject">
    <w:name w:val="annotation subject"/>
    <w:basedOn w:val="CommentText"/>
    <w:next w:val="CommentText"/>
    <w:link w:val="CommentSubjectChar"/>
    <w:uiPriority w:val="99"/>
    <w:semiHidden/>
    <w:unhideWhenUsed/>
    <w:rsid w:val="00223D84"/>
    <w:rPr>
      <w:b/>
      <w:bCs/>
    </w:rPr>
  </w:style>
  <w:style w:type="character" w:customStyle="1" w:styleId="CommentSubjectChar">
    <w:name w:val="Comment Subject Char"/>
    <w:basedOn w:val="CommentTextChar"/>
    <w:link w:val="CommentSubject"/>
    <w:uiPriority w:val="99"/>
    <w:semiHidden/>
    <w:rsid w:val="00223D84"/>
    <w:rPr>
      <w:b/>
      <w:bCs/>
      <w:sz w:val="20"/>
      <w:szCs w:val="20"/>
    </w:rPr>
  </w:style>
  <w:style w:type="paragraph" w:styleId="BalloonText">
    <w:name w:val="Balloon Text"/>
    <w:basedOn w:val="Normal"/>
    <w:link w:val="BalloonTextChar"/>
    <w:uiPriority w:val="99"/>
    <w:semiHidden/>
    <w:unhideWhenUsed/>
    <w:rsid w:val="0022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84"/>
    <w:rPr>
      <w:rFonts w:ascii="Tahoma" w:hAnsi="Tahoma" w:cs="Tahoma"/>
      <w:sz w:val="16"/>
      <w:szCs w:val="16"/>
    </w:rPr>
  </w:style>
  <w:style w:type="paragraph" w:styleId="Revision">
    <w:name w:val="Revision"/>
    <w:hidden/>
    <w:uiPriority w:val="99"/>
    <w:semiHidden/>
    <w:rsid w:val="00EA7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3931">
      <w:bodyDiv w:val="1"/>
      <w:marLeft w:val="0"/>
      <w:marRight w:val="0"/>
      <w:marTop w:val="0"/>
      <w:marBottom w:val="0"/>
      <w:divBdr>
        <w:top w:val="none" w:sz="0" w:space="0" w:color="auto"/>
        <w:left w:val="none" w:sz="0" w:space="0" w:color="auto"/>
        <w:bottom w:val="none" w:sz="0" w:space="0" w:color="auto"/>
        <w:right w:val="none" w:sz="0" w:space="0" w:color="auto"/>
      </w:divBdr>
      <w:divsChild>
        <w:div w:id="540702830">
          <w:marLeft w:val="0"/>
          <w:marRight w:val="0"/>
          <w:marTop w:val="0"/>
          <w:marBottom w:val="0"/>
          <w:divBdr>
            <w:top w:val="none" w:sz="0" w:space="0" w:color="auto"/>
            <w:left w:val="none" w:sz="0" w:space="0" w:color="auto"/>
            <w:bottom w:val="none" w:sz="0" w:space="0" w:color="auto"/>
            <w:right w:val="none" w:sz="0" w:space="0" w:color="auto"/>
          </w:divBdr>
        </w:div>
        <w:div w:id="1032071635">
          <w:marLeft w:val="0"/>
          <w:marRight w:val="0"/>
          <w:marTop w:val="0"/>
          <w:marBottom w:val="0"/>
          <w:divBdr>
            <w:top w:val="none" w:sz="0" w:space="0" w:color="auto"/>
            <w:left w:val="none" w:sz="0" w:space="0" w:color="auto"/>
            <w:bottom w:val="none" w:sz="0" w:space="0" w:color="auto"/>
            <w:right w:val="none" w:sz="0" w:space="0" w:color="auto"/>
          </w:divBdr>
        </w:div>
        <w:div w:id="129595426">
          <w:marLeft w:val="0"/>
          <w:marRight w:val="0"/>
          <w:marTop w:val="0"/>
          <w:marBottom w:val="0"/>
          <w:divBdr>
            <w:top w:val="none" w:sz="0" w:space="0" w:color="auto"/>
            <w:left w:val="none" w:sz="0" w:space="0" w:color="auto"/>
            <w:bottom w:val="none" w:sz="0" w:space="0" w:color="auto"/>
            <w:right w:val="none" w:sz="0" w:space="0" w:color="auto"/>
          </w:divBdr>
        </w:div>
        <w:div w:id="1521889617">
          <w:marLeft w:val="0"/>
          <w:marRight w:val="0"/>
          <w:marTop w:val="0"/>
          <w:marBottom w:val="0"/>
          <w:divBdr>
            <w:top w:val="none" w:sz="0" w:space="0" w:color="auto"/>
            <w:left w:val="none" w:sz="0" w:space="0" w:color="auto"/>
            <w:bottom w:val="none" w:sz="0" w:space="0" w:color="auto"/>
            <w:right w:val="none" w:sz="0" w:space="0" w:color="auto"/>
          </w:divBdr>
        </w:div>
        <w:div w:id="3214171">
          <w:marLeft w:val="0"/>
          <w:marRight w:val="0"/>
          <w:marTop w:val="0"/>
          <w:marBottom w:val="0"/>
          <w:divBdr>
            <w:top w:val="none" w:sz="0" w:space="0" w:color="auto"/>
            <w:left w:val="none" w:sz="0" w:space="0" w:color="auto"/>
            <w:bottom w:val="none" w:sz="0" w:space="0" w:color="auto"/>
            <w:right w:val="none" w:sz="0" w:space="0" w:color="auto"/>
          </w:divBdr>
        </w:div>
      </w:divsChild>
    </w:div>
    <w:div w:id="819347753">
      <w:bodyDiv w:val="1"/>
      <w:marLeft w:val="0"/>
      <w:marRight w:val="0"/>
      <w:marTop w:val="0"/>
      <w:marBottom w:val="0"/>
      <w:divBdr>
        <w:top w:val="none" w:sz="0" w:space="0" w:color="auto"/>
        <w:left w:val="none" w:sz="0" w:space="0" w:color="auto"/>
        <w:bottom w:val="none" w:sz="0" w:space="0" w:color="auto"/>
        <w:right w:val="none" w:sz="0" w:space="0" w:color="auto"/>
      </w:divBdr>
    </w:div>
    <w:div w:id="1275166229">
      <w:bodyDiv w:val="1"/>
      <w:marLeft w:val="0"/>
      <w:marRight w:val="0"/>
      <w:marTop w:val="0"/>
      <w:marBottom w:val="0"/>
      <w:divBdr>
        <w:top w:val="none" w:sz="0" w:space="0" w:color="auto"/>
        <w:left w:val="none" w:sz="0" w:space="0" w:color="auto"/>
        <w:bottom w:val="none" w:sz="0" w:space="0" w:color="auto"/>
        <w:right w:val="none" w:sz="0" w:space="0" w:color="auto"/>
      </w:divBdr>
    </w:div>
    <w:div w:id="1460341934">
      <w:bodyDiv w:val="1"/>
      <w:marLeft w:val="0"/>
      <w:marRight w:val="0"/>
      <w:marTop w:val="0"/>
      <w:marBottom w:val="0"/>
      <w:divBdr>
        <w:top w:val="none" w:sz="0" w:space="0" w:color="auto"/>
        <w:left w:val="none" w:sz="0" w:space="0" w:color="auto"/>
        <w:bottom w:val="none" w:sz="0" w:space="0" w:color="auto"/>
        <w:right w:val="none" w:sz="0" w:space="0" w:color="auto"/>
      </w:divBdr>
    </w:div>
    <w:div w:id="1601181131">
      <w:bodyDiv w:val="1"/>
      <w:marLeft w:val="0"/>
      <w:marRight w:val="0"/>
      <w:marTop w:val="0"/>
      <w:marBottom w:val="0"/>
      <w:divBdr>
        <w:top w:val="none" w:sz="0" w:space="0" w:color="auto"/>
        <w:left w:val="none" w:sz="0" w:space="0" w:color="auto"/>
        <w:bottom w:val="none" w:sz="0" w:space="0" w:color="auto"/>
        <w:right w:val="none" w:sz="0" w:space="0" w:color="auto"/>
      </w:divBdr>
      <w:divsChild>
        <w:div w:id="1802111485">
          <w:marLeft w:val="0"/>
          <w:marRight w:val="0"/>
          <w:marTop w:val="0"/>
          <w:marBottom w:val="0"/>
          <w:divBdr>
            <w:top w:val="none" w:sz="0" w:space="0" w:color="auto"/>
            <w:left w:val="none" w:sz="0" w:space="0" w:color="auto"/>
            <w:bottom w:val="none" w:sz="0" w:space="0" w:color="auto"/>
            <w:right w:val="none" w:sz="0" w:space="0" w:color="auto"/>
          </w:divBdr>
        </w:div>
        <w:div w:id="86529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theconversation.com/for-this-generation-and-the-next-its-time-to-bring-back-the-carbon-tax-38224" TargetMode="External"/><Relationship Id="rId13" Type="http://schemas.openxmlformats.org/officeDocument/2006/relationships/hyperlink" Target="http://www.minerals.org.au/news/the_economics_of_fuel_taxation_in_the_mining_sector" TargetMode="External"/><Relationship Id="rId18" Type="http://schemas.openxmlformats.org/officeDocument/2006/relationships/hyperlink" Target="http://www.igcc.org.au/Resources/Documents/IGCC%20INDC%20discussion%20paper_150424.pdf" TargetMode="External"/><Relationship Id="rId26" Type="http://schemas.openxmlformats.org/officeDocument/2006/relationships/hyperlink" Target="http://igcc.org.au/Resources/Documents/Climate-Change-Investment-Solutions-GuideFINAL.pdf" TargetMode="External"/><Relationship Id="rId39" Type="http://schemas.openxmlformats.org/officeDocument/2006/relationships/hyperlink" Target="http://www.agl.com.au/~/media/AGL/About%20AGL/Documents/Media%20Center/Investor%20Center/2014/2014Results_Pres_release.pdf" TargetMode="External"/><Relationship Id="rId3" Type="http://schemas.openxmlformats.org/officeDocument/2006/relationships/hyperlink" Target="http://www.aemo.com.au" TargetMode="External"/><Relationship Id="rId21" Type="http://schemas.openxmlformats.org/officeDocument/2006/relationships/hyperlink" Target="http://www.agl.com.au/about-agl/how-we-source-energy/thermal-energy/agl-macquarie" TargetMode="External"/><Relationship Id="rId34" Type="http://schemas.openxmlformats.org/officeDocument/2006/relationships/hyperlink" Target="http://www.originenergy.com.au/sustainability/sites/default/files/gri_download/GRI_environment.pdf" TargetMode="External"/><Relationship Id="rId7" Type="http://schemas.openxmlformats.org/officeDocument/2006/relationships/hyperlink" Target="http://www.climatechangeauthority.gov.au/special-review/first-draft-report" TargetMode="External"/><Relationship Id="rId12" Type="http://schemas.openxmlformats.org/officeDocument/2006/relationships/hyperlink" Target="http://www.treasury.gov.au/~/media/Treasury/Publications%20and%20Media/Publications/2015/Tax%20Expenditures%20Statement%202014/Downloads/PDF/TES_2014.ashx" TargetMode="External"/><Relationship Id="rId17" Type="http://schemas.openxmlformats.org/officeDocument/2006/relationships/hyperlink" Target="http://www2.epa.gov/carbon-pollution-standards" TargetMode="External"/><Relationship Id="rId25" Type="http://schemas.openxmlformats.org/officeDocument/2006/relationships/hyperlink" Target="http://www.originenergy.com.au/content/dam/origin/about/investors-media/results-presentation-investment-analysts-2014.pdf" TargetMode="External"/><Relationship Id="rId33" Type="http://schemas.openxmlformats.org/officeDocument/2006/relationships/hyperlink" Target="http://www.agl.com.au/~/media/AGL/About%20AGL/Documents/Media%20Center/Corporate%20Governance%20Policies%20Charter/1704015_GHG_Policy_Final.pdf" TargetMode="External"/><Relationship Id="rId38" Type="http://schemas.openxmlformats.org/officeDocument/2006/relationships/hyperlink" Target="http://www.originenergy.com.au/sustainability/material-aspects/emissions" TargetMode="External"/><Relationship Id="rId2" Type="http://schemas.openxmlformats.org/officeDocument/2006/relationships/hyperlink" Target="http://newclimateeconomy.net/content/press-release-economic-growth-and-action-climate-change-can-now-be-achieved-together-finds" TargetMode="External"/><Relationship Id="rId16" Type="http://schemas.openxmlformats.org/officeDocument/2006/relationships/hyperlink" Target="http://www.aph.gov.au/About_Parliament/Parliamentary_Departments/Parliamentary_Library/pubs/rp/BudgetReview201415/Emissions" TargetMode="External"/><Relationship Id="rId20" Type="http://schemas.openxmlformats.org/officeDocument/2006/relationships/hyperlink" Target="http://www.competitiontribunal.gov.au/__data/assets/pdf_file/0006/24873/AF21-Confidential-Restriction-on-Publication-Claimed.pdf" TargetMode="External"/><Relationship Id="rId29" Type="http://schemas.openxmlformats.org/officeDocument/2006/relationships/hyperlink" Target="http://2012.aglsustainability.com.au/files/assets/basic-html/page68.html" TargetMode="External"/><Relationship Id="rId41" Type="http://schemas.openxmlformats.org/officeDocument/2006/relationships/hyperlink" Target="http://www.aph.gov.au/About_Parliament/Parliamentary_Departments/Parliamentary_Library/pubs/rp/rp1314/ClimateChangeTimeline" TargetMode="External"/><Relationship Id="rId1" Type="http://schemas.openxmlformats.org/officeDocument/2006/relationships/hyperlink" Target="http://www.tai.org.au/content/climate-proofing-your-investments-moving-funds-out-fossil-fuels" TargetMode="External"/><Relationship Id="rId6" Type="http://schemas.openxmlformats.org/officeDocument/2006/relationships/hyperlink" Target="http://www.dpmc.gov.au/taskforces/unfccc" TargetMode="External"/><Relationship Id="rId11" Type="http://schemas.openxmlformats.org/officeDocument/2006/relationships/hyperlink" Target="http://downloads.iesys.com/Insider/Insider%20017.pdf" TargetMode="External"/><Relationship Id="rId24" Type="http://schemas.openxmlformats.org/officeDocument/2006/relationships/hyperlink" Target="http://www.agl.com.au/about-agl/how-we-source-energy/thermal-energy/agl-macquarie" TargetMode="External"/><Relationship Id="rId32" Type="http://schemas.openxmlformats.org/officeDocument/2006/relationships/hyperlink" Target="http://www.aemo.com.au" TargetMode="External"/><Relationship Id="rId37" Type="http://schemas.openxmlformats.org/officeDocument/2006/relationships/hyperlink" Target="http://www.originenergy.com.au/sustainability/sites/default/files/gri_download/GRI_environment.pdf" TargetMode="External"/><Relationship Id="rId40" Type="http://schemas.openxmlformats.org/officeDocument/2006/relationships/hyperlink" Target="http://www.ceres.org/investor-network/resolutions" TargetMode="External"/><Relationship Id="rId5" Type="http://schemas.openxmlformats.org/officeDocument/2006/relationships/hyperlink" Target="http://ewp.industry.gov.au/" TargetMode="External"/><Relationship Id="rId15" Type="http://schemas.openxmlformats.org/officeDocument/2006/relationships/hyperlink" Target="http://climatechangeauthority.gov.au/files/files/Target-Progress-Review/Targets%20and%20Progress%20Review%20Final%20Report.pdf" TargetMode="External"/><Relationship Id="rId23" Type="http://schemas.openxmlformats.org/officeDocument/2006/relationships/hyperlink" Target="http://www.agl.com.au/about-agl/media-centre/article-list/2012/jun/agl-completes-purchase-of-loy-yang-a-power-station-and-adjacent-mine" TargetMode="External"/><Relationship Id="rId28" Type="http://schemas.openxmlformats.org/officeDocument/2006/relationships/hyperlink" Target="http://www.agl.com.au/~/media/AGL/About%20AGL/Documents/How%20We%20Source%20Energy/CSG%20and%20the%20Environment/Camden/Northern%20Expansion/V3_Appendix%20H.pdf" TargetMode="External"/><Relationship Id="rId36" Type="http://schemas.openxmlformats.org/officeDocument/2006/relationships/hyperlink" Target="http://reports.originenergy.com.au/2010/sustainability/our_communities/5-year-strategies/" TargetMode="External"/><Relationship Id="rId10" Type="http://schemas.openxmlformats.org/officeDocument/2006/relationships/hyperlink" Target="https://retreview.dpmc.gov.au/appendix-c-executive-summary-acil-allen-modelling-report" TargetMode="External"/><Relationship Id="rId19" Type="http://schemas.openxmlformats.org/officeDocument/2006/relationships/hyperlink" Target="https://www.aer.gov.au/sites/default/files/State%20of%20the%20energy%20market%202014%20-%20Chapter%205%20-%20Energy%20retail%20markets%20A4_0.pdf" TargetMode="External"/><Relationship Id="rId31" Type="http://schemas.openxmlformats.org/officeDocument/2006/relationships/hyperlink" Target="http://agl2014.sustainability-report.com.au/data-centre/environment" TargetMode="External"/><Relationship Id="rId4" Type="http://schemas.openxmlformats.org/officeDocument/2006/relationships/hyperlink" Target="http://www.iea.org/publications/freepublications/publication/co2emissionsfromfuelcombustionhighlights2013.pdf" TargetMode="External"/><Relationship Id="rId9" Type="http://schemas.openxmlformats.org/officeDocument/2006/relationships/hyperlink" Target="http://www.environment.gov.au/climate-change/emissions-reduction-fund/about/safeguard-mechanism" TargetMode="External"/><Relationship Id="rId14" Type="http://schemas.openxmlformats.org/officeDocument/2006/relationships/hyperlink" Target="http://www.tai.org.au/content/mining-age-entitlement" TargetMode="External"/><Relationship Id="rId22" Type="http://schemas.openxmlformats.org/officeDocument/2006/relationships/hyperlink" Target="http://aglblog.com.au/2014/07/agls-electricity-generation-portfolio-201314/" TargetMode="External"/><Relationship Id="rId27" Type="http://schemas.openxmlformats.org/officeDocument/2006/relationships/hyperlink" Target="http://aglblog.com.au/2015/07/agls-cdp-climate-change-2015-response/" TargetMode="External"/><Relationship Id="rId30" Type="http://schemas.openxmlformats.org/officeDocument/2006/relationships/hyperlink" Target="http://agl2014.sustainability-report.com.au/environment/greenhouse-and-energy" TargetMode="External"/><Relationship Id="rId35" Type="http://schemas.openxmlformats.org/officeDocument/2006/relationships/hyperlink" Target="http://reports.originenergy.com.au/2010/sustainability/gri/energy_use_and_air_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D975-9510-442E-902F-364728E7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Pender</dc:creator>
  <cp:lastModifiedBy>Howard Pender</cp:lastModifiedBy>
  <cp:revision>6</cp:revision>
  <cp:lastPrinted>2015-08-17T01:01:00Z</cp:lastPrinted>
  <dcterms:created xsi:type="dcterms:W3CDTF">2015-08-14T01:14:00Z</dcterms:created>
  <dcterms:modified xsi:type="dcterms:W3CDTF">2015-09-11T04:15:00Z</dcterms:modified>
</cp:coreProperties>
</file>