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FA" w:rsidRDefault="004C3740" w:rsidP="004C3740">
      <w:pPr>
        <w:jc w:val="center"/>
        <w:rPr>
          <w:rFonts w:ascii="Gotham Book" w:hAnsi="Gotham Book"/>
          <w:b/>
          <w:sz w:val="36"/>
          <w:szCs w:val="36"/>
        </w:rPr>
      </w:pPr>
      <w:bookmarkStart w:id="0" w:name="_GoBack"/>
      <w:r w:rsidRPr="004C3740">
        <w:rPr>
          <w:rFonts w:ascii="Gotham Book" w:hAnsi="Gotham Book"/>
          <w:b/>
          <w:sz w:val="36"/>
          <w:szCs w:val="36"/>
        </w:rPr>
        <w:t>Investor Briefing</w:t>
      </w:r>
    </w:p>
    <w:bookmarkEnd w:id="0"/>
    <w:p w:rsidR="004C3740" w:rsidRDefault="004C3740" w:rsidP="004C3740">
      <w:pPr>
        <w:jc w:val="center"/>
        <w:rPr>
          <w:rFonts w:ascii="Gotham Book" w:hAnsi="Gotham Book"/>
          <w:b/>
          <w:sz w:val="36"/>
          <w:szCs w:val="36"/>
        </w:rPr>
      </w:pPr>
      <w:r>
        <w:rPr>
          <w:rFonts w:ascii="Gotham Book" w:hAnsi="Gotham Book"/>
          <w:b/>
          <w:sz w:val="36"/>
          <w:szCs w:val="36"/>
        </w:rPr>
        <w:t>ACCR/AODP ANZ ‘Financed emissions’ resolutions</w:t>
      </w:r>
    </w:p>
    <w:p w:rsidR="004C3740" w:rsidRPr="004C3740" w:rsidRDefault="004C3740" w:rsidP="004C3740">
      <w:pPr>
        <w:rPr>
          <w:rFonts w:ascii="Gotham Book" w:hAnsi="Gotham Book"/>
          <w:sz w:val="24"/>
          <w:szCs w:val="24"/>
        </w:rPr>
      </w:pPr>
      <w:r w:rsidRPr="004C3740">
        <w:rPr>
          <w:rFonts w:ascii="Gotham Book" w:hAnsi="Gotham Book"/>
          <w:b/>
          <w:sz w:val="24"/>
          <w:szCs w:val="24"/>
        </w:rPr>
        <w:t xml:space="preserve">Ticker: </w:t>
      </w:r>
      <w:r w:rsidRPr="004C3740">
        <w:rPr>
          <w:rFonts w:ascii="Gotham Book" w:hAnsi="Gotham Book"/>
          <w:sz w:val="24"/>
          <w:szCs w:val="24"/>
        </w:rPr>
        <w:t>ANZ</w:t>
      </w:r>
    </w:p>
    <w:p w:rsidR="004C3740" w:rsidRDefault="004C3740" w:rsidP="004C3740">
      <w:pPr>
        <w:rPr>
          <w:rFonts w:ascii="Gotham Book" w:hAnsi="Gotham Book"/>
          <w:sz w:val="24"/>
          <w:szCs w:val="24"/>
        </w:rPr>
      </w:pPr>
      <w:r>
        <w:rPr>
          <w:rFonts w:ascii="Gotham Book" w:hAnsi="Gotham Book"/>
          <w:b/>
          <w:sz w:val="24"/>
          <w:szCs w:val="24"/>
        </w:rPr>
        <w:t>AGM Date and location</w:t>
      </w:r>
      <w:r w:rsidRPr="004C3740">
        <w:rPr>
          <w:rFonts w:ascii="Gotham Book" w:hAnsi="Gotham Book"/>
          <w:b/>
          <w:sz w:val="24"/>
          <w:szCs w:val="24"/>
        </w:rPr>
        <w:t>:</w:t>
      </w:r>
      <w:r>
        <w:rPr>
          <w:rFonts w:ascii="Gotham Book" w:hAnsi="Gotham Book"/>
          <w:b/>
          <w:sz w:val="24"/>
          <w:szCs w:val="24"/>
        </w:rPr>
        <w:t xml:space="preserve"> </w:t>
      </w:r>
      <w:r w:rsidRPr="004C3740">
        <w:rPr>
          <w:rFonts w:ascii="Gotham Book" w:hAnsi="Gotham Book"/>
          <w:sz w:val="24"/>
          <w:szCs w:val="24"/>
        </w:rPr>
        <w:t>Thurs</w:t>
      </w:r>
      <w:r>
        <w:rPr>
          <w:rFonts w:ascii="Gotham Book" w:hAnsi="Gotham Book"/>
          <w:sz w:val="24"/>
          <w:szCs w:val="24"/>
        </w:rPr>
        <w:t>day</w:t>
      </w:r>
      <w:r w:rsidRPr="004C3740">
        <w:rPr>
          <w:rFonts w:ascii="Gotham Book" w:hAnsi="Gotham Book"/>
          <w:sz w:val="24"/>
          <w:szCs w:val="24"/>
        </w:rPr>
        <w:t xml:space="preserve"> 18 Dec Melb</w:t>
      </w:r>
      <w:r>
        <w:rPr>
          <w:rFonts w:ascii="Gotham Book" w:hAnsi="Gotham Book"/>
          <w:sz w:val="24"/>
          <w:szCs w:val="24"/>
        </w:rPr>
        <w:t>ourne</w:t>
      </w:r>
    </w:p>
    <w:p w:rsidR="004C3740" w:rsidRDefault="004C3740" w:rsidP="004C3740">
      <w:pPr>
        <w:rPr>
          <w:rFonts w:ascii="Gotham Book" w:hAnsi="Gotham Book"/>
          <w:b/>
          <w:sz w:val="24"/>
          <w:szCs w:val="24"/>
        </w:rPr>
      </w:pPr>
      <w:r w:rsidRPr="004C3740">
        <w:rPr>
          <w:rFonts w:ascii="Gotham Book" w:hAnsi="Gotham Book"/>
          <w:b/>
          <w:sz w:val="24"/>
          <w:szCs w:val="24"/>
        </w:rPr>
        <w:t>Resolution</w:t>
      </w:r>
      <w:r w:rsidR="001A1A13">
        <w:rPr>
          <w:rStyle w:val="FootnoteReference"/>
          <w:rFonts w:ascii="Gotham Book" w:hAnsi="Gotham Book"/>
          <w:b/>
          <w:sz w:val="24"/>
          <w:szCs w:val="24"/>
        </w:rPr>
        <w:footnoteReference w:id="1"/>
      </w:r>
      <w:r>
        <w:rPr>
          <w:rFonts w:ascii="Gotham Book" w:hAnsi="Gotham Book"/>
          <w:b/>
          <w:sz w:val="24"/>
          <w:szCs w:val="24"/>
        </w:rPr>
        <w:t>:</w:t>
      </w:r>
    </w:p>
    <w:p w:rsidR="004C3740" w:rsidRPr="004C3740" w:rsidRDefault="004C3740" w:rsidP="004C3740">
      <w:pPr>
        <w:autoSpaceDE w:val="0"/>
        <w:autoSpaceDN w:val="0"/>
        <w:adjustRightInd w:val="0"/>
        <w:spacing w:after="0"/>
        <w:rPr>
          <w:rFonts w:ascii="Gotham Book" w:hAnsi="Gotham Book" w:cs="Helvetica"/>
          <w:sz w:val="24"/>
          <w:szCs w:val="24"/>
        </w:rPr>
      </w:pPr>
      <w:r w:rsidRPr="004C3740">
        <w:rPr>
          <w:rFonts w:ascii="Gotham Book" w:hAnsi="Gotham Book"/>
          <w:sz w:val="24"/>
          <w:szCs w:val="24"/>
        </w:rPr>
        <w:t xml:space="preserve">‘Ordinary resolution: resolved in consideration of the annual Directors Report </w:t>
      </w:r>
      <w:r w:rsidRPr="004C3740">
        <w:rPr>
          <w:rFonts w:ascii="Gotham Book" w:hAnsi="Gotham Book" w:cs="Helvetica"/>
          <w:sz w:val="24"/>
          <w:szCs w:val="24"/>
        </w:rPr>
        <w:t xml:space="preserve">laid before this meeting the shareholders express their concern at the absence of: (a) an assessment </w:t>
      </w:r>
      <w:r w:rsidRPr="004C3740">
        <w:rPr>
          <w:rFonts w:ascii="Gotham Book" w:hAnsi="Gotham Book"/>
          <w:sz w:val="24"/>
          <w:szCs w:val="24"/>
        </w:rPr>
        <w:t>of reference to: the quantum of greenhouse gas emissions we are responsible for financing; the level and nature of ‘</w:t>
      </w:r>
      <w:proofErr w:type="spellStart"/>
      <w:r w:rsidRPr="004C3740">
        <w:rPr>
          <w:rFonts w:ascii="Gotham Book" w:hAnsi="Gotham Book"/>
          <w:sz w:val="24"/>
          <w:szCs w:val="24"/>
        </w:rPr>
        <w:t>unburnable</w:t>
      </w:r>
      <w:proofErr w:type="spellEnd"/>
      <w:r w:rsidRPr="004C3740">
        <w:rPr>
          <w:rFonts w:ascii="Gotham Book" w:hAnsi="Gotham Book"/>
          <w:sz w:val="24"/>
          <w:szCs w:val="24"/>
        </w:rPr>
        <w:t xml:space="preserve"> carbon’ risks we face; and our current approaches to mitigating those risks.  (b) </w:t>
      </w:r>
      <w:proofErr w:type="gramStart"/>
      <w:r w:rsidRPr="004C3740">
        <w:rPr>
          <w:rFonts w:ascii="Gotham Book" w:hAnsi="Gotham Book"/>
          <w:sz w:val="24"/>
          <w:szCs w:val="24"/>
        </w:rPr>
        <w:t>any</w:t>
      </w:r>
      <w:proofErr w:type="gramEnd"/>
      <w:r w:rsidRPr="004C3740">
        <w:rPr>
          <w:rFonts w:ascii="Gotham Book" w:hAnsi="Gotham Book"/>
          <w:sz w:val="24"/>
          <w:szCs w:val="24"/>
        </w:rPr>
        <w:t xml:space="preserve"> reference to a target for future absolute reductions in our bank’s total financed emissions which would serve to mitigate our exposure to </w:t>
      </w:r>
      <w:proofErr w:type="spellStart"/>
      <w:r w:rsidRPr="004C3740">
        <w:rPr>
          <w:rFonts w:ascii="Gotham Book" w:hAnsi="Gotham Book"/>
          <w:sz w:val="24"/>
          <w:szCs w:val="24"/>
        </w:rPr>
        <w:t>unburnable</w:t>
      </w:r>
      <w:proofErr w:type="spellEnd"/>
      <w:r w:rsidRPr="004C3740">
        <w:rPr>
          <w:rFonts w:ascii="Gotham Book" w:hAnsi="Gotham Book"/>
          <w:sz w:val="24"/>
          <w:szCs w:val="24"/>
        </w:rPr>
        <w:t xml:space="preserve"> carbon risk.’</w:t>
      </w:r>
    </w:p>
    <w:p w:rsidR="004C3740" w:rsidRPr="004C3740" w:rsidRDefault="004C3740" w:rsidP="004C3740">
      <w:pPr>
        <w:autoSpaceDE w:val="0"/>
        <w:autoSpaceDN w:val="0"/>
        <w:adjustRightInd w:val="0"/>
        <w:spacing w:after="0"/>
        <w:rPr>
          <w:rFonts w:cs="Helvetica"/>
          <w:sz w:val="24"/>
          <w:szCs w:val="24"/>
        </w:rPr>
      </w:pPr>
    </w:p>
    <w:p w:rsidR="004C3740" w:rsidRPr="004C3740" w:rsidRDefault="004C3740" w:rsidP="004C3740">
      <w:pPr>
        <w:rPr>
          <w:rFonts w:ascii="Gotham Book" w:hAnsi="Gotham Book"/>
          <w:b/>
          <w:sz w:val="24"/>
          <w:szCs w:val="24"/>
        </w:rPr>
      </w:pPr>
      <w:r w:rsidRPr="004C3740">
        <w:rPr>
          <w:rFonts w:ascii="Gotham Book" w:hAnsi="Gotham Book"/>
          <w:b/>
          <w:sz w:val="24"/>
          <w:szCs w:val="24"/>
        </w:rPr>
        <w:t>Background</w:t>
      </w:r>
    </w:p>
    <w:p w:rsidR="004C3740" w:rsidRDefault="004C3740" w:rsidP="004C3740">
      <w:pPr>
        <w:rPr>
          <w:rFonts w:ascii="Gotham Book" w:hAnsi="Gotham Book"/>
          <w:sz w:val="24"/>
          <w:szCs w:val="24"/>
        </w:rPr>
      </w:pPr>
      <w:r w:rsidRPr="00B64BA4">
        <w:rPr>
          <w:rFonts w:ascii="Gotham Book" w:hAnsi="Gotham Book"/>
          <w:sz w:val="24"/>
          <w:szCs w:val="24"/>
        </w:rPr>
        <w:t>Under the United Nations Framework Convention on Climate Change</w:t>
      </w:r>
      <w:r>
        <w:rPr>
          <w:rFonts w:ascii="Gotham Book" w:hAnsi="Gotham Book"/>
          <w:sz w:val="24"/>
          <w:szCs w:val="24"/>
        </w:rPr>
        <w:t xml:space="preserve"> countries have agreed that 2° C of</w:t>
      </w:r>
      <w:r w:rsidRPr="00B64BA4">
        <w:rPr>
          <w:rFonts w:ascii="Gotham Book" w:hAnsi="Gotham Book"/>
          <w:sz w:val="24"/>
          <w:szCs w:val="24"/>
        </w:rPr>
        <w:t xml:space="preserve"> </w:t>
      </w:r>
      <w:r>
        <w:rPr>
          <w:rFonts w:ascii="Gotham Book" w:hAnsi="Gotham Book"/>
          <w:sz w:val="24"/>
          <w:szCs w:val="24"/>
        </w:rPr>
        <w:t xml:space="preserve">global </w:t>
      </w:r>
      <w:r w:rsidRPr="00B64BA4">
        <w:rPr>
          <w:rFonts w:ascii="Gotham Book" w:hAnsi="Gotham Book"/>
          <w:sz w:val="24"/>
          <w:szCs w:val="24"/>
        </w:rPr>
        <w:t>warming is the maximum acceptable upper threshold.</w:t>
      </w:r>
      <w:r>
        <w:rPr>
          <w:rFonts w:ascii="Gotham Book" w:hAnsi="Gotham Book"/>
          <w:sz w:val="24"/>
          <w:szCs w:val="24"/>
        </w:rPr>
        <w:t xml:space="preserve"> This agreed ceiling sets a ‘budget’ on worldwide fossil fuel emissions. Current fossil fuel business valuations involve a fundamental intellectual ‘fallacy of composition’. Investor's expectations cannot be met as they have become divorced from physical reality and committed policy response. Currently, in aggregate, fossil fuel companies are estimating with 90% certainty that they will be able to extract freely (for subsequent sale and combustion) over three times more carbon than is compatible with the internationally agreed ceiling. This contradiction is referred to as the ‘</w:t>
      </w:r>
      <w:proofErr w:type="spellStart"/>
      <w:r>
        <w:rPr>
          <w:rFonts w:ascii="Gotham Book" w:hAnsi="Gotham Book"/>
          <w:sz w:val="24"/>
          <w:szCs w:val="24"/>
        </w:rPr>
        <w:t>unburnable</w:t>
      </w:r>
      <w:proofErr w:type="spellEnd"/>
      <w:r>
        <w:rPr>
          <w:rFonts w:ascii="Gotham Book" w:hAnsi="Gotham Book"/>
          <w:sz w:val="24"/>
          <w:szCs w:val="24"/>
        </w:rPr>
        <w:t xml:space="preserve"> carbon bubble’. </w:t>
      </w:r>
      <w:r w:rsidR="0005611F">
        <w:rPr>
          <w:rStyle w:val="FootnoteReference"/>
          <w:rFonts w:ascii="Gotham Book" w:hAnsi="Gotham Book"/>
          <w:sz w:val="24"/>
          <w:szCs w:val="24"/>
        </w:rPr>
        <w:footnoteReference w:id="2"/>
      </w:r>
    </w:p>
    <w:p w:rsidR="004661FE" w:rsidRPr="004661FE" w:rsidRDefault="004661FE" w:rsidP="004C3740">
      <w:pPr>
        <w:rPr>
          <w:rFonts w:ascii="Gotham Book" w:hAnsi="Gotham Book"/>
          <w:b/>
          <w:sz w:val="24"/>
          <w:szCs w:val="24"/>
        </w:rPr>
      </w:pPr>
      <w:r>
        <w:rPr>
          <w:rFonts w:ascii="Gotham Book" w:hAnsi="Gotham Book"/>
          <w:b/>
          <w:sz w:val="24"/>
          <w:szCs w:val="24"/>
        </w:rPr>
        <w:t xml:space="preserve">Top 4 </w:t>
      </w:r>
      <w:r w:rsidRPr="004661FE">
        <w:rPr>
          <w:rFonts w:ascii="Gotham Book" w:hAnsi="Gotham Book"/>
          <w:b/>
          <w:sz w:val="24"/>
          <w:szCs w:val="24"/>
        </w:rPr>
        <w:t xml:space="preserve">Australian banks </w:t>
      </w:r>
    </w:p>
    <w:p w:rsidR="004C3740" w:rsidRPr="003F587E" w:rsidRDefault="004C3740" w:rsidP="004C3740">
      <w:pPr>
        <w:rPr>
          <w:rFonts w:ascii="Gotham Book" w:hAnsi="Gotham Book"/>
          <w:sz w:val="24"/>
          <w:szCs w:val="24"/>
        </w:rPr>
      </w:pPr>
      <w:r>
        <w:rPr>
          <w:rFonts w:ascii="Gotham Book" w:hAnsi="Gotham Book"/>
          <w:sz w:val="24"/>
          <w:szCs w:val="24"/>
        </w:rPr>
        <w:t>Because they finance emissions t</w:t>
      </w:r>
      <w:r w:rsidRPr="003F587E">
        <w:rPr>
          <w:rFonts w:ascii="Gotham Book" w:hAnsi="Gotham Book"/>
          <w:sz w:val="24"/>
          <w:szCs w:val="24"/>
        </w:rPr>
        <w:t xml:space="preserve">he </w:t>
      </w:r>
      <w:r>
        <w:rPr>
          <w:rFonts w:ascii="Gotham Book" w:hAnsi="Gotham Book"/>
          <w:sz w:val="24"/>
          <w:szCs w:val="24"/>
        </w:rPr>
        <w:t>4 major</w:t>
      </w:r>
      <w:r w:rsidRPr="003F587E">
        <w:rPr>
          <w:rFonts w:ascii="Gotham Book" w:hAnsi="Gotham Book"/>
          <w:sz w:val="24"/>
          <w:szCs w:val="24"/>
        </w:rPr>
        <w:t xml:space="preserve"> Australian banks have three </w:t>
      </w:r>
      <w:r>
        <w:rPr>
          <w:rFonts w:ascii="Gotham Book" w:hAnsi="Gotham Book"/>
          <w:sz w:val="24"/>
          <w:szCs w:val="24"/>
        </w:rPr>
        <w:t xml:space="preserve">potential </w:t>
      </w:r>
      <w:r w:rsidRPr="003F587E">
        <w:rPr>
          <w:rFonts w:ascii="Gotham Book" w:hAnsi="Gotham Book"/>
          <w:sz w:val="24"/>
          <w:szCs w:val="24"/>
        </w:rPr>
        <w:t xml:space="preserve">sources of exposure to </w:t>
      </w:r>
      <w:r>
        <w:rPr>
          <w:rFonts w:ascii="Gotham Book" w:hAnsi="Gotham Book"/>
          <w:sz w:val="24"/>
          <w:szCs w:val="24"/>
        </w:rPr>
        <w:t>this ‘</w:t>
      </w:r>
      <w:proofErr w:type="spellStart"/>
      <w:r>
        <w:rPr>
          <w:rFonts w:ascii="Gotham Book" w:hAnsi="Gotham Book"/>
          <w:sz w:val="24"/>
          <w:szCs w:val="24"/>
        </w:rPr>
        <w:t>unburnable</w:t>
      </w:r>
      <w:proofErr w:type="spellEnd"/>
      <w:r>
        <w:rPr>
          <w:rFonts w:ascii="Gotham Book" w:hAnsi="Gotham Book"/>
          <w:sz w:val="24"/>
          <w:szCs w:val="24"/>
        </w:rPr>
        <w:t xml:space="preserve"> carbon bubble’ bursting</w:t>
      </w:r>
      <w:r w:rsidRPr="003F587E">
        <w:rPr>
          <w:rFonts w:ascii="Gotham Book" w:hAnsi="Gotham Book"/>
          <w:sz w:val="24"/>
          <w:szCs w:val="24"/>
        </w:rPr>
        <w:t>:</w:t>
      </w:r>
    </w:p>
    <w:p w:rsidR="004C3740" w:rsidRDefault="004C3740" w:rsidP="004C3740">
      <w:pPr>
        <w:pStyle w:val="ListParagraph"/>
        <w:numPr>
          <w:ilvl w:val="0"/>
          <w:numId w:val="1"/>
        </w:numPr>
        <w:rPr>
          <w:rFonts w:ascii="Gotham Book" w:hAnsi="Gotham Book"/>
          <w:sz w:val="24"/>
          <w:szCs w:val="24"/>
        </w:rPr>
      </w:pPr>
      <w:r>
        <w:rPr>
          <w:rFonts w:ascii="Gotham Book" w:hAnsi="Gotham Book"/>
          <w:sz w:val="24"/>
          <w:szCs w:val="24"/>
        </w:rPr>
        <w:lastRenderedPageBreak/>
        <w:t xml:space="preserve">On balance sheet loss resulting from (a) </w:t>
      </w:r>
      <w:r w:rsidRPr="003F587E">
        <w:rPr>
          <w:rFonts w:ascii="Gotham Book" w:hAnsi="Gotham Book"/>
          <w:sz w:val="24"/>
          <w:szCs w:val="24"/>
        </w:rPr>
        <w:t>credit risk exposure in the event of debt default</w:t>
      </w:r>
      <w:r>
        <w:rPr>
          <w:rFonts w:ascii="Gotham Book" w:hAnsi="Gotham Book"/>
          <w:sz w:val="24"/>
          <w:szCs w:val="24"/>
        </w:rPr>
        <w:t xml:space="preserve"> or (b) equity write down on bank owned assets</w:t>
      </w:r>
      <w:r w:rsidRPr="003F587E">
        <w:rPr>
          <w:rFonts w:ascii="Gotham Book" w:hAnsi="Gotham Book"/>
          <w:sz w:val="24"/>
          <w:szCs w:val="24"/>
        </w:rPr>
        <w:t>;</w:t>
      </w:r>
    </w:p>
    <w:p w:rsidR="004C3740" w:rsidRPr="00805101" w:rsidRDefault="004C3740" w:rsidP="004C3740">
      <w:pPr>
        <w:pStyle w:val="ListParagraph"/>
        <w:numPr>
          <w:ilvl w:val="0"/>
          <w:numId w:val="1"/>
        </w:numPr>
        <w:rPr>
          <w:rFonts w:ascii="Gotham Book" w:hAnsi="Gotham Book"/>
          <w:sz w:val="24"/>
          <w:szCs w:val="24"/>
        </w:rPr>
      </w:pPr>
      <w:r w:rsidRPr="003F587E">
        <w:rPr>
          <w:rFonts w:ascii="Gotham Book" w:hAnsi="Gotham Book"/>
          <w:sz w:val="24"/>
          <w:szCs w:val="24"/>
        </w:rPr>
        <w:t>regulatory, reputational a</w:t>
      </w:r>
      <w:r>
        <w:rPr>
          <w:rFonts w:ascii="Gotham Book" w:hAnsi="Gotham Book"/>
          <w:sz w:val="24"/>
          <w:szCs w:val="24"/>
        </w:rPr>
        <w:t>nd legal risk exposure stemming from</w:t>
      </w:r>
      <w:r w:rsidRPr="003F587E">
        <w:rPr>
          <w:rFonts w:ascii="Gotham Book" w:hAnsi="Gotham Book"/>
          <w:sz w:val="24"/>
          <w:szCs w:val="24"/>
        </w:rPr>
        <w:t xml:space="preserve"> their trustee and fiduciary duties as </w:t>
      </w:r>
      <w:r>
        <w:rPr>
          <w:rFonts w:ascii="Gotham Book" w:hAnsi="Gotham Book"/>
          <w:sz w:val="24"/>
          <w:szCs w:val="24"/>
        </w:rPr>
        <w:t xml:space="preserve">(a) custodians or (b) </w:t>
      </w:r>
      <w:r w:rsidRPr="003F587E">
        <w:rPr>
          <w:rFonts w:ascii="Gotham Book" w:hAnsi="Gotham Book"/>
          <w:sz w:val="24"/>
          <w:szCs w:val="24"/>
        </w:rPr>
        <w:t>wealth managers</w:t>
      </w:r>
      <w:r>
        <w:rPr>
          <w:rFonts w:ascii="Gotham Book" w:hAnsi="Gotham Book"/>
          <w:sz w:val="24"/>
          <w:szCs w:val="24"/>
        </w:rPr>
        <w:t xml:space="preserve"> in the event their risk management is found wanting</w:t>
      </w:r>
      <w:r w:rsidR="0005611F">
        <w:rPr>
          <w:rFonts w:ascii="Gotham Book" w:hAnsi="Gotham Book"/>
          <w:sz w:val="24"/>
          <w:szCs w:val="24"/>
        </w:rPr>
        <w:t>;</w:t>
      </w:r>
    </w:p>
    <w:p w:rsidR="004C3740" w:rsidRPr="003F587E" w:rsidRDefault="004C3740" w:rsidP="004C3740">
      <w:pPr>
        <w:pStyle w:val="ListParagraph"/>
        <w:numPr>
          <w:ilvl w:val="0"/>
          <w:numId w:val="1"/>
        </w:numPr>
        <w:rPr>
          <w:rFonts w:ascii="Gotham Book" w:hAnsi="Gotham Book"/>
          <w:sz w:val="24"/>
          <w:szCs w:val="24"/>
        </w:rPr>
      </w:pPr>
      <w:proofErr w:type="gramStart"/>
      <w:r w:rsidRPr="003F587E">
        <w:rPr>
          <w:rFonts w:ascii="Gotham Book" w:hAnsi="Gotham Book"/>
          <w:sz w:val="24"/>
          <w:szCs w:val="24"/>
        </w:rPr>
        <w:t>equities</w:t>
      </w:r>
      <w:proofErr w:type="gramEnd"/>
      <w:r w:rsidRPr="003F587E">
        <w:rPr>
          <w:rFonts w:ascii="Gotham Book" w:hAnsi="Gotham Book"/>
          <w:sz w:val="24"/>
          <w:szCs w:val="24"/>
        </w:rPr>
        <w:t xml:space="preserve"> market risk exposure in the event of significant write-downs of the market value of the equity in reserve owners and extraction businesses, fossil fuel generators and companies whose clientele is substantially drawn from these businesses</w:t>
      </w:r>
      <w:r>
        <w:rPr>
          <w:rFonts w:ascii="Gotham Book" w:hAnsi="Gotham Book"/>
          <w:sz w:val="24"/>
          <w:szCs w:val="24"/>
        </w:rPr>
        <w:t>. Write downs affecting the banks could result from equity holdings by their (a) defined benefit super funds or (b) insurance operations</w:t>
      </w:r>
      <w:r w:rsidR="0005611F">
        <w:rPr>
          <w:rFonts w:ascii="Gotham Book" w:hAnsi="Gotham Book"/>
          <w:sz w:val="24"/>
          <w:szCs w:val="24"/>
        </w:rPr>
        <w:t>.</w:t>
      </w:r>
    </w:p>
    <w:p w:rsidR="0005611F" w:rsidRPr="001A1A13" w:rsidRDefault="0005611F" w:rsidP="0005611F">
      <w:r w:rsidRPr="0005611F">
        <w:rPr>
          <w:rFonts w:ascii="Gotham Book" w:hAnsi="Gotham Book"/>
          <w:sz w:val="24"/>
          <w:szCs w:val="24"/>
        </w:rPr>
        <w:t>Using information publicly available</w:t>
      </w:r>
      <w:r>
        <w:rPr>
          <w:rFonts w:ascii="Gotham Book" w:hAnsi="Gotham Book"/>
          <w:sz w:val="24"/>
          <w:szCs w:val="24"/>
        </w:rPr>
        <w:t xml:space="preserve"> and data supplied by CAER/EIRIS</w:t>
      </w:r>
      <w:r>
        <w:rPr>
          <w:rStyle w:val="FootnoteReference"/>
          <w:rFonts w:ascii="Gotham Book" w:hAnsi="Gotham Book"/>
          <w:sz w:val="24"/>
          <w:szCs w:val="24"/>
        </w:rPr>
        <w:footnoteReference w:id="3"/>
      </w:r>
      <w:r>
        <w:rPr>
          <w:rFonts w:ascii="Gotham Book" w:hAnsi="Gotham Book"/>
          <w:sz w:val="24"/>
          <w:szCs w:val="24"/>
        </w:rPr>
        <w:t xml:space="preserve"> the ACCR evaluated the </w:t>
      </w:r>
      <w:r w:rsidR="004661FE">
        <w:rPr>
          <w:rFonts w:ascii="Gotham Book" w:hAnsi="Gotham Book"/>
          <w:sz w:val="24"/>
          <w:szCs w:val="24"/>
        </w:rPr>
        <w:t xml:space="preserve">‘post-treatment’ </w:t>
      </w:r>
      <w:r>
        <w:rPr>
          <w:rFonts w:ascii="Gotham Book" w:hAnsi="Gotham Book"/>
          <w:sz w:val="24"/>
          <w:szCs w:val="24"/>
        </w:rPr>
        <w:t xml:space="preserve">exposure of the top 4 Australian banks to this </w:t>
      </w:r>
      <w:proofErr w:type="spellStart"/>
      <w:r>
        <w:rPr>
          <w:rFonts w:ascii="Gotham Book" w:hAnsi="Gotham Book"/>
          <w:sz w:val="24"/>
          <w:szCs w:val="24"/>
        </w:rPr>
        <w:t>unburnable</w:t>
      </w:r>
      <w:proofErr w:type="spellEnd"/>
      <w:r>
        <w:rPr>
          <w:rFonts w:ascii="Gotham Book" w:hAnsi="Gotham Book"/>
          <w:sz w:val="24"/>
          <w:szCs w:val="24"/>
        </w:rPr>
        <w:t xml:space="preserve"> carbon risk.</w:t>
      </w:r>
      <w:r>
        <w:rPr>
          <w:rStyle w:val="FootnoteReference"/>
          <w:rFonts w:ascii="Gotham Book" w:hAnsi="Gotham Book"/>
          <w:sz w:val="24"/>
          <w:szCs w:val="24"/>
        </w:rPr>
        <w:footnoteReference w:id="4"/>
      </w:r>
      <w:r>
        <w:rPr>
          <w:rFonts w:ascii="Gotham Book" w:hAnsi="Gotham Book"/>
          <w:sz w:val="24"/>
          <w:szCs w:val="24"/>
        </w:rPr>
        <w:t xml:space="preserve"> </w:t>
      </w:r>
    </w:p>
    <w:p w:rsidR="004661FE" w:rsidRDefault="004661FE" w:rsidP="004C3740">
      <w:pPr>
        <w:rPr>
          <w:rFonts w:ascii="Gotham Book" w:hAnsi="Gotham Book"/>
          <w:b/>
          <w:sz w:val="24"/>
          <w:szCs w:val="24"/>
        </w:rPr>
      </w:pPr>
      <w:r w:rsidRPr="004661FE">
        <w:rPr>
          <w:rFonts w:ascii="Gotham Book" w:hAnsi="Gotham Book"/>
          <w:b/>
          <w:sz w:val="24"/>
          <w:szCs w:val="24"/>
        </w:rPr>
        <w:t>ANZ</w:t>
      </w:r>
    </w:p>
    <w:p w:rsidR="007A72F3" w:rsidRDefault="007A72F3" w:rsidP="007A72F3">
      <w:pPr>
        <w:rPr>
          <w:rFonts w:ascii="Gotham Book" w:hAnsi="Gotham Book"/>
          <w:sz w:val="24"/>
          <w:szCs w:val="24"/>
        </w:rPr>
      </w:pPr>
      <w:r w:rsidRPr="007A72F3">
        <w:rPr>
          <w:rFonts w:ascii="Gotham Book" w:hAnsi="Gotham Book"/>
          <w:sz w:val="24"/>
          <w:szCs w:val="24"/>
        </w:rPr>
        <w:t xml:space="preserve">The ACCR paper ‘Financed emissions, </w:t>
      </w:r>
      <w:proofErr w:type="spellStart"/>
      <w:r w:rsidRPr="007A72F3">
        <w:rPr>
          <w:rFonts w:ascii="Gotham Book" w:hAnsi="Gotham Book"/>
          <w:sz w:val="24"/>
          <w:szCs w:val="24"/>
        </w:rPr>
        <w:t>unburnable</w:t>
      </w:r>
      <w:proofErr w:type="spellEnd"/>
      <w:r w:rsidRPr="007A72F3">
        <w:rPr>
          <w:rFonts w:ascii="Gotham Book" w:hAnsi="Gotham Book"/>
          <w:sz w:val="24"/>
          <w:szCs w:val="24"/>
        </w:rPr>
        <w:t xml:space="preserve"> carbon risk and the major Australian banks’ ranked the top four banks from least to most exposed. ANZ ranked second most exposed. </w:t>
      </w:r>
      <w:r>
        <w:rPr>
          <w:rFonts w:ascii="Gotham Book" w:hAnsi="Gotham Book"/>
          <w:sz w:val="24"/>
          <w:szCs w:val="24"/>
        </w:rPr>
        <w:t>It had</w:t>
      </w:r>
      <w:r w:rsidRPr="007A72F3">
        <w:rPr>
          <w:rFonts w:ascii="Gotham Book" w:hAnsi="Gotham Book"/>
          <w:sz w:val="24"/>
          <w:szCs w:val="24"/>
        </w:rPr>
        <w:t xml:space="preserve"> the largest on balance sheet debt exposure</w:t>
      </w:r>
      <w:r>
        <w:rPr>
          <w:rFonts w:ascii="Gotham Book" w:hAnsi="Gotham Book"/>
          <w:sz w:val="24"/>
          <w:szCs w:val="24"/>
        </w:rPr>
        <w:t xml:space="preserve"> – 14% of 2013 bank equity</w:t>
      </w:r>
      <w:r w:rsidRPr="007A72F3">
        <w:rPr>
          <w:rFonts w:ascii="Gotham Book" w:hAnsi="Gotham Book"/>
          <w:sz w:val="24"/>
          <w:szCs w:val="24"/>
        </w:rPr>
        <w:t xml:space="preserve">, the second largest equities market exposure </w:t>
      </w:r>
      <w:r>
        <w:rPr>
          <w:rFonts w:ascii="Gotham Book" w:hAnsi="Gotham Book"/>
          <w:sz w:val="24"/>
          <w:szCs w:val="24"/>
        </w:rPr>
        <w:t>but a poor rating from the AODP</w:t>
      </w:r>
    </w:p>
    <w:p w:rsidR="001A1A13" w:rsidRDefault="001A1A13" w:rsidP="00F3665C">
      <w:pPr>
        <w:rPr>
          <w:rFonts w:ascii="Gotham Book" w:hAnsi="Gotham Book"/>
          <w:sz w:val="24"/>
          <w:szCs w:val="24"/>
        </w:rPr>
      </w:pPr>
      <w:r>
        <w:rPr>
          <w:rFonts w:ascii="Gotham Book" w:hAnsi="Gotham Book"/>
          <w:sz w:val="24"/>
          <w:szCs w:val="24"/>
        </w:rPr>
        <w:t>Earlier in the year resolutions dealing with disclosure of financed emissions attracted close to a one quarter vote in support at the AGM’s of Bank of America and PNC Financial.</w:t>
      </w:r>
      <w:r>
        <w:rPr>
          <w:rStyle w:val="FootnoteReference"/>
          <w:rFonts w:ascii="Gotham Book" w:hAnsi="Gotham Book"/>
          <w:sz w:val="24"/>
          <w:szCs w:val="24"/>
        </w:rPr>
        <w:footnoteReference w:id="5"/>
      </w:r>
    </w:p>
    <w:p w:rsidR="00F3665C" w:rsidRDefault="00F3665C" w:rsidP="00F3665C">
      <w:pPr>
        <w:rPr>
          <w:rFonts w:ascii="Gotham Book" w:hAnsi="Gotham Book"/>
          <w:b/>
          <w:sz w:val="24"/>
          <w:szCs w:val="24"/>
        </w:rPr>
      </w:pPr>
      <w:r>
        <w:rPr>
          <w:rFonts w:ascii="Gotham Book" w:hAnsi="Gotham Book"/>
          <w:b/>
          <w:sz w:val="24"/>
          <w:szCs w:val="24"/>
        </w:rPr>
        <w:t xml:space="preserve">Contact: </w:t>
      </w:r>
    </w:p>
    <w:p w:rsidR="00F3665C" w:rsidRPr="00AF011D" w:rsidRDefault="00F3665C" w:rsidP="00F3665C">
      <w:pPr>
        <w:rPr>
          <w:rFonts w:ascii="Gotham Book" w:hAnsi="Gotham Book"/>
          <w:sz w:val="24"/>
          <w:szCs w:val="24"/>
        </w:rPr>
      </w:pPr>
      <w:r>
        <w:rPr>
          <w:rFonts w:ascii="Gotham Book" w:hAnsi="Gotham Book"/>
          <w:b/>
          <w:sz w:val="24"/>
          <w:szCs w:val="24"/>
        </w:rPr>
        <w:t xml:space="preserve">Caroline Le Couteur, ACCR, </w:t>
      </w:r>
      <w:r w:rsidRPr="00AF011D">
        <w:rPr>
          <w:rFonts w:ascii="Gotham Book" w:hAnsi="Gotham Book"/>
          <w:sz w:val="24"/>
          <w:szCs w:val="24"/>
        </w:rPr>
        <w:t xml:space="preserve">+ 61 (0) 405 </w:t>
      </w:r>
      <w:proofErr w:type="gramStart"/>
      <w:r w:rsidRPr="00AF011D">
        <w:rPr>
          <w:rFonts w:ascii="Gotham Book" w:hAnsi="Gotham Book"/>
          <w:sz w:val="24"/>
          <w:szCs w:val="24"/>
        </w:rPr>
        <w:t>221  587</w:t>
      </w:r>
      <w:proofErr w:type="gramEnd"/>
      <w:r w:rsidRPr="00AF011D">
        <w:rPr>
          <w:rFonts w:ascii="Gotham Book" w:hAnsi="Gotham Book"/>
          <w:sz w:val="24"/>
          <w:szCs w:val="24"/>
        </w:rPr>
        <w:t xml:space="preserve"> </w:t>
      </w:r>
    </w:p>
    <w:p w:rsidR="00F3665C" w:rsidRDefault="00F3665C" w:rsidP="00F3665C">
      <w:pPr>
        <w:rPr>
          <w:rFonts w:ascii="Gotham Book" w:hAnsi="Gotham Book" w:cs="Arial"/>
          <w:color w:val="000000"/>
          <w:sz w:val="24"/>
          <w:szCs w:val="24"/>
          <w:lang w:eastAsia="en-AU"/>
        </w:rPr>
      </w:pPr>
      <w:r>
        <w:rPr>
          <w:rFonts w:ascii="Gotham Book" w:hAnsi="Gotham Book"/>
          <w:b/>
          <w:sz w:val="24"/>
          <w:szCs w:val="24"/>
        </w:rPr>
        <w:t>Julian Poulter, AODP</w:t>
      </w:r>
      <w:proofErr w:type="gramStart"/>
      <w:r>
        <w:rPr>
          <w:rFonts w:ascii="Gotham Book" w:hAnsi="Gotham Book"/>
          <w:b/>
          <w:sz w:val="24"/>
          <w:szCs w:val="24"/>
        </w:rPr>
        <w:t xml:space="preserve">,  </w:t>
      </w:r>
      <w:r w:rsidRPr="00AF011D">
        <w:rPr>
          <w:rFonts w:ascii="Gotham Book" w:hAnsi="Gotham Book" w:cs="Arial"/>
          <w:color w:val="000000"/>
          <w:sz w:val="24"/>
          <w:szCs w:val="24"/>
          <w:lang w:eastAsia="en-AU"/>
        </w:rPr>
        <w:t>+</w:t>
      </w:r>
      <w:proofErr w:type="gramEnd"/>
      <w:r w:rsidRPr="00AF011D">
        <w:rPr>
          <w:rFonts w:ascii="Gotham Book" w:hAnsi="Gotham Book" w:cs="Arial"/>
          <w:color w:val="000000"/>
          <w:sz w:val="24"/>
          <w:szCs w:val="24"/>
          <w:lang w:eastAsia="en-AU"/>
        </w:rPr>
        <w:t>44 7518 410496</w:t>
      </w:r>
    </w:p>
    <w:p w:rsidR="00F3665C" w:rsidRDefault="00F3665C" w:rsidP="00F3665C">
      <w:pPr>
        <w:rPr>
          <w:rFonts w:ascii="Gotham Book" w:hAnsi="Gotham Book" w:cs="Arial"/>
          <w:color w:val="000000"/>
          <w:sz w:val="24"/>
          <w:szCs w:val="24"/>
          <w:lang w:eastAsia="en-AU"/>
        </w:rPr>
      </w:pPr>
    </w:p>
    <w:p w:rsidR="00F3665C" w:rsidRDefault="00F3665C" w:rsidP="00F3665C">
      <w:pPr>
        <w:rPr>
          <w:rFonts w:ascii="Gotham Book" w:hAnsi="Gotham Book" w:cs="Arial"/>
          <w:color w:val="000000"/>
          <w:sz w:val="24"/>
          <w:szCs w:val="24"/>
          <w:lang w:eastAsia="en-AU"/>
        </w:rPr>
      </w:pPr>
    </w:p>
    <w:tbl>
      <w:tblPr>
        <w:tblStyle w:val="TableGrid"/>
        <w:tblW w:w="9512" w:type="dxa"/>
        <w:tblLook w:val="04A0" w:firstRow="1" w:lastRow="0" w:firstColumn="1" w:lastColumn="0" w:noHBand="0" w:noVBand="1"/>
      </w:tblPr>
      <w:tblGrid>
        <w:gridCol w:w="4756"/>
        <w:gridCol w:w="4756"/>
      </w:tblGrid>
      <w:tr w:rsidR="00F3665C" w:rsidTr="00DA731A">
        <w:trPr>
          <w:trHeight w:val="2040"/>
        </w:trPr>
        <w:tc>
          <w:tcPr>
            <w:tcW w:w="4756" w:type="dxa"/>
            <w:tcBorders>
              <w:top w:val="nil"/>
              <w:left w:val="nil"/>
              <w:bottom w:val="nil"/>
              <w:right w:val="nil"/>
            </w:tcBorders>
          </w:tcPr>
          <w:p w:rsidR="00F3665C" w:rsidRDefault="00F3665C" w:rsidP="00DA731A">
            <w:pPr>
              <w:jc w:val="center"/>
              <w:rPr>
                <w:rFonts w:ascii="Arial" w:hAnsi="Arial" w:cs="Arial"/>
                <w:color w:val="000000"/>
                <w:sz w:val="20"/>
                <w:szCs w:val="20"/>
                <w:lang w:eastAsia="en-AU"/>
              </w:rPr>
            </w:pPr>
            <w:r>
              <w:rPr>
                <w:noProof/>
                <w:lang w:eastAsia="en-AU"/>
              </w:rPr>
              <w:drawing>
                <wp:anchor distT="0" distB="0" distL="114300" distR="114300" simplePos="0" relativeHeight="251659264" behindDoc="0" locked="0" layoutInCell="1" allowOverlap="1" wp14:anchorId="1EB14DF7" wp14:editId="1308B41B">
                  <wp:simplePos x="0" y="0"/>
                  <wp:positionH relativeFrom="margin">
                    <wp:posOffset>113030</wp:posOffset>
                  </wp:positionH>
                  <wp:positionV relativeFrom="margin">
                    <wp:posOffset>266700</wp:posOffset>
                  </wp:positionV>
                  <wp:extent cx="2697480" cy="787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480" cy="787400"/>
                          </a:xfrm>
                          <a:prstGeom prst="rect">
                            <a:avLst/>
                          </a:prstGeom>
                        </pic:spPr>
                      </pic:pic>
                    </a:graphicData>
                  </a:graphic>
                </wp:anchor>
              </w:drawing>
            </w:r>
          </w:p>
        </w:tc>
        <w:tc>
          <w:tcPr>
            <w:tcW w:w="4756" w:type="dxa"/>
            <w:tcBorders>
              <w:top w:val="nil"/>
              <w:left w:val="nil"/>
              <w:bottom w:val="nil"/>
              <w:right w:val="nil"/>
            </w:tcBorders>
          </w:tcPr>
          <w:p w:rsidR="00F3665C" w:rsidRDefault="00F3665C" w:rsidP="00DA731A">
            <w:pPr>
              <w:jc w:val="center"/>
              <w:rPr>
                <w:rFonts w:ascii="Arial" w:hAnsi="Arial" w:cs="Arial"/>
                <w:color w:val="000000"/>
                <w:sz w:val="20"/>
                <w:szCs w:val="20"/>
                <w:lang w:eastAsia="en-AU"/>
              </w:rPr>
            </w:pPr>
            <w:r>
              <w:rPr>
                <w:noProof/>
                <w:lang w:eastAsia="en-AU"/>
              </w:rPr>
              <w:drawing>
                <wp:inline distT="0" distB="0" distL="0" distR="0" wp14:anchorId="4FF22C33" wp14:editId="189689CE">
                  <wp:extent cx="1303505" cy="115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3505" cy="1152000"/>
                          </a:xfrm>
                          <a:prstGeom prst="rect">
                            <a:avLst/>
                          </a:prstGeom>
                        </pic:spPr>
                      </pic:pic>
                    </a:graphicData>
                  </a:graphic>
                </wp:inline>
              </w:drawing>
            </w:r>
          </w:p>
        </w:tc>
      </w:tr>
    </w:tbl>
    <w:p w:rsidR="004661FE" w:rsidRPr="001A1A13" w:rsidRDefault="004661FE" w:rsidP="001A1A13">
      <w:pPr>
        <w:rPr>
          <w:rFonts w:ascii="Arial" w:hAnsi="Arial" w:cs="Arial"/>
          <w:color w:val="000000"/>
          <w:sz w:val="20"/>
          <w:szCs w:val="20"/>
          <w:lang w:eastAsia="en-AU"/>
        </w:rPr>
      </w:pPr>
    </w:p>
    <w:sectPr w:rsidR="004661FE" w:rsidRPr="001A1A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EE" w:rsidRDefault="002B77EE" w:rsidP="0005611F">
      <w:pPr>
        <w:spacing w:after="0" w:line="240" w:lineRule="auto"/>
      </w:pPr>
      <w:r>
        <w:separator/>
      </w:r>
    </w:p>
  </w:endnote>
  <w:endnote w:type="continuationSeparator" w:id="0">
    <w:p w:rsidR="002B77EE" w:rsidRDefault="002B77EE" w:rsidP="0005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EE" w:rsidRDefault="002B77EE" w:rsidP="0005611F">
      <w:pPr>
        <w:spacing w:after="0" w:line="240" w:lineRule="auto"/>
      </w:pPr>
      <w:r>
        <w:separator/>
      </w:r>
    </w:p>
  </w:footnote>
  <w:footnote w:type="continuationSeparator" w:id="0">
    <w:p w:rsidR="002B77EE" w:rsidRDefault="002B77EE" w:rsidP="0005611F">
      <w:pPr>
        <w:spacing w:after="0" w:line="240" w:lineRule="auto"/>
      </w:pPr>
      <w:r>
        <w:continuationSeparator/>
      </w:r>
    </w:p>
  </w:footnote>
  <w:footnote w:id="1">
    <w:p w:rsidR="001A1A13" w:rsidRDefault="001A1A13">
      <w:pPr>
        <w:pStyle w:val="FootnoteText"/>
      </w:pPr>
      <w:r>
        <w:rPr>
          <w:rStyle w:val="FootnoteReference"/>
        </w:rPr>
        <w:footnoteRef/>
      </w:r>
      <w:r>
        <w:t xml:space="preserve"> Please note Australian law is unclear about the validity of ordinary resolutions in this form and it is possible a similarly worded second preference special resolution will be included on the notice of meeting by ANZ.</w:t>
      </w:r>
    </w:p>
  </w:footnote>
  <w:footnote w:id="2">
    <w:p w:rsidR="0005611F" w:rsidRPr="00135C4B" w:rsidRDefault="0005611F" w:rsidP="0005611F">
      <w:pPr>
        <w:pStyle w:val="FootnoteText"/>
      </w:pPr>
      <w:r>
        <w:rPr>
          <w:rStyle w:val="FootnoteReference"/>
        </w:rPr>
        <w:footnoteRef/>
      </w:r>
      <w:r>
        <w:t xml:space="preserve"> </w:t>
      </w:r>
      <w:r w:rsidR="005E25BA">
        <w:t xml:space="preserve">Despite this ‘bubble’ globally fossil fuel subsidies exceed renewable energy subsidies by a factor of six. </w:t>
      </w:r>
      <w:r>
        <w:t xml:space="preserve">For a more extensive discussion of public policy, investment risk and company valuations see </w:t>
      </w:r>
      <w:r w:rsidRPr="00135C4B">
        <w:rPr>
          <w:i/>
        </w:rPr>
        <w:t>Climate proofing your investments: moving funds out fossil fuels</w:t>
      </w:r>
      <w:r>
        <w:rPr>
          <w:i/>
        </w:rPr>
        <w:t xml:space="preserve">, </w:t>
      </w:r>
      <w:r>
        <w:t xml:space="preserve">TAI, March 2014 at </w:t>
      </w:r>
      <w:hyperlink r:id="rId1" w:history="1">
        <w:r w:rsidRPr="00B53223">
          <w:rPr>
            <w:rStyle w:val="Hyperlink"/>
          </w:rPr>
          <w:t>http://www.tai.org.au/content/climate-proofing-your-investments-moving-funds-out-fossil-fuels</w:t>
        </w:r>
      </w:hyperlink>
      <w:r>
        <w:t xml:space="preserve"> .</w:t>
      </w:r>
    </w:p>
    <w:p w:rsidR="0005611F" w:rsidRDefault="0005611F">
      <w:pPr>
        <w:pStyle w:val="FootnoteText"/>
      </w:pPr>
    </w:p>
  </w:footnote>
  <w:footnote w:id="3">
    <w:p w:rsidR="0005611F" w:rsidRDefault="0005611F">
      <w:pPr>
        <w:pStyle w:val="FootnoteText"/>
      </w:pPr>
      <w:r>
        <w:rPr>
          <w:rStyle w:val="FootnoteReference"/>
        </w:rPr>
        <w:footnoteRef/>
      </w:r>
      <w:r>
        <w:t xml:space="preserve"> See </w:t>
      </w:r>
      <w:hyperlink r:id="rId2" w:history="1">
        <w:r w:rsidR="001A1A13" w:rsidRPr="00B24A63">
          <w:rPr>
            <w:rStyle w:val="Hyperlink"/>
          </w:rPr>
          <w:t>www.</w:t>
        </w:r>
        <w:r w:rsidR="001A1A13" w:rsidRPr="00B24A63">
          <w:rPr>
            <w:rStyle w:val="Hyperlink"/>
            <w:b/>
            <w:bCs/>
          </w:rPr>
          <w:t>caer</w:t>
        </w:r>
        <w:r w:rsidR="001A1A13" w:rsidRPr="00B24A63">
          <w:rPr>
            <w:rStyle w:val="Hyperlink"/>
          </w:rPr>
          <w:t>.com.au</w:t>
        </w:r>
      </w:hyperlink>
      <w:r>
        <w:rPr>
          <w:rStyle w:val="HTMLCite"/>
        </w:rPr>
        <w:t xml:space="preserve"> .</w:t>
      </w:r>
    </w:p>
  </w:footnote>
  <w:footnote w:id="4">
    <w:p w:rsidR="0005611F" w:rsidRDefault="0005611F">
      <w:pPr>
        <w:pStyle w:val="FootnoteText"/>
      </w:pPr>
      <w:r>
        <w:rPr>
          <w:rStyle w:val="FootnoteReference"/>
        </w:rPr>
        <w:footnoteRef/>
      </w:r>
      <w:r>
        <w:t xml:space="preserve"> </w:t>
      </w:r>
      <w:proofErr w:type="gramStart"/>
      <w:r>
        <w:t>S</w:t>
      </w:r>
      <w:r w:rsidR="001A1A13">
        <w:t xml:space="preserve">ee  </w:t>
      </w:r>
      <w:proofErr w:type="gramEnd"/>
      <w:hyperlink r:id="rId3" w:history="1">
        <w:r w:rsidR="001A1A13" w:rsidRPr="00B24A63">
          <w:rPr>
            <w:rStyle w:val="Hyperlink"/>
          </w:rPr>
          <w:t>www.accr.org.au/bigbanks</w:t>
        </w:r>
      </w:hyperlink>
      <w:r w:rsidR="001A1A13">
        <w:t xml:space="preserve"> .</w:t>
      </w:r>
    </w:p>
  </w:footnote>
  <w:footnote w:id="5">
    <w:p w:rsidR="001A1A13" w:rsidRDefault="001A1A13" w:rsidP="001A1A13">
      <w:pPr>
        <w:pStyle w:val="FootnoteText"/>
      </w:pPr>
      <w:r>
        <w:rPr>
          <w:rStyle w:val="FootnoteReference"/>
        </w:rPr>
        <w:footnoteRef/>
      </w:r>
      <w:r>
        <w:t xml:space="preserve"> See </w:t>
      </w:r>
      <w:hyperlink r:id="rId4" w:history="1">
        <w:r w:rsidRPr="00B659A3">
          <w:rPr>
            <w:rStyle w:val="Hyperlink"/>
          </w:rPr>
          <w:t>http://www.ceres.org/investor-network/resolutions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2058D"/>
    <w:multiLevelType w:val="hybridMultilevel"/>
    <w:tmpl w:val="4C2A4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F51B16"/>
    <w:multiLevelType w:val="hybridMultilevel"/>
    <w:tmpl w:val="C03A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2D6A7D-632E-453B-A8BA-AF4BEF44B33B}"/>
    <w:docVar w:name="dgnword-eventsink" w:val="87912656"/>
  </w:docVars>
  <w:rsids>
    <w:rsidRoot w:val="004C3740"/>
    <w:rsid w:val="0005611F"/>
    <w:rsid w:val="001A1A13"/>
    <w:rsid w:val="002B77EE"/>
    <w:rsid w:val="00350FAA"/>
    <w:rsid w:val="00422127"/>
    <w:rsid w:val="004661FE"/>
    <w:rsid w:val="004C3740"/>
    <w:rsid w:val="005E25BA"/>
    <w:rsid w:val="007A72F3"/>
    <w:rsid w:val="00A26EBF"/>
    <w:rsid w:val="00AF0482"/>
    <w:rsid w:val="00DB5654"/>
    <w:rsid w:val="00ED3AB3"/>
    <w:rsid w:val="00F3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40"/>
    <w:pPr>
      <w:ind w:left="720"/>
      <w:contextualSpacing/>
    </w:pPr>
  </w:style>
  <w:style w:type="paragraph" w:styleId="FootnoteText">
    <w:name w:val="footnote text"/>
    <w:basedOn w:val="Normal"/>
    <w:link w:val="FootnoteTextChar"/>
    <w:uiPriority w:val="99"/>
    <w:semiHidden/>
    <w:unhideWhenUsed/>
    <w:rsid w:val="00056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11F"/>
    <w:rPr>
      <w:sz w:val="20"/>
      <w:szCs w:val="20"/>
    </w:rPr>
  </w:style>
  <w:style w:type="character" w:styleId="FootnoteReference">
    <w:name w:val="footnote reference"/>
    <w:basedOn w:val="DefaultParagraphFont"/>
    <w:uiPriority w:val="99"/>
    <w:semiHidden/>
    <w:unhideWhenUsed/>
    <w:rsid w:val="0005611F"/>
    <w:rPr>
      <w:vertAlign w:val="superscript"/>
    </w:rPr>
  </w:style>
  <w:style w:type="character" w:styleId="Hyperlink">
    <w:name w:val="Hyperlink"/>
    <w:basedOn w:val="DefaultParagraphFont"/>
    <w:uiPriority w:val="99"/>
    <w:unhideWhenUsed/>
    <w:rsid w:val="0005611F"/>
    <w:rPr>
      <w:color w:val="0000FF" w:themeColor="hyperlink"/>
      <w:u w:val="single"/>
    </w:rPr>
  </w:style>
  <w:style w:type="character" w:styleId="HTMLCite">
    <w:name w:val="HTML Cite"/>
    <w:basedOn w:val="DefaultParagraphFont"/>
    <w:uiPriority w:val="99"/>
    <w:semiHidden/>
    <w:unhideWhenUsed/>
    <w:rsid w:val="0005611F"/>
    <w:rPr>
      <w:i/>
      <w:iCs/>
    </w:rPr>
  </w:style>
  <w:style w:type="table" w:styleId="TableGrid">
    <w:name w:val="Table Grid"/>
    <w:basedOn w:val="TableNormal"/>
    <w:uiPriority w:val="59"/>
    <w:rsid w:val="00F3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40"/>
    <w:pPr>
      <w:ind w:left="720"/>
      <w:contextualSpacing/>
    </w:pPr>
  </w:style>
  <w:style w:type="paragraph" w:styleId="FootnoteText">
    <w:name w:val="footnote text"/>
    <w:basedOn w:val="Normal"/>
    <w:link w:val="FootnoteTextChar"/>
    <w:uiPriority w:val="99"/>
    <w:semiHidden/>
    <w:unhideWhenUsed/>
    <w:rsid w:val="00056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11F"/>
    <w:rPr>
      <w:sz w:val="20"/>
      <w:szCs w:val="20"/>
    </w:rPr>
  </w:style>
  <w:style w:type="character" w:styleId="FootnoteReference">
    <w:name w:val="footnote reference"/>
    <w:basedOn w:val="DefaultParagraphFont"/>
    <w:uiPriority w:val="99"/>
    <w:semiHidden/>
    <w:unhideWhenUsed/>
    <w:rsid w:val="0005611F"/>
    <w:rPr>
      <w:vertAlign w:val="superscript"/>
    </w:rPr>
  </w:style>
  <w:style w:type="character" w:styleId="Hyperlink">
    <w:name w:val="Hyperlink"/>
    <w:basedOn w:val="DefaultParagraphFont"/>
    <w:uiPriority w:val="99"/>
    <w:unhideWhenUsed/>
    <w:rsid w:val="0005611F"/>
    <w:rPr>
      <w:color w:val="0000FF" w:themeColor="hyperlink"/>
      <w:u w:val="single"/>
    </w:rPr>
  </w:style>
  <w:style w:type="character" w:styleId="HTMLCite">
    <w:name w:val="HTML Cite"/>
    <w:basedOn w:val="DefaultParagraphFont"/>
    <w:uiPriority w:val="99"/>
    <w:semiHidden/>
    <w:unhideWhenUsed/>
    <w:rsid w:val="0005611F"/>
    <w:rPr>
      <w:i/>
      <w:iCs/>
    </w:rPr>
  </w:style>
  <w:style w:type="table" w:styleId="TableGrid">
    <w:name w:val="Table Grid"/>
    <w:basedOn w:val="TableNormal"/>
    <w:uiPriority w:val="59"/>
    <w:rsid w:val="00F3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ccr.org.au/bigbanks" TargetMode="External"/><Relationship Id="rId2" Type="http://schemas.openxmlformats.org/officeDocument/2006/relationships/hyperlink" Target="http://www.caer.com.au" TargetMode="External"/><Relationship Id="rId1" Type="http://schemas.openxmlformats.org/officeDocument/2006/relationships/hyperlink" Target="http://www.tai.org.au/content/climate-proofing-your-investments-moving-funds-out-fossil-fuels" TargetMode="External"/><Relationship Id="rId4" Type="http://schemas.openxmlformats.org/officeDocument/2006/relationships/hyperlink" Target="http://www.ceres.org/investor-network/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A35-0A5E-4EB4-B031-807CFC7C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Howard Pender</cp:lastModifiedBy>
  <cp:revision>2</cp:revision>
  <dcterms:created xsi:type="dcterms:W3CDTF">2014-10-08T00:07:00Z</dcterms:created>
  <dcterms:modified xsi:type="dcterms:W3CDTF">2014-10-08T00:07:00Z</dcterms:modified>
</cp:coreProperties>
</file>