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026FF" w14:textId="1D48E7AD" w:rsidR="00205267" w:rsidRPr="00205267" w:rsidRDefault="00205267" w:rsidP="00205267">
      <w:pPr>
        <w:spacing w:after="0" w:line="240" w:lineRule="auto"/>
        <w:ind w:left="6480" w:hanging="6480"/>
        <w:jc w:val="center"/>
        <w:rPr>
          <w:b/>
          <w:sz w:val="24"/>
          <w:szCs w:val="24"/>
        </w:rPr>
      </w:pPr>
      <w:bookmarkStart w:id="0" w:name="_GoBack"/>
      <w:bookmarkEnd w:id="0"/>
      <w:r w:rsidRPr="00205267">
        <w:rPr>
          <w:b/>
          <w:sz w:val="24"/>
          <w:szCs w:val="24"/>
        </w:rPr>
        <w:t xml:space="preserve">This statement is provided to all </w:t>
      </w:r>
      <w:r w:rsidR="007A6871">
        <w:rPr>
          <w:b/>
          <w:sz w:val="24"/>
          <w:szCs w:val="24"/>
        </w:rPr>
        <w:t>ORIGIN</w:t>
      </w:r>
      <w:r w:rsidRPr="00205267">
        <w:rPr>
          <w:b/>
          <w:sz w:val="24"/>
          <w:szCs w:val="24"/>
        </w:rPr>
        <w:t xml:space="preserve"> shareholders at the request of the</w:t>
      </w:r>
    </w:p>
    <w:p w14:paraId="4A60A307" w14:textId="57EE71D1" w:rsidR="00F15294" w:rsidRPr="00205267" w:rsidRDefault="00F15294" w:rsidP="00F15294">
      <w:pPr>
        <w:spacing w:line="240" w:lineRule="auto"/>
        <w:ind w:left="6480" w:hanging="6480"/>
        <w:jc w:val="center"/>
        <w:rPr>
          <w:b/>
          <w:sz w:val="24"/>
          <w:szCs w:val="24"/>
        </w:rPr>
      </w:pPr>
      <w:r w:rsidRPr="00205267">
        <w:rPr>
          <w:b/>
          <w:sz w:val="24"/>
          <w:szCs w:val="24"/>
        </w:rPr>
        <w:t>Australasian Centre for Corporate Responsibility</w:t>
      </w:r>
      <w:r w:rsidR="00460839">
        <w:rPr>
          <w:b/>
          <w:sz w:val="24"/>
          <w:szCs w:val="24"/>
        </w:rPr>
        <w:t xml:space="preserve"> and other </w:t>
      </w:r>
      <w:r w:rsidR="00D056F6">
        <w:rPr>
          <w:b/>
          <w:sz w:val="24"/>
          <w:szCs w:val="24"/>
        </w:rPr>
        <w:t xml:space="preserve">supportive </w:t>
      </w:r>
      <w:r w:rsidR="00460839">
        <w:rPr>
          <w:b/>
          <w:sz w:val="24"/>
          <w:szCs w:val="24"/>
        </w:rPr>
        <w:t>shareholders.</w:t>
      </w:r>
    </w:p>
    <w:p w14:paraId="785B125D" w14:textId="073C8B7C" w:rsidR="00015252" w:rsidRPr="003D2D11" w:rsidRDefault="00460839" w:rsidP="00460839">
      <w:pPr>
        <w:spacing w:line="240" w:lineRule="auto"/>
        <w:rPr>
          <w:rFonts w:ascii="Gotham Book" w:hAnsi="Gotham Book"/>
          <w:sz w:val="24"/>
          <w:szCs w:val="24"/>
        </w:rPr>
      </w:pPr>
      <w:r>
        <w:rPr>
          <w:rFonts w:ascii="Gotham Book" w:hAnsi="Gotham Book"/>
          <w:sz w:val="24"/>
          <w:szCs w:val="24"/>
        </w:rPr>
        <w:t>It de</w:t>
      </w:r>
      <w:r w:rsidR="00FC0D85">
        <w:rPr>
          <w:rFonts w:ascii="Gotham Book" w:hAnsi="Gotham Book"/>
          <w:sz w:val="24"/>
          <w:szCs w:val="24"/>
        </w:rPr>
        <w:t>als with the content of the</w:t>
      </w:r>
      <w:r>
        <w:rPr>
          <w:rFonts w:ascii="Gotham Book" w:hAnsi="Gotham Book"/>
          <w:sz w:val="24"/>
          <w:szCs w:val="24"/>
        </w:rPr>
        <w:t xml:space="preserve"> Annual Report. </w:t>
      </w:r>
      <w:r w:rsidR="00015252" w:rsidRPr="003D2D11">
        <w:rPr>
          <w:rFonts w:ascii="Gotham Book" w:hAnsi="Gotham Book"/>
          <w:sz w:val="24"/>
          <w:szCs w:val="24"/>
        </w:rPr>
        <w:t>Currently, in aggregate, fossil fuel companies are estimating with 90% certainty that they will be able to extract freely (for subsequent sale and combustion) over three times more carbon than is compatible with the internationally agreed ceiling. This inconsistency between financial accounting, physical reality and political intent is referred to as the ‘</w:t>
      </w:r>
      <w:proofErr w:type="spellStart"/>
      <w:r w:rsidR="00015252" w:rsidRPr="003D2D11">
        <w:rPr>
          <w:rFonts w:ascii="Gotham Book" w:hAnsi="Gotham Book"/>
          <w:sz w:val="24"/>
          <w:szCs w:val="24"/>
        </w:rPr>
        <w:t>unburnable</w:t>
      </w:r>
      <w:proofErr w:type="spellEnd"/>
      <w:r w:rsidR="00015252" w:rsidRPr="003D2D11">
        <w:rPr>
          <w:rFonts w:ascii="Gotham Book" w:hAnsi="Gotham Book"/>
          <w:sz w:val="24"/>
          <w:szCs w:val="24"/>
        </w:rPr>
        <w:t xml:space="preserve"> carbon bubble’.  It is akin to a traditional speculative bubble because all investor's expectations cannot be met. As the bubble bursts it is likely reserves and other fossil fuel specific assets </w:t>
      </w:r>
      <w:r>
        <w:rPr>
          <w:rFonts w:ascii="Gotham Book" w:hAnsi="Gotham Book"/>
          <w:sz w:val="24"/>
          <w:szCs w:val="24"/>
        </w:rPr>
        <w:t xml:space="preserve">like coal fired power stations </w:t>
      </w:r>
      <w:r w:rsidR="00015252" w:rsidRPr="003D2D11">
        <w:rPr>
          <w:rFonts w:ascii="Gotham Book" w:hAnsi="Gotham Book"/>
          <w:sz w:val="24"/>
          <w:szCs w:val="24"/>
        </w:rPr>
        <w:t xml:space="preserve">will become stranded, </w:t>
      </w:r>
      <w:proofErr w:type="spellStart"/>
      <w:r w:rsidR="00015252" w:rsidRPr="003D2D11">
        <w:rPr>
          <w:rFonts w:ascii="Gotham Book" w:hAnsi="Gotham Book"/>
          <w:sz w:val="24"/>
          <w:szCs w:val="24"/>
        </w:rPr>
        <w:t>ie</w:t>
      </w:r>
      <w:proofErr w:type="spellEnd"/>
      <w:r w:rsidR="00015252" w:rsidRPr="003D2D11">
        <w:rPr>
          <w:rFonts w:ascii="Gotham Book" w:hAnsi="Gotham Book"/>
          <w:sz w:val="24"/>
          <w:szCs w:val="24"/>
        </w:rPr>
        <w:t xml:space="preserve"> written down in value prior to the end of their economic life.</w:t>
      </w:r>
    </w:p>
    <w:p w14:paraId="70374BEC" w14:textId="77777777" w:rsidR="003D2D11" w:rsidRPr="003D2D11" w:rsidRDefault="003D2D11" w:rsidP="00460839">
      <w:pPr>
        <w:spacing w:line="240" w:lineRule="auto"/>
        <w:rPr>
          <w:rFonts w:ascii="Gotham Book" w:hAnsi="Gotham Book"/>
          <w:sz w:val="24"/>
          <w:szCs w:val="24"/>
        </w:rPr>
      </w:pPr>
      <w:r w:rsidRPr="003D2D11">
        <w:rPr>
          <w:rFonts w:ascii="Gotham Book" w:hAnsi="Gotham Book"/>
          <w:sz w:val="24"/>
          <w:szCs w:val="24"/>
        </w:rPr>
        <w:t xml:space="preserve">The IEA calculates carbon intensity of energy supply across time and countries. Globally, energy sector carbon intensity needs to decline by 6% by 2020, 43% by 2035 and 64% by 2050 to hold global warming to the agreed 2° C. </w:t>
      </w:r>
    </w:p>
    <w:p w14:paraId="2862C549" w14:textId="7B09ED90" w:rsidR="003D2D11" w:rsidRPr="003D2D11" w:rsidRDefault="003D2D11" w:rsidP="00460839">
      <w:pPr>
        <w:spacing w:line="240" w:lineRule="auto"/>
        <w:rPr>
          <w:rFonts w:ascii="Gotham Book" w:hAnsi="Gotham Book"/>
          <w:sz w:val="24"/>
          <w:szCs w:val="24"/>
        </w:rPr>
      </w:pPr>
      <w:r w:rsidRPr="003D2D11">
        <w:rPr>
          <w:rFonts w:ascii="Gotham Book" w:hAnsi="Gotham Book"/>
          <w:sz w:val="24"/>
          <w:szCs w:val="24"/>
        </w:rPr>
        <w:t>Carbon intensity of energy supply is exceptionally high in Australia by world standards - 35% above the world average. Likewise the Australian power grid is exceptionally carbon intensive by world standards - 54% above world average.</w:t>
      </w:r>
      <w:r w:rsidRPr="003D2D11">
        <w:rPr>
          <w:rStyle w:val="FootnoteReference"/>
          <w:rFonts w:ascii="Gotham Book" w:hAnsi="Gotham Book"/>
          <w:sz w:val="24"/>
          <w:szCs w:val="24"/>
        </w:rPr>
        <w:footnoteReference w:id="1"/>
      </w:r>
      <w:r w:rsidR="00D056F6">
        <w:rPr>
          <w:rFonts w:ascii="Gotham Book" w:hAnsi="Gotham Book"/>
          <w:sz w:val="24"/>
          <w:szCs w:val="24"/>
        </w:rPr>
        <w:t xml:space="preserve"> If Australia adopted public policy intended to ensure carbon intensity fell to world average by 2035 it would have to drop 57%.</w:t>
      </w:r>
    </w:p>
    <w:p w14:paraId="0B82AEBE" w14:textId="183CFA76" w:rsidR="003D2D11" w:rsidRPr="003D2D11" w:rsidRDefault="00460839" w:rsidP="00460839">
      <w:pPr>
        <w:spacing w:line="240" w:lineRule="auto"/>
        <w:rPr>
          <w:rFonts w:ascii="Gotham Book" w:hAnsi="Gotham Book"/>
          <w:sz w:val="24"/>
          <w:szCs w:val="24"/>
        </w:rPr>
      </w:pPr>
      <w:r>
        <w:rPr>
          <w:rFonts w:ascii="Gotham Book" w:hAnsi="Gotham Book"/>
          <w:sz w:val="24"/>
          <w:szCs w:val="24"/>
        </w:rPr>
        <w:t>Because of our position as one of the largest carbon emitters in Australia we</w:t>
      </w:r>
      <w:r w:rsidR="003D2D11" w:rsidRPr="003D2D11">
        <w:rPr>
          <w:rFonts w:ascii="Gotham Book" w:hAnsi="Gotham Book"/>
          <w:sz w:val="24"/>
          <w:szCs w:val="24"/>
        </w:rPr>
        <w:t xml:space="preserve"> have 3 potential sources of exposure to this ‘</w:t>
      </w:r>
      <w:proofErr w:type="spellStart"/>
      <w:r w:rsidR="003D2D11" w:rsidRPr="003D2D11">
        <w:rPr>
          <w:rFonts w:ascii="Gotham Book" w:hAnsi="Gotham Book"/>
          <w:sz w:val="24"/>
          <w:szCs w:val="24"/>
        </w:rPr>
        <w:t>unburnable</w:t>
      </w:r>
      <w:proofErr w:type="spellEnd"/>
      <w:r w:rsidR="003D2D11" w:rsidRPr="003D2D11">
        <w:rPr>
          <w:rFonts w:ascii="Gotham Book" w:hAnsi="Gotham Book"/>
          <w:sz w:val="24"/>
          <w:szCs w:val="24"/>
        </w:rPr>
        <w:t xml:space="preserve"> carbon bubble’ risk:</w:t>
      </w:r>
    </w:p>
    <w:p w14:paraId="2F766772" w14:textId="76613FCE" w:rsidR="003D2D11" w:rsidRPr="003D2D11" w:rsidRDefault="003D2D11" w:rsidP="00460839">
      <w:pPr>
        <w:pStyle w:val="ListParagraph"/>
        <w:numPr>
          <w:ilvl w:val="0"/>
          <w:numId w:val="16"/>
        </w:numPr>
        <w:spacing w:line="240" w:lineRule="auto"/>
        <w:rPr>
          <w:rFonts w:ascii="Gotham Book" w:hAnsi="Gotham Book"/>
          <w:sz w:val="24"/>
          <w:szCs w:val="24"/>
        </w:rPr>
      </w:pPr>
      <w:r w:rsidRPr="003D2D11">
        <w:rPr>
          <w:rFonts w:ascii="Gotham Book" w:hAnsi="Gotham Book"/>
          <w:sz w:val="24"/>
          <w:szCs w:val="24"/>
        </w:rPr>
        <w:t xml:space="preserve">compression of the profit margin on operations stemming from </w:t>
      </w:r>
      <w:r w:rsidR="00460839">
        <w:rPr>
          <w:rFonts w:ascii="Gotham Book" w:hAnsi="Gotham Book"/>
          <w:sz w:val="24"/>
          <w:szCs w:val="24"/>
        </w:rPr>
        <w:t xml:space="preserve">local or international </w:t>
      </w:r>
      <w:r w:rsidRPr="003D2D11">
        <w:rPr>
          <w:rFonts w:ascii="Gotham Book" w:hAnsi="Gotham Book"/>
          <w:sz w:val="24"/>
          <w:szCs w:val="24"/>
        </w:rPr>
        <w:t xml:space="preserve">price or regulatory changes; </w:t>
      </w:r>
    </w:p>
    <w:p w14:paraId="6C6B51A2" w14:textId="3A488A72" w:rsidR="003D2D11" w:rsidRPr="003D2D11" w:rsidRDefault="003D2D11" w:rsidP="00460839">
      <w:pPr>
        <w:pStyle w:val="ListParagraph"/>
        <w:numPr>
          <w:ilvl w:val="0"/>
          <w:numId w:val="16"/>
        </w:numPr>
        <w:spacing w:line="240" w:lineRule="auto"/>
        <w:rPr>
          <w:rFonts w:ascii="Gotham Book" w:hAnsi="Gotham Book"/>
          <w:sz w:val="24"/>
          <w:szCs w:val="24"/>
        </w:rPr>
      </w:pPr>
      <w:proofErr w:type="gramStart"/>
      <w:r w:rsidRPr="003D2D11">
        <w:rPr>
          <w:rFonts w:ascii="Gotham Book" w:hAnsi="Gotham Book"/>
          <w:sz w:val="24"/>
          <w:szCs w:val="24"/>
        </w:rPr>
        <w:t>immediate</w:t>
      </w:r>
      <w:proofErr w:type="gramEnd"/>
      <w:r w:rsidRPr="003D2D11">
        <w:rPr>
          <w:rFonts w:ascii="Gotham Book" w:hAnsi="Gotham Book"/>
          <w:sz w:val="24"/>
          <w:szCs w:val="24"/>
        </w:rPr>
        <w:t xml:space="preserve"> on balance sheet loss resulting from write-downs of generating assets or reserves</w:t>
      </w:r>
      <w:r w:rsidR="00460839">
        <w:rPr>
          <w:rFonts w:ascii="Gotham Book" w:hAnsi="Gotham Book"/>
          <w:sz w:val="24"/>
          <w:szCs w:val="24"/>
        </w:rPr>
        <w:t xml:space="preserve">. We own </w:t>
      </w:r>
      <w:r w:rsidR="00785A7C">
        <w:rPr>
          <w:rFonts w:ascii="Gotham Book" w:hAnsi="Gotham Book"/>
          <w:sz w:val="24"/>
          <w:szCs w:val="24"/>
        </w:rPr>
        <w:t>gas reserves and black coal fired electricity generation capacity</w:t>
      </w:r>
      <w:r w:rsidRPr="003D2D11">
        <w:rPr>
          <w:rFonts w:ascii="Gotham Book" w:hAnsi="Gotham Book"/>
          <w:sz w:val="24"/>
          <w:szCs w:val="24"/>
        </w:rPr>
        <w:t>;</w:t>
      </w:r>
    </w:p>
    <w:p w14:paraId="6C27B028" w14:textId="17FE1CA4" w:rsidR="003D2D11" w:rsidRDefault="003D2D11" w:rsidP="00460839">
      <w:pPr>
        <w:pStyle w:val="ListParagraph"/>
        <w:numPr>
          <w:ilvl w:val="0"/>
          <w:numId w:val="16"/>
        </w:numPr>
        <w:spacing w:line="240" w:lineRule="auto"/>
        <w:rPr>
          <w:rFonts w:ascii="Gotham Book" w:hAnsi="Gotham Book"/>
          <w:sz w:val="24"/>
          <w:szCs w:val="24"/>
        </w:rPr>
      </w:pPr>
      <w:proofErr w:type="gramStart"/>
      <w:r w:rsidRPr="003D2D11">
        <w:rPr>
          <w:rFonts w:ascii="Gotham Book" w:hAnsi="Gotham Book"/>
          <w:sz w:val="24"/>
          <w:szCs w:val="24"/>
        </w:rPr>
        <w:t>reputational</w:t>
      </w:r>
      <w:proofErr w:type="gramEnd"/>
      <w:r w:rsidRPr="003D2D11">
        <w:rPr>
          <w:rFonts w:ascii="Gotham Book" w:hAnsi="Gotham Book"/>
          <w:sz w:val="24"/>
          <w:szCs w:val="24"/>
        </w:rPr>
        <w:t xml:space="preserve"> exposure - in parti</w:t>
      </w:r>
      <w:r w:rsidR="00460839">
        <w:rPr>
          <w:rFonts w:ascii="Gotham Book" w:hAnsi="Gotham Book"/>
          <w:sz w:val="24"/>
          <w:szCs w:val="24"/>
        </w:rPr>
        <w:t>cular, the risk that our company becomes seen as</w:t>
      </w:r>
      <w:r w:rsidRPr="003D2D11">
        <w:rPr>
          <w:rFonts w:ascii="Gotham Book" w:hAnsi="Gotham Book"/>
          <w:sz w:val="24"/>
          <w:szCs w:val="24"/>
        </w:rPr>
        <w:t xml:space="preserve"> ‘part of the problem’ </w:t>
      </w:r>
      <w:r w:rsidR="00460839">
        <w:rPr>
          <w:rFonts w:ascii="Gotham Book" w:hAnsi="Gotham Book"/>
          <w:sz w:val="24"/>
          <w:szCs w:val="24"/>
        </w:rPr>
        <w:t xml:space="preserve">and that </w:t>
      </w:r>
      <w:r w:rsidRPr="003D2D11">
        <w:rPr>
          <w:rFonts w:ascii="Gotham Book" w:hAnsi="Gotham Book"/>
          <w:sz w:val="24"/>
          <w:szCs w:val="24"/>
        </w:rPr>
        <w:t>results in loss of custom, diminished credibility and influence on public policy and diminished attractiveness as an employer.</w:t>
      </w:r>
    </w:p>
    <w:p w14:paraId="332142BF" w14:textId="0BF41228" w:rsidR="005944A5" w:rsidRDefault="005944A5" w:rsidP="005944A5">
      <w:pPr>
        <w:spacing w:line="240" w:lineRule="auto"/>
        <w:rPr>
          <w:rFonts w:ascii="Gotham Book" w:eastAsia="Times New Roman" w:hAnsi="Gotham Book" w:cs="Times New Roman"/>
          <w:sz w:val="24"/>
          <w:szCs w:val="24"/>
          <w:lang w:eastAsia="en-AU"/>
        </w:rPr>
      </w:pPr>
      <w:r>
        <w:rPr>
          <w:rFonts w:ascii="Gotham Book" w:eastAsia="Times New Roman" w:hAnsi="Gotham Book" w:cs="Times New Roman"/>
          <w:sz w:val="24"/>
          <w:szCs w:val="24"/>
          <w:lang w:eastAsia="en-AU"/>
        </w:rPr>
        <w:t>Our company</w:t>
      </w:r>
      <w:r w:rsidRPr="005944A5">
        <w:rPr>
          <w:rFonts w:ascii="Gotham Book" w:eastAsia="Times New Roman" w:hAnsi="Gotham Book" w:cs="Times New Roman"/>
          <w:sz w:val="24"/>
          <w:szCs w:val="24"/>
          <w:lang w:eastAsia="en-AU"/>
        </w:rPr>
        <w:t xml:space="preserve"> ‘has a policy’ on carbon emissions. It states “We</w:t>
      </w:r>
      <w:r>
        <w:t xml:space="preserve"> </w:t>
      </w:r>
      <w:r w:rsidRPr="005944A5">
        <w:rPr>
          <w:rFonts w:ascii="Gotham Book" w:hAnsi="Gotham Book"/>
          <w:sz w:val="24"/>
          <w:szCs w:val="24"/>
        </w:rPr>
        <w:t>acknowledge and continue to maintain that climate change is a global societal challenge and as such, Origin continues to support measures to reduce carbon emissions.”</w:t>
      </w:r>
      <w:r>
        <w:t xml:space="preserve"> </w:t>
      </w:r>
      <w:r w:rsidRPr="005944A5">
        <w:rPr>
          <w:rFonts w:ascii="Gotham Book" w:hAnsi="Gotham Book"/>
          <w:sz w:val="24"/>
        </w:rPr>
        <w:t xml:space="preserve">In fact, </w:t>
      </w:r>
      <w:r>
        <w:rPr>
          <w:rFonts w:ascii="Gotham Book" w:hAnsi="Gotham Book"/>
          <w:sz w:val="24"/>
        </w:rPr>
        <w:t>over the past 3 years our</w:t>
      </w:r>
      <w:r w:rsidRPr="005944A5">
        <w:rPr>
          <w:rFonts w:ascii="Gotham Book" w:hAnsi="Gotham Book"/>
          <w:sz w:val="24"/>
        </w:rPr>
        <w:t xml:space="preserve"> own scope one emissions have increased 55% pa.</w:t>
      </w:r>
      <w:r>
        <w:rPr>
          <w:rStyle w:val="FootnoteReference"/>
          <w:rFonts w:ascii="Gotham Book" w:hAnsi="Gotham Book"/>
          <w:sz w:val="24"/>
        </w:rPr>
        <w:footnoteReference w:id="2"/>
      </w:r>
      <w:r w:rsidRPr="005944A5">
        <w:rPr>
          <w:rFonts w:ascii="Gotham Book" w:hAnsi="Gotham Book"/>
          <w:sz w:val="24"/>
        </w:rPr>
        <w:t xml:space="preserve"> </w:t>
      </w:r>
      <w:r w:rsidRPr="005944A5">
        <w:rPr>
          <w:rFonts w:ascii="Gotham Book" w:eastAsia="Times New Roman" w:hAnsi="Gotham Book" w:cs="Times New Roman"/>
          <w:sz w:val="24"/>
          <w:szCs w:val="24"/>
          <w:lang w:eastAsia="en-AU"/>
        </w:rPr>
        <w:t>I</w:t>
      </w:r>
      <w:r>
        <w:rPr>
          <w:rFonts w:ascii="Gotham Book" w:eastAsia="Times New Roman" w:hAnsi="Gotham Book" w:cs="Times New Roman"/>
          <w:sz w:val="24"/>
          <w:szCs w:val="24"/>
          <w:lang w:eastAsia="en-AU"/>
        </w:rPr>
        <w:t>n 2007 we set ourselves</w:t>
      </w:r>
      <w:r w:rsidRPr="005944A5">
        <w:rPr>
          <w:rFonts w:ascii="Gotham Book" w:eastAsia="Times New Roman" w:hAnsi="Gotham Book" w:cs="Times New Roman"/>
          <w:sz w:val="24"/>
          <w:szCs w:val="24"/>
          <w:lang w:eastAsia="en-AU"/>
        </w:rPr>
        <w:t xml:space="preserve"> 4 objectives in regard carbon emissions.</w:t>
      </w:r>
      <w:r>
        <w:rPr>
          <w:rStyle w:val="FootnoteReference"/>
          <w:rFonts w:ascii="Gotham Book" w:eastAsia="Times New Roman" w:hAnsi="Gotham Book" w:cs="Times New Roman"/>
          <w:sz w:val="24"/>
          <w:szCs w:val="24"/>
          <w:lang w:eastAsia="en-AU"/>
        </w:rPr>
        <w:footnoteReference w:id="3"/>
      </w:r>
      <w:r w:rsidRPr="005944A5">
        <w:rPr>
          <w:rFonts w:ascii="Gotham Book" w:eastAsia="Times New Roman" w:hAnsi="Gotham Book" w:cs="Times New Roman"/>
          <w:sz w:val="24"/>
          <w:szCs w:val="24"/>
          <w:lang w:eastAsia="en-AU"/>
        </w:rPr>
        <w:t xml:space="preserve"> These included an objective to reduce the greenhouse gas intensity of the company’s electricity supply chain</w:t>
      </w:r>
      <w:r>
        <w:rPr>
          <w:rStyle w:val="FootnoteReference"/>
          <w:rFonts w:ascii="Gotham Book" w:eastAsia="Times New Roman" w:hAnsi="Gotham Book" w:cs="Times New Roman"/>
          <w:sz w:val="24"/>
          <w:szCs w:val="24"/>
          <w:lang w:eastAsia="en-AU"/>
        </w:rPr>
        <w:footnoteReference w:id="4"/>
      </w:r>
      <w:r w:rsidRPr="005944A5">
        <w:rPr>
          <w:rFonts w:ascii="Gotham Book" w:eastAsia="Times New Roman" w:hAnsi="Gotham Book" w:cs="Times New Roman"/>
          <w:sz w:val="24"/>
          <w:szCs w:val="24"/>
          <w:lang w:eastAsia="en-AU"/>
        </w:rPr>
        <w:t xml:space="preserve"> emissions to 10% less than the national electricity market average by 2020.  No reference is</w:t>
      </w:r>
      <w:r>
        <w:rPr>
          <w:rFonts w:ascii="Gotham Book" w:eastAsia="Times New Roman" w:hAnsi="Gotham Book" w:cs="Times New Roman"/>
          <w:sz w:val="24"/>
          <w:szCs w:val="24"/>
          <w:lang w:eastAsia="en-AU"/>
        </w:rPr>
        <w:t xml:space="preserve"> made to this target in our</w:t>
      </w:r>
      <w:r w:rsidRPr="005944A5">
        <w:rPr>
          <w:rFonts w:ascii="Gotham Book" w:eastAsia="Times New Roman" w:hAnsi="Gotham Book" w:cs="Times New Roman"/>
          <w:sz w:val="24"/>
          <w:szCs w:val="24"/>
          <w:lang w:eastAsia="en-AU"/>
        </w:rPr>
        <w:t xml:space="preserve"> current website emissions disclosure. It appears to have been dropped.</w:t>
      </w:r>
      <w:r>
        <w:rPr>
          <w:rStyle w:val="FootnoteReference"/>
          <w:rFonts w:ascii="Gotham Book" w:eastAsia="Times New Roman" w:hAnsi="Gotham Book" w:cs="Times New Roman"/>
          <w:sz w:val="24"/>
          <w:szCs w:val="24"/>
          <w:lang w:eastAsia="en-AU"/>
        </w:rPr>
        <w:footnoteReference w:id="5"/>
      </w:r>
    </w:p>
    <w:p w14:paraId="4C96CBE9" w14:textId="77777777" w:rsidR="002C5F0D" w:rsidRPr="008858DA" w:rsidRDefault="002C5F0D" w:rsidP="002C5F0D">
      <w:pPr>
        <w:spacing w:line="240" w:lineRule="auto"/>
        <w:rPr>
          <w:rFonts w:ascii="Gotham Book" w:eastAsia="Times New Roman" w:hAnsi="Gotham Book" w:cs="Times New Roman"/>
          <w:sz w:val="24"/>
          <w:szCs w:val="24"/>
          <w:lang w:eastAsia="en-AU"/>
        </w:rPr>
      </w:pPr>
      <w:r w:rsidRPr="008858DA">
        <w:rPr>
          <w:rFonts w:ascii="Gotham Book" w:hAnsi="Gotham Book"/>
          <w:color w:val="000000"/>
          <w:sz w:val="24"/>
          <w:szCs w:val="24"/>
          <w:lang w:val="en-GB"/>
        </w:rPr>
        <w:lastRenderedPageBreak/>
        <w:t xml:space="preserve">Norway’s Parliament recently approved a decision to divest the country’s sovereign wealth fund from companies deriving more than 30% of their income from coal fired power generation. Our company falls into this category. </w:t>
      </w:r>
    </w:p>
    <w:p w14:paraId="308A76A4" w14:textId="4435FE89" w:rsidR="00C6693D" w:rsidRPr="002C5F0D" w:rsidRDefault="002C5F0D" w:rsidP="00C6693D">
      <w:pPr>
        <w:spacing w:line="240" w:lineRule="auto"/>
        <w:rPr>
          <w:rFonts w:ascii="Gotham Book" w:eastAsia="Times New Roman" w:hAnsi="Gotham Book" w:cs="Times New Roman"/>
          <w:sz w:val="24"/>
          <w:szCs w:val="24"/>
          <w:lang w:eastAsia="en-AU"/>
        </w:rPr>
      </w:pPr>
      <w:r>
        <w:rPr>
          <w:rFonts w:ascii="Gotham Book" w:hAnsi="Gotham Book"/>
          <w:sz w:val="24"/>
          <w:szCs w:val="24"/>
        </w:rPr>
        <w:t xml:space="preserve">Norway’s sovereign wealth fund is not alone. </w:t>
      </w:r>
      <w:r w:rsidR="005944A5" w:rsidRPr="005944A5">
        <w:rPr>
          <w:rFonts w:ascii="Gotham Book" w:hAnsi="Gotham Book"/>
          <w:sz w:val="24"/>
          <w:szCs w:val="24"/>
        </w:rPr>
        <w:t xml:space="preserve">Response to climate change is assessed by international investor groups such as the </w:t>
      </w:r>
      <w:r w:rsidR="00785A7C">
        <w:rPr>
          <w:rFonts w:ascii="Gotham Book" w:hAnsi="Gotham Book"/>
          <w:sz w:val="24"/>
          <w:szCs w:val="24"/>
        </w:rPr>
        <w:t xml:space="preserve">members of the UN </w:t>
      </w:r>
      <w:r w:rsidR="005944A5" w:rsidRPr="005944A5">
        <w:rPr>
          <w:rFonts w:ascii="Gotham Book" w:hAnsi="Gotham Book"/>
          <w:sz w:val="24"/>
          <w:szCs w:val="24"/>
        </w:rPr>
        <w:t>PRI</w:t>
      </w:r>
      <w:r w:rsidR="005944A5">
        <w:rPr>
          <w:rStyle w:val="FootnoteReference"/>
          <w:rFonts w:ascii="Gotham Book" w:hAnsi="Gotham Book"/>
          <w:sz w:val="24"/>
          <w:szCs w:val="24"/>
        </w:rPr>
        <w:footnoteReference w:id="6"/>
      </w:r>
      <w:r w:rsidR="005944A5" w:rsidRPr="005944A5">
        <w:rPr>
          <w:rFonts w:ascii="Gotham Book" w:hAnsi="Gotham Book"/>
          <w:sz w:val="24"/>
          <w:szCs w:val="24"/>
        </w:rPr>
        <w:t xml:space="preserve"> as well as international responsible investment ratings agencies. </w:t>
      </w:r>
      <w:r w:rsidR="00C6693D">
        <w:rPr>
          <w:rFonts w:ascii="Gotham Book" w:hAnsi="Gotham Book"/>
          <w:sz w:val="24"/>
          <w:szCs w:val="24"/>
        </w:rPr>
        <w:t xml:space="preserve">Companies in industries like ours, which score well, are positioned to prosper in a 2° C constrained world. For example, they have targets for emissions reductions. In our view it is in the interests of all shareholders that our board positions our company in this manner. For example, our company could set target(s) to significantly reduce our emissions and/or emissions intensity and report performance against those </w:t>
      </w:r>
      <w:proofErr w:type="gramStart"/>
      <w:r w:rsidR="00C6693D">
        <w:rPr>
          <w:rFonts w:ascii="Gotham Book" w:hAnsi="Gotham Book"/>
          <w:sz w:val="24"/>
          <w:szCs w:val="24"/>
        </w:rPr>
        <w:t>targets  to</w:t>
      </w:r>
      <w:proofErr w:type="gramEnd"/>
      <w:r w:rsidR="00C6693D">
        <w:rPr>
          <w:rFonts w:ascii="Gotham Book" w:hAnsi="Gotham Book"/>
          <w:sz w:val="24"/>
          <w:szCs w:val="24"/>
        </w:rPr>
        <w:t xml:space="preserve"> shareholders in Annual Reports. </w:t>
      </w:r>
    </w:p>
    <w:p w14:paraId="0A5143E6" w14:textId="786407C1" w:rsidR="005944A5" w:rsidRPr="005944A5" w:rsidRDefault="005944A5" w:rsidP="005944A5">
      <w:pPr>
        <w:spacing w:line="240" w:lineRule="auto"/>
        <w:rPr>
          <w:rFonts w:ascii="Gotham Book" w:hAnsi="Gotham Book"/>
          <w:sz w:val="24"/>
          <w:szCs w:val="24"/>
        </w:rPr>
      </w:pPr>
    </w:p>
    <w:p w14:paraId="0509AEFE" w14:textId="2A48BB8A" w:rsidR="00205267" w:rsidRPr="00205267" w:rsidRDefault="00205267" w:rsidP="00205267">
      <w:pPr>
        <w:spacing w:after="0" w:line="240" w:lineRule="auto"/>
        <w:ind w:left="6480" w:hanging="6480"/>
        <w:jc w:val="center"/>
        <w:rPr>
          <w:b/>
          <w:sz w:val="24"/>
          <w:szCs w:val="24"/>
        </w:rPr>
      </w:pPr>
      <w:r w:rsidRPr="00205267">
        <w:rPr>
          <w:b/>
          <w:sz w:val="24"/>
          <w:szCs w:val="24"/>
        </w:rPr>
        <w:t xml:space="preserve">This statement is provided to all </w:t>
      </w:r>
      <w:r w:rsidR="007A6871">
        <w:rPr>
          <w:b/>
          <w:sz w:val="24"/>
          <w:szCs w:val="24"/>
        </w:rPr>
        <w:t>ORIGIN</w:t>
      </w:r>
      <w:r w:rsidRPr="00205267">
        <w:rPr>
          <w:b/>
          <w:sz w:val="24"/>
          <w:szCs w:val="24"/>
        </w:rPr>
        <w:t xml:space="preserve"> shareholders at the request of the</w:t>
      </w:r>
    </w:p>
    <w:p w14:paraId="5F8AFB19" w14:textId="09B3F5EE" w:rsidR="00205267" w:rsidRPr="00205267" w:rsidRDefault="00205267" w:rsidP="00205267">
      <w:pPr>
        <w:spacing w:line="240" w:lineRule="auto"/>
        <w:ind w:left="6480" w:hanging="6480"/>
        <w:jc w:val="center"/>
        <w:rPr>
          <w:b/>
          <w:sz w:val="24"/>
          <w:szCs w:val="24"/>
        </w:rPr>
      </w:pPr>
      <w:r w:rsidRPr="00205267">
        <w:rPr>
          <w:b/>
          <w:sz w:val="24"/>
          <w:szCs w:val="24"/>
        </w:rPr>
        <w:t>Australasian Centre for Corporate Responsibility</w:t>
      </w:r>
      <w:r w:rsidR="00D056F6">
        <w:rPr>
          <w:b/>
          <w:sz w:val="24"/>
          <w:szCs w:val="24"/>
        </w:rPr>
        <w:t xml:space="preserve"> and other supportive shareholders”</w:t>
      </w:r>
    </w:p>
    <w:p w14:paraId="4D2E51EC" w14:textId="77777777" w:rsidR="00205267" w:rsidRDefault="00205267" w:rsidP="00015252">
      <w:pPr>
        <w:rPr>
          <w:sz w:val="24"/>
          <w:szCs w:val="24"/>
        </w:rPr>
      </w:pPr>
    </w:p>
    <w:p w14:paraId="1CF27342" w14:textId="77777777" w:rsidR="00817698" w:rsidRDefault="00817698" w:rsidP="00015252">
      <w:pPr>
        <w:rPr>
          <w:sz w:val="24"/>
          <w:szCs w:val="24"/>
        </w:rPr>
      </w:pPr>
    </w:p>
    <w:sectPr w:rsidR="00817698" w:rsidSect="00353DA0">
      <w:headerReference w:type="even" r:id="rId9"/>
      <w:headerReference w:type="default" r:id="rId10"/>
      <w:foot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5C473" w14:textId="77777777" w:rsidR="00FC6D50" w:rsidRDefault="00FC6D50" w:rsidP="00925E2E">
      <w:pPr>
        <w:spacing w:after="0" w:line="240" w:lineRule="auto"/>
      </w:pPr>
      <w:r>
        <w:separator/>
      </w:r>
    </w:p>
  </w:endnote>
  <w:endnote w:type="continuationSeparator" w:id="0">
    <w:p w14:paraId="1EB42010" w14:textId="77777777" w:rsidR="00FC6D50" w:rsidRDefault="00FC6D50" w:rsidP="00925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Times New Roman"/>
    <w:charset w:val="00"/>
    <w:family w:val="auto"/>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300219"/>
      <w:docPartObj>
        <w:docPartGallery w:val="Page Numbers (Bottom of Page)"/>
        <w:docPartUnique/>
      </w:docPartObj>
    </w:sdtPr>
    <w:sdtEndPr/>
    <w:sdtContent>
      <w:sdt>
        <w:sdtPr>
          <w:rPr>
            <w:b/>
            <w:sz w:val="28"/>
            <w:szCs w:val="28"/>
          </w:rPr>
          <w:id w:val="98381352"/>
          <w:docPartObj>
            <w:docPartGallery w:val="Page Numbers (Top of Page)"/>
            <w:docPartUnique/>
          </w:docPartObj>
        </w:sdtPr>
        <w:sdtEndPr>
          <w:rPr>
            <w:b w:val="0"/>
            <w:sz w:val="22"/>
            <w:szCs w:val="22"/>
          </w:rPr>
        </w:sdtEndPr>
        <w:sdtContent>
          <w:p w14:paraId="32BAE221" w14:textId="74CECA7B" w:rsidR="00601DD9" w:rsidRDefault="00601DD9" w:rsidP="00D9582D">
            <w:pPr>
              <w:pStyle w:val="Footer"/>
            </w:pPr>
            <w:r>
              <w:tab/>
            </w:r>
            <w:r>
              <w:tab/>
              <w:t xml:space="preserve">                                             </w:t>
            </w:r>
          </w:p>
        </w:sdtContent>
      </w:sdt>
    </w:sdtContent>
  </w:sdt>
  <w:p w14:paraId="4681D891" w14:textId="77777777" w:rsidR="00601DD9" w:rsidRDefault="00601D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CBF11" w14:textId="77777777" w:rsidR="00FC6D50" w:rsidRDefault="00FC6D50" w:rsidP="00925E2E">
      <w:pPr>
        <w:spacing w:after="0" w:line="240" w:lineRule="auto"/>
      </w:pPr>
      <w:r>
        <w:separator/>
      </w:r>
    </w:p>
  </w:footnote>
  <w:footnote w:type="continuationSeparator" w:id="0">
    <w:p w14:paraId="0FB19064" w14:textId="77777777" w:rsidR="00FC6D50" w:rsidRDefault="00FC6D50" w:rsidP="00925E2E">
      <w:pPr>
        <w:spacing w:after="0" w:line="240" w:lineRule="auto"/>
      </w:pPr>
      <w:r>
        <w:continuationSeparator/>
      </w:r>
    </w:p>
  </w:footnote>
  <w:footnote w:id="1">
    <w:p w14:paraId="0C2B7702" w14:textId="77777777" w:rsidR="003D2D11" w:rsidRPr="008743E5" w:rsidRDefault="003D2D11" w:rsidP="003D2D11">
      <w:pPr>
        <w:pStyle w:val="FootnoteText"/>
      </w:pPr>
      <w:r>
        <w:rPr>
          <w:rStyle w:val="FootnoteReference"/>
        </w:rPr>
        <w:footnoteRef/>
      </w:r>
      <w:r>
        <w:t xml:space="preserve"> This reflects Australia's reliance on coal. In tonnes CO</w:t>
      </w:r>
      <w:r>
        <w:rPr>
          <w:vertAlign w:val="subscript"/>
        </w:rPr>
        <w:t>2</w:t>
      </w:r>
      <w:r>
        <w:t xml:space="preserve">e/ MWh brown coal generation intensity is typically 1.2 (Loy Yang A) to 1.5 (Hazelwood); black coal is typically 1 (Eraring); CCGT gas generation is typically 0.5 (Darling Downs), renewables are zero or near zero. See </w:t>
      </w:r>
      <w:bookmarkStart w:id="1" w:name="OLE_LINK1"/>
      <w:bookmarkStart w:id="2" w:name="OLE_LINK2"/>
      <w:r>
        <w:t xml:space="preserve">ACIL Allen Consulting </w:t>
      </w:r>
      <w:r w:rsidRPr="009144CE">
        <w:rPr>
          <w:i/>
        </w:rPr>
        <w:t>Emission Factors</w:t>
      </w:r>
      <w:r>
        <w:rPr>
          <w:i/>
        </w:rPr>
        <w:t xml:space="preserve"> </w:t>
      </w:r>
      <w:r>
        <w:t xml:space="preserve">2014 at </w:t>
      </w:r>
      <w:hyperlink r:id="rId1" w:history="1">
        <w:r w:rsidRPr="008743E5">
          <w:rPr>
            <w:rStyle w:val="Hyperlink"/>
          </w:rPr>
          <w:t>www.aemo.com.</w:t>
        </w:r>
        <w:r w:rsidRPr="008743E5">
          <w:rPr>
            <w:rStyle w:val="Hyperlink"/>
            <w:bCs/>
          </w:rPr>
          <w:t>au</w:t>
        </w:r>
      </w:hyperlink>
      <w:r w:rsidRPr="008743E5">
        <w:rPr>
          <w:rStyle w:val="HTMLCite"/>
        </w:rPr>
        <w:t xml:space="preserve"> .</w:t>
      </w:r>
      <w:bookmarkEnd w:id="1"/>
      <w:bookmarkEnd w:id="2"/>
    </w:p>
  </w:footnote>
  <w:footnote w:id="2">
    <w:p w14:paraId="795A224F" w14:textId="77777777" w:rsidR="005944A5" w:rsidRDefault="005944A5" w:rsidP="005944A5">
      <w:pPr>
        <w:pStyle w:val="FootnoteText"/>
      </w:pPr>
      <w:r>
        <w:rPr>
          <w:rStyle w:val="FootnoteReference"/>
        </w:rPr>
        <w:footnoteRef/>
      </w:r>
      <w:r>
        <w:t xml:space="preserve"> On an equity basis, see </w:t>
      </w:r>
      <w:hyperlink r:id="rId2" w:history="1">
        <w:r w:rsidRPr="00AF4D4D">
          <w:rPr>
            <w:rStyle w:val="Hyperlink"/>
          </w:rPr>
          <w:t>http://www.originenergy.com.au/content/dam/origin/about/our-approach/docs/sustainability-gri-environment-2014.pdf</w:t>
        </w:r>
      </w:hyperlink>
      <w:r>
        <w:t xml:space="preserve">  p 8.</w:t>
      </w:r>
    </w:p>
  </w:footnote>
  <w:footnote w:id="3">
    <w:p w14:paraId="11E31B7A" w14:textId="77777777" w:rsidR="005944A5" w:rsidRDefault="005944A5" w:rsidP="005944A5">
      <w:pPr>
        <w:pStyle w:val="FootnoteText"/>
      </w:pPr>
      <w:r>
        <w:rPr>
          <w:rStyle w:val="FootnoteReference"/>
        </w:rPr>
        <w:footnoteRef/>
      </w:r>
      <w:r>
        <w:t xml:space="preserve"> See </w:t>
      </w:r>
      <w:hyperlink r:id="rId3" w:history="1">
        <w:r w:rsidRPr="0044544C">
          <w:rPr>
            <w:rStyle w:val="Hyperlink"/>
          </w:rPr>
          <w:t>http://reports.originenergy.com.au/2010/sustainability/gri/energy_use_and_air_emissions/</w:t>
        </w:r>
      </w:hyperlink>
      <w:r>
        <w:t xml:space="preserve"> .</w:t>
      </w:r>
    </w:p>
  </w:footnote>
  <w:footnote w:id="4">
    <w:p w14:paraId="50A1C4A7" w14:textId="77777777" w:rsidR="005944A5" w:rsidRDefault="005944A5" w:rsidP="005944A5">
      <w:pPr>
        <w:pStyle w:val="FootnoteText"/>
      </w:pPr>
      <w:r>
        <w:rPr>
          <w:rStyle w:val="FootnoteReference"/>
        </w:rPr>
        <w:footnoteRef/>
      </w:r>
      <w:r>
        <w:t xml:space="preserve"> That is for electricity supplied to Origin’s customers. AGL’s 2010 commitments also included benchmarking supply chain carbon intensity. Their public disclosure does not appear to track this metric.</w:t>
      </w:r>
    </w:p>
    <w:p w14:paraId="69021062" w14:textId="77777777" w:rsidR="005944A5" w:rsidRDefault="005944A5" w:rsidP="005944A5">
      <w:pPr>
        <w:pStyle w:val="FootnoteText"/>
      </w:pPr>
    </w:p>
  </w:footnote>
  <w:footnote w:id="5">
    <w:p w14:paraId="0F3B7804" w14:textId="7AEE39DE" w:rsidR="005944A5" w:rsidRDefault="005944A5" w:rsidP="005944A5">
      <w:pPr>
        <w:pStyle w:val="FootnoteText"/>
      </w:pPr>
      <w:r>
        <w:rPr>
          <w:rStyle w:val="FootnoteReference"/>
        </w:rPr>
        <w:footnoteRef/>
      </w:r>
      <w:r>
        <w:t xml:space="preserve"> In the years 2007, 08 and 09 our supply chain emissions intensity was similar to the grid average. See </w:t>
      </w:r>
      <w:hyperlink r:id="rId4" w:anchor="two" w:history="1">
        <w:r w:rsidRPr="0044544C">
          <w:rPr>
            <w:rStyle w:val="Hyperlink"/>
          </w:rPr>
          <w:t>http://reports.originenergy.com.au/2010/sustainability/our_communities/5-year-strategies/#two</w:t>
        </w:r>
      </w:hyperlink>
      <w:r>
        <w:t xml:space="preserve"> . Current disclosure focuses on the emissions intensity of our internal generation which has nearly doubled over the past 3 years on an equity basis. Nevertheless, on an operational control basis it is now about 10% under the grid average. See p 9 of </w:t>
      </w:r>
      <w:hyperlink r:id="rId5" w:history="1">
        <w:r w:rsidRPr="0044544C">
          <w:rPr>
            <w:rStyle w:val="Hyperlink"/>
          </w:rPr>
          <w:t>http://www.originenergy.com.au/sustainability/sites/default/files/gri_download/GRI_environment.pdf</w:t>
        </w:r>
      </w:hyperlink>
      <w:r>
        <w:t xml:space="preserve"> . See also chart 3 of </w:t>
      </w:r>
      <w:hyperlink r:id="rId6" w:history="1">
        <w:r w:rsidRPr="0044544C">
          <w:rPr>
            <w:rStyle w:val="Hyperlink"/>
          </w:rPr>
          <w:t>http://www.originenergy.com.au/sustainability/material-aspects/emissions</w:t>
        </w:r>
      </w:hyperlink>
      <w:r>
        <w:t xml:space="preserve"> . The distinction between electricity sold and generated is significant because we distribute over twice the </w:t>
      </w:r>
      <w:proofErr w:type="spellStart"/>
      <w:r>
        <w:t>GWh</w:t>
      </w:r>
      <w:proofErr w:type="spellEnd"/>
      <w:r>
        <w:t xml:space="preserve"> we generate. </w:t>
      </w:r>
    </w:p>
  </w:footnote>
  <w:footnote w:id="6">
    <w:p w14:paraId="6AA683E7" w14:textId="77777777" w:rsidR="005944A5" w:rsidRDefault="005944A5" w:rsidP="005944A5">
      <w:pPr>
        <w:pStyle w:val="FootnoteText"/>
      </w:pPr>
      <w:r>
        <w:rPr>
          <w:rStyle w:val="FootnoteReference"/>
        </w:rPr>
        <w:footnoteRef/>
      </w:r>
      <w:r>
        <w:t xml:space="preserve"> See </w:t>
      </w:r>
      <w:hyperlink r:id="rId7" w:history="1">
        <w:r w:rsidRPr="00EB1CF7">
          <w:rPr>
            <w:rStyle w:val="Hyperlink"/>
          </w:rPr>
          <w:t>http://igcc.org.au/Resources/Documents/Climate-Change-Investment-Solutions-GuideFINAL.pdf</w:t>
        </w:r>
      </w:hyperlink>
      <w:r>
        <w:t xml:space="preserve"> p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61354" w14:textId="77777777" w:rsidR="00601DD9" w:rsidRDefault="00FC6D50">
    <w:pPr>
      <w:pStyle w:val="Header"/>
    </w:pPr>
    <w:r>
      <w:rPr>
        <w:noProof/>
      </w:rPr>
      <w:pict w14:anchorId="33FA34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9711" o:spid="_x0000_s2050" type="#_x0000_t136" style="position:absolute;margin-left:0;margin-top:0;width:421.6pt;height:316.2pt;rotation:315;z-index:-251655168;mso-position-horizontal:center;mso-position-horizontal-relative:margin;mso-position-vertical:center;mso-position-vertical-relative:margin" o:allowincell="f" fillcolor="silver" stroked="f">
          <v:fill opacity=".5"/>
          <v:textpath style="font-family:&quot;Calibri&quot;;font-size:1pt" string="ACC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20F8F" w14:textId="674D9933" w:rsidR="00601DD9" w:rsidRDefault="00FC6D50" w:rsidP="005D5064">
    <w:sdt>
      <w:sdtPr>
        <w:id w:val="1168209085"/>
        <w:docPartObj>
          <w:docPartGallery w:val="Page Numbers (Top of Page)"/>
          <w:docPartUnique/>
        </w:docPartObj>
      </w:sdtPr>
      <w:sdtEndPr/>
      <w:sdtContent>
        <w:r w:rsidR="00601DD9">
          <w:t xml:space="preserve">Page </w:t>
        </w:r>
        <w:r w:rsidR="00601DD9">
          <w:rPr>
            <w:b/>
            <w:bCs/>
            <w:sz w:val="24"/>
            <w:szCs w:val="24"/>
          </w:rPr>
          <w:fldChar w:fldCharType="begin"/>
        </w:r>
        <w:r w:rsidR="00601DD9">
          <w:rPr>
            <w:b/>
            <w:bCs/>
          </w:rPr>
          <w:instrText xml:space="preserve"> PAGE </w:instrText>
        </w:r>
        <w:r w:rsidR="00601DD9">
          <w:rPr>
            <w:b/>
            <w:bCs/>
            <w:sz w:val="24"/>
            <w:szCs w:val="24"/>
          </w:rPr>
          <w:fldChar w:fldCharType="separate"/>
        </w:r>
        <w:r w:rsidR="00213013">
          <w:rPr>
            <w:b/>
            <w:bCs/>
            <w:noProof/>
          </w:rPr>
          <w:t>2</w:t>
        </w:r>
        <w:r w:rsidR="00601DD9">
          <w:rPr>
            <w:b/>
            <w:bCs/>
            <w:sz w:val="24"/>
            <w:szCs w:val="24"/>
          </w:rPr>
          <w:fldChar w:fldCharType="end"/>
        </w:r>
        <w:r w:rsidR="00601DD9">
          <w:t xml:space="preserve"> </w:t>
        </w:r>
        <w:r w:rsidR="00601DD9" w:rsidRPr="00B57FA9">
          <w:rPr>
            <w:b/>
          </w:rPr>
          <w:t xml:space="preserve">of </w:t>
        </w:r>
        <w:r w:rsidR="00213013">
          <w:rPr>
            <w:b/>
          </w:rPr>
          <w:t>2</w:t>
        </w:r>
        <w:r w:rsidR="00601DD9">
          <w:rPr>
            <w:b/>
            <w:bCs/>
            <w:sz w:val="24"/>
            <w:szCs w:val="24"/>
          </w:rPr>
          <w:tab/>
        </w:r>
        <w:r w:rsidR="00601DD9">
          <w:rPr>
            <w:b/>
            <w:bCs/>
            <w:sz w:val="24"/>
            <w:szCs w:val="24"/>
          </w:rPr>
          <w:tab/>
        </w:r>
        <w:r w:rsidR="00601DD9">
          <w:rPr>
            <w:b/>
            <w:bCs/>
            <w:sz w:val="24"/>
            <w:szCs w:val="24"/>
          </w:rPr>
          <w:tab/>
          <w:t xml:space="preserve">                              </w:t>
        </w:r>
        <w:r w:rsidR="007A6871">
          <w:rPr>
            <w:b/>
            <w:bCs/>
            <w:sz w:val="24"/>
            <w:szCs w:val="24"/>
          </w:rPr>
          <w:t>ORIGIN</w:t>
        </w:r>
        <w:r w:rsidR="00601DD9">
          <w:rPr>
            <w:b/>
            <w:bCs/>
            <w:sz w:val="24"/>
            <w:szCs w:val="24"/>
          </w:rPr>
          <w:t xml:space="preserve">               </w:t>
        </w:r>
        <w:r w:rsidR="000203DB">
          <w:rPr>
            <w:b/>
            <w:bCs/>
            <w:sz w:val="24"/>
            <w:szCs w:val="24"/>
          </w:rPr>
          <w:t xml:space="preserve">           </w:t>
        </w:r>
        <w:r w:rsidR="00601DD9" w:rsidRPr="005D5064">
          <w:rPr>
            <w:bCs/>
            <w:sz w:val="24"/>
            <w:szCs w:val="24"/>
          </w:rPr>
          <w:t>ACCR</w:t>
        </w:r>
        <w:r w:rsidR="00601DD9">
          <w:rPr>
            <w:b/>
            <w:bCs/>
            <w:sz w:val="24"/>
            <w:szCs w:val="24"/>
          </w:rPr>
          <w:t xml:space="preserve"> </w:t>
        </w:r>
        <w:r w:rsidR="00601DD9">
          <w:t>GPO Box 1596 Canberra, ACT, 2601</w:t>
        </w:r>
      </w:sdtContent>
    </w:sdt>
    <w:r>
      <w:rPr>
        <w:noProof/>
      </w:rPr>
      <w:pict w14:anchorId="20C12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9712" o:spid="_x0000_s2051" type="#_x0000_t136" style="position:absolute;margin-left:0;margin-top:0;width:421.6pt;height:316.2pt;rotation:315;z-index:-251653120;mso-position-horizontal:center;mso-position-horizontal-relative:margin;mso-position-vertical:center;mso-position-vertical-relative:margin" o:allowincell="f" fillcolor="silver" stroked="f">
          <v:fill opacity=".5"/>
          <v:textpath style="font-family:&quot;Calibri&quot;;font-size:1pt" string="ACC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C4DAD" w14:textId="09370177" w:rsidR="00601DD9" w:rsidRPr="00353DA0" w:rsidRDefault="00FC6D50" w:rsidP="00353DA0">
    <w:r>
      <w:rPr>
        <w:noProof/>
      </w:rPr>
      <w:pict w14:anchorId="2C8B4F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9710" o:spid="_x0000_s2049" type="#_x0000_t136" style="position:absolute;margin-left:0;margin-top:0;width:421.6pt;height:316.2pt;rotation:315;z-index:-251657216;mso-position-horizontal:center;mso-position-horizontal-relative:margin;mso-position-vertical:center;mso-position-vertical-relative:margin" o:allowincell="f" fillcolor="silver" stroked="f">
          <v:fill opacity=".5"/>
          <v:textpath style="font-family:&quot;Calibri&quot;;font-size:1pt" string="ACCR"/>
          <w10:wrap anchorx="margin" anchory="margin"/>
        </v:shape>
      </w:pict>
    </w:r>
    <w:r w:rsidR="00601DD9">
      <w:t xml:space="preserve">Page </w:t>
    </w:r>
    <w:r w:rsidR="00601DD9" w:rsidRPr="00353DA0">
      <w:rPr>
        <w:b/>
      </w:rPr>
      <w:t xml:space="preserve">1 </w:t>
    </w:r>
    <w:r w:rsidR="00601DD9">
      <w:rPr>
        <w:b/>
      </w:rPr>
      <w:t xml:space="preserve">of </w:t>
    </w:r>
    <w:r w:rsidR="00213013">
      <w:rPr>
        <w:b/>
      </w:rPr>
      <w:t>2</w:t>
    </w:r>
    <w:r w:rsidR="00601DD9">
      <w:rPr>
        <w:b/>
      </w:rPr>
      <w:tab/>
    </w:r>
    <w:r w:rsidR="00601DD9">
      <w:rPr>
        <w:b/>
        <w:bCs/>
        <w:sz w:val="24"/>
        <w:szCs w:val="24"/>
      </w:rPr>
      <w:t xml:space="preserve">                                                               </w:t>
    </w:r>
    <w:r w:rsidR="00386539" w:rsidRPr="00386539">
      <w:rPr>
        <w:b/>
        <w:bCs/>
        <w:sz w:val="24"/>
        <w:szCs w:val="24"/>
      </w:rPr>
      <w:t>Origin</w:t>
    </w:r>
    <w:r w:rsidR="004E5E61" w:rsidRPr="00386539">
      <w:rPr>
        <w:b/>
        <w:bCs/>
        <w:sz w:val="24"/>
        <w:szCs w:val="24"/>
      </w:rPr>
      <w:t xml:space="preserve"> </w:t>
    </w:r>
    <w:r w:rsidR="004E5E61">
      <w:rPr>
        <w:b/>
        <w:bCs/>
        <w:sz w:val="24"/>
        <w:szCs w:val="24"/>
      </w:rPr>
      <w:t xml:space="preserve">                  </w:t>
    </w:r>
    <w:r w:rsidR="00601DD9" w:rsidRPr="005D5064">
      <w:rPr>
        <w:bCs/>
        <w:sz w:val="24"/>
        <w:szCs w:val="24"/>
      </w:rPr>
      <w:t>ACCR</w:t>
    </w:r>
    <w:r w:rsidR="00601DD9">
      <w:rPr>
        <w:b/>
        <w:bCs/>
        <w:sz w:val="24"/>
        <w:szCs w:val="24"/>
      </w:rPr>
      <w:t xml:space="preserve"> </w:t>
    </w:r>
    <w:r w:rsidR="00601DD9">
      <w:t>GPO Box 1596 Canberra, ACT, 260</w:t>
    </w:r>
    <w:r>
      <w:rPr>
        <w:noProof/>
      </w:rPr>
      <w:pict w14:anchorId="778700DB">
        <v:shape id="_x0000_s2052" type="#_x0000_t136" style="position:absolute;margin-left:0;margin-top:0;width:421.6pt;height:316.2pt;rotation:315;z-index:-251651072;mso-position-horizontal:center;mso-position-horizontal-relative:margin;mso-position-vertical:center;mso-position-vertical-relative:margin" o:allowincell="f" fillcolor="silver" stroked="f">
          <v:fill opacity=".5"/>
          <v:textpath style="font-family:&quot;Calibri&quot;;font-size:1pt" string="ACCR"/>
          <w10:wrap anchorx="margin" anchory="margin"/>
        </v:shape>
      </w:pict>
    </w:r>
    <w:r w:rsidR="00601DD9">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start w:val="1"/>
      <w:numFmt w:val="decimal"/>
      <w:lvlText w:val=" %1."/>
      <w:lvlJc w:val="left"/>
      <w:pPr>
        <w:tabs>
          <w:tab w:val="num" w:pos="1353"/>
        </w:tabs>
        <w:ind w:left="1353" w:hanging="360"/>
      </w:pPr>
    </w:lvl>
    <w:lvl w:ilvl="1">
      <w:start w:val="1"/>
      <w:numFmt w:val="lowerLetter"/>
      <w:lvlText w:val=" %2)"/>
      <w:lvlJc w:val="left"/>
      <w:pPr>
        <w:tabs>
          <w:tab w:val="num" w:pos="1713"/>
        </w:tabs>
        <w:ind w:left="1713" w:hanging="360"/>
      </w:pPr>
    </w:lvl>
    <w:lvl w:ilvl="2">
      <w:start w:val="1"/>
      <w:numFmt w:val="bullet"/>
      <w:lvlText w:val=""/>
      <w:lvlJc w:val="left"/>
      <w:pPr>
        <w:tabs>
          <w:tab w:val="num" w:pos="2073"/>
        </w:tabs>
        <w:ind w:left="2073" w:hanging="360"/>
      </w:pPr>
      <w:rPr>
        <w:rFonts w:ascii="Symbol" w:hAnsi="Symbol" w:cs="OpenSymbol"/>
      </w:rPr>
    </w:lvl>
    <w:lvl w:ilvl="3">
      <w:start w:val="1"/>
      <w:numFmt w:val="bullet"/>
      <w:lvlText w:val=""/>
      <w:lvlJc w:val="left"/>
      <w:pPr>
        <w:tabs>
          <w:tab w:val="num" w:pos="2433"/>
        </w:tabs>
        <w:ind w:left="2433" w:hanging="360"/>
      </w:pPr>
      <w:rPr>
        <w:rFonts w:ascii="Symbol" w:hAnsi="Symbol" w:cs="OpenSymbol"/>
      </w:rPr>
    </w:lvl>
    <w:lvl w:ilvl="4">
      <w:start w:val="1"/>
      <w:numFmt w:val="bullet"/>
      <w:lvlText w:val=""/>
      <w:lvlJc w:val="left"/>
      <w:pPr>
        <w:tabs>
          <w:tab w:val="num" w:pos="2793"/>
        </w:tabs>
        <w:ind w:left="2793" w:hanging="360"/>
      </w:pPr>
      <w:rPr>
        <w:rFonts w:ascii="Symbol" w:hAnsi="Symbol" w:cs="OpenSymbol"/>
      </w:rPr>
    </w:lvl>
    <w:lvl w:ilvl="5">
      <w:start w:val="1"/>
      <w:numFmt w:val="bullet"/>
      <w:lvlText w:val=""/>
      <w:lvlJc w:val="left"/>
      <w:pPr>
        <w:tabs>
          <w:tab w:val="num" w:pos="3153"/>
        </w:tabs>
        <w:ind w:left="3153" w:hanging="360"/>
      </w:pPr>
      <w:rPr>
        <w:rFonts w:ascii="Symbol" w:hAnsi="Symbol" w:cs="OpenSymbol"/>
      </w:rPr>
    </w:lvl>
    <w:lvl w:ilvl="6">
      <w:start w:val="1"/>
      <w:numFmt w:val="bullet"/>
      <w:lvlText w:val=""/>
      <w:lvlJc w:val="left"/>
      <w:pPr>
        <w:tabs>
          <w:tab w:val="num" w:pos="3513"/>
        </w:tabs>
        <w:ind w:left="3513" w:hanging="360"/>
      </w:pPr>
      <w:rPr>
        <w:rFonts w:ascii="Symbol" w:hAnsi="Symbol" w:cs="OpenSymbol"/>
      </w:rPr>
    </w:lvl>
    <w:lvl w:ilvl="7">
      <w:start w:val="1"/>
      <w:numFmt w:val="bullet"/>
      <w:lvlText w:val=""/>
      <w:lvlJc w:val="left"/>
      <w:pPr>
        <w:tabs>
          <w:tab w:val="num" w:pos="3873"/>
        </w:tabs>
        <w:ind w:left="3873" w:hanging="360"/>
      </w:pPr>
      <w:rPr>
        <w:rFonts w:ascii="Symbol" w:hAnsi="Symbol" w:cs="OpenSymbol"/>
      </w:rPr>
    </w:lvl>
    <w:lvl w:ilvl="8">
      <w:start w:val="1"/>
      <w:numFmt w:val="bullet"/>
      <w:lvlText w:val=""/>
      <w:lvlJc w:val="left"/>
      <w:pPr>
        <w:tabs>
          <w:tab w:val="num" w:pos="4233"/>
        </w:tabs>
        <w:ind w:left="4233" w:hanging="360"/>
      </w:pPr>
      <w:rPr>
        <w:rFonts w:ascii="Symbol" w:hAnsi="Symbol" w:cs="OpenSymbol"/>
      </w:rPr>
    </w:lvl>
  </w:abstractNum>
  <w:abstractNum w:abstractNumId="1">
    <w:nsid w:val="00000011"/>
    <w:multiLevelType w:val="multilevel"/>
    <w:tmpl w:val="00000011"/>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73B039B"/>
    <w:multiLevelType w:val="hybridMultilevel"/>
    <w:tmpl w:val="AEF20978"/>
    <w:lvl w:ilvl="0" w:tplc="A888D21A">
      <w:start w:val="7"/>
      <w:numFmt w:val="decimal"/>
      <w:lvlText w:val="%1."/>
      <w:lvlJc w:val="left"/>
      <w:pPr>
        <w:ind w:left="720" w:hanging="360"/>
      </w:pPr>
      <w:rPr>
        <w:rFonts w:cs="Helvetica"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77F1E8A"/>
    <w:multiLevelType w:val="hybridMultilevel"/>
    <w:tmpl w:val="A798DDF2"/>
    <w:lvl w:ilvl="0" w:tplc="E37EFF7A">
      <w:start w:val="9"/>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D05445E"/>
    <w:multiLevelType w:val="multilevel"/>
    <w:tmpl w:val="AE28E7D4"/>
    <w:lvl w:ilvl="0">
      <w:start w:val="1"/>
      <w:numFmt w:val="decimal"/>
      <w:lvlText w:val=" %1."/>
      <w:lvlJc w:val="left"/>
      <w:pPr>
        <w:tabs>
          <w:tab w:val="num" w:pos="720"/>
        </w:tabs>
        <w:ind w:left="720" w:hanging="360"/>
      </w:pPr>
      <w:rPr>
        <w:rFonts w:hint="default"/>
      </w:rPr>
    </w:lvl>
    <w:lvl w:ilvl="1">
      <w:start w:val="1"/>
      <w:numFmt w:val="lowerLetter"/>
      <w:lvlText w:val=" %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5">
    <w:nsid w:val="37335820"/>
    <w:multiLevelType w:val="hybridMultilevel"/>
    <w:tmpl w:val="7C287A42"/>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8B53D07"/>
    <w:multiLevelType w:val="hybridMultilevel"/>
    <w:tmpl w:val="69CAFD92"/>
    <w:lvl w:ilvl="0" w:tplc="DF94C54C">
      <w:numFmt w:val="bullet"/>
      <w:lvlText w:val=""/>
      <w:lvlJc w:val="left"/>
      <w:pPr>
        <w:ind w:left="927" w:hanging="360"/>
      </w:pPr>
      <w:rPr>
        <w:rFonts w:ascii="Wingdings" w:eastAsiaTheme="minorHAnsi" w:hAnsi="Wingdings"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395A0276"/>
    <w:multiLevelType w:val="hybridMultilevel"/>
    <w:tmpl w:val="892844B4"/>
    <w:lvl w:ilvl="0" w:tplc="69D489F8">
      <w:start w:val="1"/>
      <w:numFmt w:val="lowerLetter"/>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8">
    <w:nsid w:val="46CA6694"/>
    <w:multiLevelType w:val="hybridMultilevel"/>
    <w:tmpl w:val="BA82C6AC"/>
    <w:lvl w:ilvl="0" w:tplc="BE7E5D10">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9">
    <w:nsid w:val="4C0B0F1E"/>
    <w:multiLevelType w:val="multilevel"/>
    <w:tmpl w:val="AE28E7D4"/>
    <w:lvl w:ilvl="0">
      <w:start w:val="1"/>
      <w:numFmt w:val="decimal"/>
      <w:lvlText w:val=" %1."/>
      <w:lvlJc w:val="left"/>
      <w:pPr>
        <w:tabs>
          <w:tab w:val="num" w:pos="720"/>
        </w:tabs>
        <w:ind w:left="720" w:hanging="360"/>
      </w:pPr>
      <w:rPr>
        <w:rFonts w:hint="default"/>
      </w:rPr>
    </w:lvl>
    <w:lvl w:ilvl="1">
      <w:start w:val="1"/>
      <w:numFmt w:val="lowerLetter"/>
      <w:lvlText w:val=" %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0">
    <w:nsid w:val="4D2C684D"/>
    <w:multiLevelType w:val="hybridMultilevel"/>
    <w:tmpl w:val="1A2C4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062058D"/>
    <w:multiLevelType w:val="hybridMultilevel"/>
    <w:tmpl w:val="9FE0EE5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2246" w:hanging="360"/>
      </w:pPr>
      <w:rPr>
        <w:rFonts w:ascii="Courier New" w:hAnsi="Courier New" w:cs="Courier New" w:hint="default"/>
      </w:rPr>
    </w:lvl>
    <w:lvl w:ilvl="2" w:tplc="0C090005" w:tentative="1">
      <w:start w:val="1"/>
      <w:numFmt w:val="bullet"/>
      <w:lvlText w:val=""/>
      <w:lvlJc w:val="left"/>
      <w:pPr>
        <w:ind w:left="-1526" w:hanging="360"/>
      </w:pPr>
      <w:rPr>
        <w:rFonts w:ascii="Wingdings" w:hAnsi="Wingdings" w:hint="default"/>
      </w:rPr>
    </w:lvl>
    <w:lvl w:ilvl="3" w:tplc="0C090001" w:tentative="1">
      <w:start w:val="1"/>
      <w:numFmt w:val="bullet"/>
      <w:lvlText w:val=""/>
      <w:lvlJc w:val="left"/>
      <w:pPr>
        <w:ind w:left="-806" w:hanging="360"/>
      </w:pPr>
      <w:rPr>
        <w:rFonts w:ascii="Symbol" w:hAnsi="Symbol" w:hint="default"/>
      </w:rPr>
    </w:lvl>
    <w:lvl w:ilvl="4" w:tplc="0C090003" w:tentative="1">
      <w:start w:val="1"/>
      <w:numFmt w:val="bullet"/>
      <w:lvlText w:val="o"/>
      <w:lvlJc w:val="left"/>
      <w:pPr>
        <w:ind w:left="-86" w:hanging="360"/>
      </w:pPr>
      <w:rPr>
        <w:rFonts w:ascii="Courier New" w:hAnsi="Courier New" w:cs="Courier New" w:hint="default"/>
      </w:rPr>
    </w:lvl>
    <w:lvl w:ilvl="5" w:tplc="0C090005" w:tentative="1">
      <w:start w:val="1"/>
      <w:numFmt w:val="bullet"/>
      <w:lvlText w:val=""/>
      <w:lvlJc w:val="left"/>
      <w:pPr>
        <w:ind w:left="634" w:hanging="360"/>
      </w:pPr>
      <w:rPr>
        <w:rFonts w:ascii="Wingdings" w:hAnsi="Wingdings" w:hint="default"/>
      </w:rPr>
    </w:lvl>
    <w:lvl w:ilvl="6" w:tplc="0C090001" w:tentative="1">
      <w:start w:val="1"/>
      <w:numFmt w:val="bullet"/>
      <w:lvlText w:val=""/>
      <w:lvlJc w:val="left"/>
      <w:pPr>
        <w:ind w:left="1354" w:hanging="360"/>
      </w:pPr>
      <w:rPr>
        <w:rFonts w:ascii="Symbol" w:hAnsi="Symbol" w:hint="default"/>
      </w:rPr>
    </w:lvl>
    <w:lvl w:ilvl="7" w:tplc="0C090003" w:tentative="1">
      <w:start w:val="1"/>
      <w:numFmt w:val="bullet"/>
      <w:lvlText w:val="o"/>
      <w:lvlJc w:val="left"/>
      <w:pPr>
        <w:ind w:left="2074" w:hanging="360"/>
      </w:pPr>
      <w:rPr>
        <w:rFonts w:ascii="Courier New" w:hAnsi="Courier New" w:cs="Courier New" w:hint="default"/>
      </w:rPr>
    </w:lvl>
    <w:lvl w:ilvl="8" w:tplc="0C090005" w:tentative="1">
      <w:start w:val="1"/>
      <w:numFmt w:val="bullet"/>
      <w:lvlText w:val=""/>
      <w:lvlJc w:val="left"/>
      <w:pPr>
        <w:ind w:left="2794" w:hanging="360"/>
      </w:pPr>
      <w:rPr>
        <w:rFonts w:ascii="Wingdings" w:hAnsi="Wingdings" w:hint="default"/>
      </w:rPr>
    </w:lvl>
  </w:abstractNum>
  <w:abstractNum w:abstractNumId="12">
    <w:nsid w:val="6AB8586B"/>
    <w:multiLevelType w:val="hybridMultilevel"/>
    <w:tmpl w:val="EAAC8BA4"/>
    <w:lvl w:ilvl="0" w:tplc="F1B42BFC">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6F8B7924"/>
    <w:multiLevelType w:val="hybridMultilevel"/>
    <w:tmpl w:val="652CA81E"/>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4">
    <w:nsid w:val="72B83C57"/>
    <w:multiLevelType w:val="hybridMultilevel"/>
    <w:tmpl w:val="13669E0A"/>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E153E4C"/>
    <w:multiLevelType w:val="hybridMultilevel"/>
    <w:tmpl w:val="331AC1AC"/>
    <w:lvl w:ilvl="0" w:tplc="233AED1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5"/>
  </w:num>
  <w:num w:numId="2">
    <w:abstractNumId w:val="7"/>
  </w:num>
  <w:num w:numId="3">
    <w:abstractNumId w:val="12"/>
  </w:num>
  <w:num w:numId="4">
    <w:abstractNumId w:val="8"/>
  </w:num>
  <w:num w:numId="5">
    <w:abstractNumId w:val="10"/>
  </w:num>
  <w:num w:numId="6">
    <w:abstractNumId w:val="6"/>
  </w:num>
  <w:num w:numId="7">
    <w:abstractNumId w:val="1"/>
  </w:num>
  <w:num w:numId="8">
    <w:abstractNumId w:val="4"/>
  </w:num>
  <w:num w:numId="9">
    <w:abstractNumId w:val="9"/>
  </w:num>
  <w:num w:numId="10">
    <w:abstractNumId w:val="0"/>
  </w:num>
  <w:num w:numId="11">
    <w:abstractNumId w:val="13"/>
  </w:num>
  <w:num w:numId="12">
    <w:abstractNumId w:val="5"/>
  </w:num>
  <w:num w:numId="13">
    <w:abstractNumId w:val="14"/>
  </w:num>
  <w:num w:numId="14">
    <w:abstractNumId w:val="2"/>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9030573-AC67-496C-AAEF-A5E28566AB59}"/>
    <w:docVar w:name="dgnword-eventsink" w:val="161702360"/>
  </w:docVars>
  <w:rsids>
    <w:rsidRoot w:val="00925E2E"/>
    <w:rsid w:val="00004A0E"/>
    <w:rsid w:val="00015252"/>
    <w:rsid w:val="000203DB"/>
    <w:rsid w:val="00047E42"/>
    <w:rsid w:val="00053F69"/>
    <w:rsid w:val="000606EC"/>
    <w:rsid w:val="000A69D4"/>
    <w:rsid w:val="001020D6"/>
    <w:rsid w:val="00102AD5"/>
    <w:rsid w:val="00140766"/>
    <w:rsid w:val="00147B6B"/>
    <w:rsid w:val="001576A4"/>
    <w:rsid w:val="00172DF8"/>
    <w:rsid w:val="00193AD0"/>
    <w:rsid w:val="001A6FEF"/>
    <w:rsid w:val="001B6264"/>
    <w:rsid w:val="001D10B2"/>
    <w:rsid w:val="00205267"/>
    <w:rsid w:val="00213013"/>
    <w:rsid w:val="00230CEF"/>
    <w:rsid w:val="00284BC9"/>
    <w:rsid w:val="002851E1"/>
    <w:rsid w:val="002B0DDD"/>
    <w:rsid w:val="002C5F0D"/>
    <w:rsid w:val="002F0216"/>
    <w:rsid w:val="003124EC"/>
    <w:rsid w:val="00314C4D"/>
    <w:rsid w:val="0032420A"/>
    <w:rsid w:val="0033706F"/>
    <w:rsid w:val="00353DA0"/>
    <w:rsid w:val="00385F04"/>
    <w:rsid w:val="00386539"/>
    <w:rsid w:val="003971AF"/>
    <w:rsid w:val="003A020F"/>
    <w:rsid w:val="003A3771"/>
    <w:rsid w:val="003B591A"/>
    <w:rsid w:val="003D2D11"/>
    <w:rsid w:val="004340AE"/>
    <w:rsid w:val="00440210"/>
    <w:rsid w:val="00444D7D"/>
    <w:rsid w:val="0044565E"/>
    <w:rsid w:val="00455EEE"/>
    <w:rsid w:val="00460839"/>
    <w:rsid w:val="0047369E"/>
    <w:rsid w:val="00482693"/>
    <w:rsid w:val="004C28B8"/>
    <w:rsid w:val="004D3EEE"/>
    <w:rsid w:val="004E2B9A"/>
    <w:rsid w:val="004E5E61"/>
    <w:rsid w:val="005120C4"/>
    <w:rsid w:val="00523723"/>
    <w:rsid w:val="00525F8B"/>
    <w:rsid w:val="005416BB"/>
    <w:rsid w:val="005944A5"/>
    <w:rsid w:val="005B33E2"/>
    <w:rsid w:val="005B4AC5"/>
    <w:rsid w:val="005D5064"/>
    <w:rsid w:val="00601DD9"/>
    <w:rsid w:val="00621198"/>
    <w:rsid w:val="006453E4"/>
    <w:rsid w:val="006456D2"/>
    <w:rsid w:val="0067072F"/>
    <w:rsid w:val="0068036D"/>
    <w:rsid w:val="00694885"/>
    <w:rsid w:val="006966C4"/>
    <w:rsid w:val="006E1B00"/>
    <w:rsid w:val="00704FAF"/>
    <w:rsid w:val="00723B45"/>
    <w:rsid w:val="00727B13"/>
    <w:rsid w:val="007333D6"/>
    <w:rsid w:val="00750FB5"/>
    <w:rsid w:val="00784EEA"/>
    <w:rsid w:val="00785A7C"/>
    <w:rsid w:val="00791789"/>
    <w:rsid w:val="00796390"/>
    <w:rsid w:val="007A6871"/>
    <w:rsid w:val="007B109B"/>
    <w:rsid w:val="007E28E1"/>
    <w:rsid w:val="00815C2A"/>
    <w:rsid w:val="00817698"/>
    <w:rsid w:val="00846766"/>
    <w:rsid w:val="00854EC6"/>
    <w:rsid w:val="008570D5"/>
    <w:rsid w:val="008F46EA"/>
    <w:rsid w:val="008F4C56"/>
    <w:rsid w:val="0091352C"/>
    <w:rsid w:val="00916F72"/>
    <w:rsid w:val="00925E2E"/>
    <w:rsid w:val="00931081"/>
    <w:rsid w:val="0093295C"/>
    <w:rsid w:val="0094243E"/>
    <w:rsid w:val="00975A3A"/>
    <w:rsid w:val="00976BE2"/>
    <w:rsid w:val="00977376"/>
    <w:rsid w:val="0098569D"/>
    <w:rsid w:val="009A0812"/>
    <w:rsid w:val="009A08DA"/>
    <w:rsid w:val="009D5F48"/>
    <w:rsid w:val="00A001D8"/>
    <w:rsid w:val="00A113DC"/>
    <w:rsid w:val="00A44FB2"/>
    <w:rsid w:val="00A4793A"/>
    <w:rsid w:val="00A9598D"/>
    <w:rsid w:val="00AC438D"/>
    <w:rsid w:val="00AF0482"/>
    <w:rsid w:val="00AF3C74"/>
    <w:rsid w:val="00B00E72"/>
    <w:rsid w:val="00B12DDF"/>
    <w:rsid w:val="00B20D46"/>
    <w:rsid w:val="00B22D3F"/>
    <w:rsid w:val="00B3633E"/>
    <w:rsid w:val="00B57FA9"/>
    <w:rsid w:val="00B60604"/>
    <w:rsid w:val="00BE0846"/>
    <w:rsid w:val="00BE1101"/>
    <w:rsid w:val="00BE4001"/>
    <w:rsid w:val="00C11497"/>
    <w:rsid w:val="00C350D2"/>
    <w:rsid w:val="00C45055"/>
    <w:rsid w:val="00C54DFE"/>
    <w:rsid w:val="00C55B73"/>
    <w:rsid w:val="00C6577E"/>
    <w:rsid w:val="00C6582B"/>
    <w:rsid w:val="00C6693D"/>
    <w:rsid w:val="00CB0495"/>
    <w:rsid w:val="00CB33C8"/>
    <w:rsid w:val="00CD6EF5"/>
    <w:rsid w:val="00D056F6"/>
    <w:rsid w:val="00D430E4"/>
    <w:rsid w:val="00D516E7"/>
    <w:rsid w:val="00D531FC"/>
    <w:rsid w:val="00D5532A"/>
    <w:rsid w:val="00D91D83"/>
    <w:rsid w:val="00D9582D"/>
    <w:rsid w:val="00DA5D78"/>
    <w:rsid w:val="00DB108A"/>
    <w:rsid w:val="00DB423E"/>
    <w:rsid w:val="00DB5654"/>
    <w:rsid w:val="00DC2ECD"/>
    <w:rsid w:val="00DC5E60"/>
    <w:rsid w:val="00DD2564"/>
    <w:rsid w:val="00DD3967"/>
    <w:rsid w:val="00DE21BA"/>
    <w:rsid w:val="00E429D6"/>
    <w:rsid w:val="00E44D28"/>
    <w:rsid w:val="00E57BD7"/>
    <w:rsid w:val="00E66307"/>
    <w:rsid w:val="00E81D9A"/>
    <w:rsid w:val="00E85B15"/>
    <w:rsid w:val="00EB2F8F"/>
    <w:rsid w:val="00ED3044"/>
    <w:rsid w:val="00ED3D50"/>
    <w:rsid w:val="00EE38AE"/>
    <w:rsid w:val="00F13614"/>
    <w:rsid w:val="00F15294"/>
    <w:rsid w:val="00F171C8"/>
    <w:rsid w:val="00F277E0"/>
    <w:rsid w:val="00F3443D"/>
    <w:rsid w:val="00F90C34"/>
    <w:rsid w:val="00F9536A"/>
    <w:rsid w:val="00FC0D85"/>
    <w:rsid w:val="00FC3886"/>
    <w:rsid w:val="00FC44D1"/>
    <w:rsid w:val="00FC6D50"/>
    <w:rsid w:val="00FD2EE0"/>
    <w:rsid w:val="00FE5221"/>
    <w:rsid w:val="00FF7B9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493A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E2E"/>
  </w:style>
  <w:style w:type="paragraph" w:styleId="Heading4">
    <w:name w:val="heading 4"/>
    <w:basedOn w:val="Normal"/>
    <w:link w:val="Heading4Char"/>
    <w:uiPriority w:val="9"/>
    <w:qFormat/>
    <w:rsid w:val="003D2D11"/>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E2E"/>
    <w:pPr>
      <w:ind w:left="720"/>
      <w:contextualSpacing/>
    </w:pPr>
  </w:style>
  <w:style w:type="paragraph" w:styleId="Header">
    <w:name w:val="header"/>
    <w:basedOn w:val="Normal"/>
    <w:link w:val="HeaderChar"/>
    <w:uiPriority w:val="99"/>
    <w:unhideWhenUsed/>
    <w:rsid w:val="00925E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E2E"/>
  </w:style>
  <w:style w:type="paragraph" w:styleId="Footer">
    <w:name w:val="footer"/>
    <w:basedOn w:val="Normal"/>
    <w:link w:val="FooterChar"/>
    <w:uiPriority w:val="99"/>
    <w:unhideWhenUsed/>
    <w:rsid w:val="00925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E2E"/>
  </w:style>
  <w:style w:type="paragraph" w:styleId="FootnoteText">
    <w:name w:val="footnote text"/>
    <w:basedOn w:val="Normal"/>
    <w:link w:val="FootnoteTextChar"/>
    <w:uiPriority w:val="99"/>
    <w:semiHidden/>
    <w:unhideWhenUsed/>
    <w:rsid w:val="004340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40AE"/>
    <w:rPr>
      <w:sz w:val="20"/>
      <w:szCs w:val="20"/>
    </w:rPr>
  </w:style>
  <w:style w:type="character" w:styleId="FootnoteReference">
    <w:name w:val="footnote reference"/>
    <w:basedOn w:val="DefaultParagraphFont"/>
    <w:uiPriority w:val="99"/>
    <w:unhideWhenUsed/>
    <w:rsid w:val="004340AE"/>
    <w:rPr>
      <w:vertAlign w:val="superscript"/>
    </w:rPr>
  </w:style>
  <w:style w:type="character" w:styleId="Hyperlink">
    <w:name w:val="Hyperlink"/>
    <w:basedOn w:val="DefaultParagraphFont"/>
    <w:uiPriority w:val="99"/>
    <w:unhideWhenUsed/>
    <w:rsid w:val="00015252"/>
    <w:rPr>
      <w:color w:val="0000FF" w:themeColor="hyperlink"/>
      <w:u w:val="single"/>
    </w:rPr>
  </w:style>
  <w:style w:type="character" w:styleId="CommentReference">
    <w:name w:val="annotation reference"/>
    <w:basedOn w:val="DefaultParagraphFont"/>
    <w:uiPriority w:val="99"/>
    <w:semiHidden/>
    <w:unhideWhenUsed/>
    <w:rsid w:val="003A3771"/>
    <w:rPr>
      <w:sz w:val="16"/>
      <w:szCs w:val="16"/>
    </w:rPr>
  </w:style>
  <w:style w:type="paragraph" w:styleId="CommentText">
    <w:name w:val="annotation text"/>
    <w:basedOn w:val="Normal"/>
    <w:link w:val="CommentTextChar"/>
    <w:uiPriority w:val="99"/>
    <w:semiHidden/>
    <w:unhideWhenUsed/>
    <w:rsid w:val="003A3771"/>
    <w:pPr>
      <w:spacing w:line="240" w:lineRule="auto"/>
    </w:pPr>
    <w:rPr>
      <w:sz w:val="20"/>
      <w:szCs w:val="20"/>
    </w:rPr>
  </w:style>
  <w:style w:type="character" w:customStyle="1" w:styleId="CommentTextChar">
    <w:name w:val="Comment Text Char"/>
    <w:basedOn w:val="DefaultParagraphFont"/>
    <w:link w:val="CommentText"/>
    <w:uiPriority w:val="99"/>
    <w:semiHidden/>
    <w:rsid w:val="003A3771"/>
    <w:rPr>
      <w:sz w:val="20"/>
      <w:szCs w:val="20"/>
    </w:rPr>
  </w:style>
  <w:style w:type="paragraph" w:styleId="BalloonText">
    <w:name w:val="Balloon Text"/>
    <w:basedOn w:val="Normal"/>
    <w:link w:val="BalloonTextChar"/>
    <w:uiPriority w:val="99"/>
    <w:semiHidden/>
    <w:unhideWhenUsed/>
    <w:rsid w:val="003A3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771"/>
    <w:rPr>
      <w:rFonts w:ascii="Tahoma" w:hAnsi="Tahoma" w:cs="Tahoma"/>
      <w:sz w:val="16"/>
      <w:szCs w:val="16"/>
    </w:rPr>
  </w:style>
  <w:style w:type="character" w:styleId="HTMLCite">
    <w:name w:val="HTML Cite"/>
    <w:basedOn w:val="DefaultParagraphFont"/>
    <w:uiPriority w:val="99"/>
    <w:semiHidden/>
    <w:unhideWhenUsed/>
    <w:rsid w:val="003D2D11"/>
    <w:rPr>
      <w:i/>
      <w:iCs/>
    </w:rPr>
  </w:style>
  <w:style w:type="character" w:customStyle="1" w:styleId="Heading4Char">
    <w:name w:val="Heading 4 Char"/>
    <w:basedOn w:val="DefaultParagraphFont"/>
    <w:link w:val="Heading4"/>
    <w:uiPriority w:val="9"/>
    <w:rsid w:val="003D2D11"/>
    <w:rPr>
      <w:rFonts w:ascii="Times New Roman" w:eastAsia="Times New Roman" w:hAnsi="Times New Roman" w:cs="Times New Roman"/>
      <w:b/>
      <w:bCs/>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E2E"/>
  </w:style>
  <w:style w:type="paragraph" w:styleId="Heading4">
    <w:name w:val="heading 4"/>
    <w:basedOn w:val="Normal"/>
    <w:link w:val="Heading4Char"/>
    <w:uiPriority w:val="9"/>
    <w:qFormat/>
    <w:rsid w:val="003D2D11"/>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E2E"/>
    <w:pPr>
      <w:ind w:left="720"/>
      <w:contextualSpacing/>
    </w:pPr>
  </w:style>
  <w:style w:type="paragraph" w:styleId="Header">
    <w:name w:val="header"/>
    <w:basedOn w:val="Normal"/>
    <w:link w:val="HeaderChar"/>
    <w:uiPriority w:val="99"/>
    <w:unhideWhenUsed/>
    <w:rsid w:val="00925E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E2E"/>
  </w:style>
  <w:style w:type="paragraph" w:styleId="Footer">
    <w:name w:val="footer"/>
    <w:basedOn w:val="Normal"/>
    <w:link w:val="FooterChar"/>
    <w:uiPriority w:val="99"/>
    <w:unhideWhenUsed/>
    <w:rsid w:val="00925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E2E"/>
  </w:style>
  <w:style w:type="paragraph" w:styleId="FootnoteText">
    <w:name w:val="footnote text"/>
    <w:basedOn w:val="Normal"/>
    <w:link w:val="FootnoteTextChar"/>
    <w:uiPriority w:val="99"/>
    <w:semiHidden/>
    <w:unhideWhenUsed/>
    <w:rsid w:val="004340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40AE"/>
    <w:rPr>
      <w:sz w:val="20"/>
      <w:szCs w:val="20"/>
    </w:rPr>
  </w:style>
  <w:style w:type="character" w:styleId="FootnoteReference">
    <w:name w:val="footnote reference"/>
    <w:basedOn w:val="DefaultParagraphFont"/>
    <w:uiPriority w:val="99"/>
    <w:unhideWhenUsed/>
    <w:rsid w:val="004340AE"/>
    <w:rPr>
      <w:vertAlign w:val="superscript"/>
    </w:rPr>
  </w:style>
  <w:style w:type="character" w:styleId="Hyperlink">
    <w:name w:val="Hyperlink"/>
    <w:basedOn w:val="DefaultParagraphFont"/>
    <w:uiPriority w:val="99"/>
    <w:unhideWhenUsed/>
    <w:rsid w:val="00015252"/>
    <w:rPr>
      <w:color w:val="0000FF" w:themeColor="hyperlink"/>
      <w:u w:val="single"/>
    </w:rPr>
  </w:style>
  <w:style w:type="character" w:styleId="CommentReference">
    <w:name w:val="annotation reference"/>
    <w:basedOn w:val="DefaultParagraphFont"/>
    <w:uiPriority w:val="99"/>
    <w:semiHidden/>
    <w:unhideWhenUsed/>
    <w:rsid w:val="003A3771"/>
    <w:rPr>
      <w:sz w:val="16"/>
      <w:szCs w:val="16"/>
    </w:rPr>
  </w:style>
  <w:style w:type="paragraph" w:styleId="CommentText">
    <w:name w:val="annotation text"/>
    <w:basedOn w:val="Normal"/>
    <w:link w:val="CommentTextChar"/>
    <w:uiPriority w:val="99"/>
    <w:semiHidden/>
    <w:unhideWhenUsed/>
    <w:rsid w:val="003A3771"/>
    <w:pPr>
      <w:spacing w:line="240" w:lineRule="auto"/>
    </w:pPr>
    <w:rPr>
      <w:sz w:val="20"/>
      <w:szCs w:val="20"/>
    </w:rPr>
  </w:style>
  <w:style w:type="character" w:customStyle="1" w:styleId="CommentTextChar">
    <w:name w:val="Comment Text Char"/>
    <w:basedOn w:val="DefaultParagraphFont"/>
    <w:link w:val="CommentText"/>
    <w:uiPriority w:val="99"/>
    <w:semiHidden/>
    <w:rsid w:val="003A3771"/>
    <w:rPr>
      <w:sz w:val="20"/>
      <w:szCs w:val="20"/>
    </w:rPr>
  </w:style>
  <w:style w:type="paragraph" w:styleId="BalloonText">
    <w:name w:val="Balloon Text"/>
    <w:basedOn w:val="Normal"/>
    <w:link w:val="BalloonTextChar"/>
    <w:uiPriority w:val="99"/>
    <w:semiHidden/>
    <w:unhideWhenUsed/>
    <w:rsid w:val="003A3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771"/>
    <w:rPr>
      <w:rFonts w:ascii="Tahoma" w:hAnsi="Tahoma" w:cs="Tahoma"/>
      <w:sz w:val="16"/>
      <w:szCs w:val="16"/>
    </w:rPr>
  </w:style>
  <w:style w:type="character" w:styleId="HTMLCite">
    <w:name w:val="HTML Cite"/>
    <w:basedOn w:val="DefaultParagraphFont"/>
    <w:uiPriority w:val="99"/>
    <w:semiHidden/>
    <w:unhideWhenUsed/>
    <w:rsid w:val="003D2D11"/>
    <w:rPr>
      <w:i/>
      <w:iCs/>
    </w:rPr>
  </w:style>
  <w:style w:type="character" w:customStyle="1" w:styleId="Heading4Char">
    <w:name w:val="Heading 4 Char"/>
    <w:basedOn w:val="DefaultParagraphFont"/>
    <w:link w:val="Heading4"/>
    <w:uiPriority w:val="9"/>
    <w:rsid w:val="003D2D11"/>
    <w:rPr>
      <w:rFonts w:ascii="Times New Roman" w:eastAsia="Times New Roman" w:hAnsi="Times New Roman" w:cs="Times New Roman"/>
      <w:b/>
      <w:bCs/>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3838">
      <w:bodyDiv w:val="1"/>
      <w:marLeft w:val="0"/>
      <w:marRight w:val="0"/>
      <w:marTop w:val="0"/>
      <w:marBottom w:val="0"/>
      <w:divBdr>
        <w:top w:val="none" w:sz="0" w:space="0" w:color="auto"/>
        <w:left w:val="none" w:sz="0" w:space="0" w:color="auto"/>
        <w:bottom w:val="none" w:sz="0" w:space="0" w:color="auto"/>
        <w:right w:val="none" w:sz="0" w:space="0" w:color="auto"/>
      </w:divBdr>
    </w:div>
    <w:div w:id="149369474">
      <w:bodyDiv w:val="1"/>
      <w:marLeft w:val="0"/>
      <w:marRight w:val="0"/>
      <w:marTop w:val="0"/>
      <w:marBottom w:val="0"/>
      <w:divBdr>
        <w:top w:val="none" w:sz="0" w:space="0" w:color="auto"/>
        <w:left w:val="none" w:sz="0" w:space="0" w:color="auto"/>
        <w:bottom w:val="none" w:sz="0" w:space="0" w:color="auto"/>
        <w:right w:val="none" w:sz="0" w:space="0" w:color="auto"/>
      </w:divBdr>
    </w:div>
    <w:div w:id="883757933">
      <w:bodyDiv w:val="1"/>
      <w:marLeft w:val="0"/>
      <w:marRight w:val="0"/>
      <w:marTop w:val="0"/>
      <w:marBottom w:val="0"/>
      <w:divBdr>
        <w:top w:val="none" w:sz="0" w:space="0" w:color="auto"/>
        <w:left w:val="none" w:sz="0" w:space="0" w:color="auto"/>
        <w:bottom w:val="none" w:sz="0" w:space="0" w:color="auto"/>
        <w:right w:val="none" w:sz="0" w:space="0" w:color="auto"/>
      </w:divBdr>
      <w:divsChild>
        <w:div w:id="362707861">
          <w:marLeft w:val="0"/>
          <w:marRight w:val="0"/>
          <w:marTop w:val="0"/>
          <w:marBottom w:val="0"/>
          <w:divBdr>
            <w:top w:val="none" w:sz="0" w:space="0" w:color="auto"/>
            <w:left w:val="none" w:sz="0" w:space="0" w:color="auto"/>
            <w:bottom w:val="none" w:sz="0" w:space="0" w:color="auto"/>
            <w:right w:val="none" w:sz="0" w:space="0" w:color="auto"/>
          </w:divBdr>
        </w:div>
        <w:div w:id="1443695220">
          <w:marLeft w:val="0"/>
          <w:marRight w:val="0"/>
          <w:marTop w:val="0"/>
          <w:marBottom w:val="0"/>
          <w:divBdr>
            <w:top w:val="none" w:sz="0" w:space="0" w:color="auto"/>
            <w:left w:val="none" w:sz="0" w:space="0" w:color="auto"/>
            <w:bottom w:val="none" w:sz="0" w:space="0" w:color="auto"/>
            <w:right w:val="none" w:sz="0" w:space="0" w:color="auto"/>
          </w:divBdr>
        </w:div>
      </w:divsChild>
    </w:div>
    <w:div w:id="15886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reports.originenergy.com.au/2010/sustainability/gri/energy_use_and_air_emissions/" TargetMode="External"/><Relationship Id="rId7" Type="http://schemas.openxmlformats.org/officeDocument/2006/relationships/hyperlink" Target="http://igcc.org.au/Resources/Documents/Climate-Change-Investment-Solutions-GuideFINAL.pdf" TargetMode="External"/><Relationship Id="rId2" Type="http://schemas.openxmlformats.org/officeDocument/2006/relationships/hyperlink" Target="http://www.originenergy.com.au/content/dam/origin/about/our-approach/docs/sustainability-gri-environment-2014.pdf" TargetMode="External"/><Relationship Id="rId1" Type="http://schemas.openxmlformats.org/officeDocument/2006/relationships/hyperlink" Target="http://www.aemo.com.au" TargetMode="External"/><Relationship Id="rId6" Type="http://schemas.openxmlformats.org/officeDocument/2006/relationships/hyperlink" Target="http://www.originenergy.com.au/sustainability/material-aspects/emissions" TargetMode="External"/><Relationship Id="rId5" Type="http://schemas.openxmlformats.org/officeDocument/2006/relationships/hyperlink" Target="http://www.originenergy.com.au/sustainability/sites/default/files/gri_download/GRI_environment.pdf" TargetMode="External"/><Relationship Id="rId4" Type="http://schemas.openxmlformats.org/officeDocument/2006/relationships/hyperlink" Target="http://reports.originenergy.com.au/2010/sustainability/our_communities/5-year-strate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69403-1796-4197-9CAE-0CEE9AFEA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Pender</dc:creator>
  <cp:lastModifiedBy>default</cp:lastModifiedBy>
  <cp:revision>3</cp:revision>
  <cp:lastPrinted>2015-05-12T23:52:00Z</cp:lastPrinted>
  <dcterms:created xsi:type="dcterms:W3CDTF">2015-09-08T02:44:00Z</dcterms:created>
  <dcterms:modified xsi:type="dcterms:W3CDTF">2015-09-08T02:46:00Z</dcterms:modified>
</cp:coreProperties>
</file>