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D60D" w14:textId="77777777" w:rsidR="00CC21C0" w:rsidRPr="009E13A2" w:rsidRDefault="00164A2F" w:rsidP="00164A2F">
      <w:pPr>
        <w:jc w:val="center"/>
        <w:rPr>
          <w:b/>
          <w:sz w:val="28"/>
          <w:szCs w:val="28"/>
        </w:rPr>
      </w:pPr>
      <w:r w:rsidRPr="009E13A2">
        <w:rPr>
          <w:b/>
          <w:sz w:val="28"/>
          <w:szCs w:val="28"/>
        </w:rPr>
        <w:t>New Zealand Superannuation Fund: How Responsible is it?</w:t>
      </w:r>
    </w:p>
    <w:p w14:paraId="39F89D98" w14:textId="77777777" w:rsidR="00164A2F" w:rsidRPr="009E13A2" w:rsidRDefault="00164A2F" w:rsidP="00164A2F">
      <w:pPr>
        <w:jc w:val="center"/>
        <w:rPr>
          <w:b/>
          <w:sz w:val="28"/>
          <w:szCs w:val="28"/>
        </w:rPr>
      </w:pPr>
      <w:r w:rsidRPr="009E13A2">
        <w:rPr>
          <w:b/>
          <w:sz w:val="28"/>
          <w:szCs w:val="28"/>
        </w:rPr>
        <w:t>Dr Robert Howell</w:t>
      </w:r>
    </w:p>
    <w:p w14:paraId="7392B829" w14:textId="77777777" w:rsidR="00164A2F" w:rsidRPr="009E13A2" w:rsidRDefault="00164A2F"/>
    <w:p w14:paraId="5EB003EA" w14:textId="57E672DA" w:rsidR="00164A2F" w:rsidRPr="009E13A2" w:rsidRDefault="00DB7359">
      <w:pPr>
        <w:rPr>
          <w:b/>
          <w:szCs w:val="22"/>
        </w:rPr>
      </w:pPr>
      <w:r>
        <w:rPr>
          <w:b/>
          <w:szCs w:val="22"/>
        </w:rPr>
        <w:t>Introduction</w:t>
      </w:r>
    </w:p>
    <w:p w14:paraId="21930E23" w14:textId="77777777" w:rsidR="00B82008" w:rsidRPr="009E13A2" w:rsidRDefault="00B82008">
      <w:pPr>
        <w:rPr>
          <w:szCs w:val="22"/>
        </w:rPr>
      </w:pPr>
    </w:p>
    <w:p w14:paraId="117056D2" w14:textId="17EC01CB" w:rsidR="00375786" w:rsidRPr="00E3766D" w:rsidRDefault="00E3766D" w:rsidP="00E3766D">
      <w:pPr>
        <w:rPr>
          <w:szCs w:val="22"/>
        </w:rPr>
      </w:pPr>
      <w:r>
        <w:rPr>
          <w:szCs w:val="22"/>
        </w:rPr>
        <w:t xml:space="preserve">How responsible is the New Zealand Superannuation Fund </w:t>
      </w:r>
      <w:r w:rsidR="00EA52E8">
        <w:rPr>
          <w:szCs w:val="22"/>
        </w:rPr>
        <w:t>(NZ Super Fund, or t</w:t>
      </w:r>
      <w:bookmarkStart w:id="0" w:name="_GoBack"/>
      <w:bookmarkEnd w:id="0"/>
      <w:r w:rsidRPr="009E13A2">
        <w:rPr>
          <w:szCs w:val="22"/>
        </w:rPr>
        <w:t>he Fund</w:t>
      </w:r>
      <w:r>
        <w:rPr>
          <w:szCs w:val="22"/>
        </w:rPr>
        <w:t xml:space="preserve">)?  To answer that question involves describing the </w:t>
      </w:r>
      <w:r w:rsidR="00E8756B">
        <w:rPr>
          <w:szCs w:val="22"/>
        </w:rPr>
        <w:t>four-step</w:t>
      </w:r>
      <w:r>
        <w:rPr>
          <w:szCs w:val="22"/>
        </w:rPr>
        <w:t xml:space="preserve"> process that i</w:t>
      </w:r>
      <w:r w:rsidR="00B206E4">
        <w:rPr>
          <w:szCs w:val="22"/>
        </w:rPr>
        <w:t>t i</w:t>
      </w:r>
      <w:r>
        <w:rPr>
          <w:szCs w:val="22"/>
        </w:rPr>
        <w:t xml:space="preserve">s necessary to go through to set up or select an ethical fund.  It involves defining what an ethical company would look like. The Fund is then evaluated according to this process and definition.  Because the New Zealand legislation is so weak the Fund has adopted various codes such as the United Nations Principles of Responsible Investment, and the United Nations </w:t>
      </w:r>
      <w:r w:rsidR="00C567CA">
        <w:rPr>
          <w:szCs w:val="22"/>
        </w:rPr>
        <w:t xml:space="preserve">Global </w:t>
      </w:r>
      <w:r>
        <w:rPr>
          <w:szCs w:val="22"/>
        </w:rPr>
        <w:t>Compact.  These are also assessed.  The way in which the Fund carries out its exclusion and engagement is described and evaluated, as is the selection of what it sees as strategic risk</w:t>
      </w:r>
      <w:r w:rsidR="00B206E4">
        <w:rPr>
          <w:szCs w:val="22"/>
        </w:rPr>
        <w:t>s</w:t>
      </w:r>
      <w:r>
        <w:rPr>
          <w:szCs w:val="22"/>
        </w:rPr>
        <w:t>.  Recommendations for improvement are then made.</w:t>
      </w:r>
    </w:p>
    <w:p w14:paraId="3659C682" w14:textId="77777777" w:rsidR="00AC063E" w:rsidRPr="009E13A2" w:rsidRDefault="00AC063E" w:rsidP="00375786">
      <w:pPr>
        <w:rPr>
          <w:rFonts w:eastAsia="Times New Roman" w:cs="Arial"/>
          <w:szCs w:val="22"/>
          <w:lang w:val="en-NZ"/>
        </w:rPr>
      </w:pPr>
    </w:p>
    <w:p w14:paraId="2D214072" w14:textId="19B51ABA" w:rsidR="00AC063E" w:rsidRPr="009E13A2" w:rsidRDefault="00C65EB6" w:rsidP="00375786">
      <w:pPr>
        <w:rPr>
          <w:rFonts w:eastAsia="Times New Roman" w:cs="Arial"/>
          <w:b/>
          <w:szCs w:val="22"/>
          <w:lang w:val="en-NZ"/>
        </w:rPr>
      </w:pPr>
      <w:r>
        <w:rPr>
          <w:rFonts w:eastAsia="Times New Roman" w:cs="Arial"/>
          <w:b/>
          <w:szCs w:val="22"/>
          <w:lang w:val="en-NZ"/>
        </w:rPr>
        <w:t>Process</w:t>
      </w:r>
      <w:r w:rsidR="00AC063E" w:rsidRPr="009E13A2">
        <w:rPr>
          <w:rFonts w:eastAsia="Times New Roman" w:cs="Arial"/>
          <w:b/>
          <w:szCs w:val="22"/>
          <w:lang w:val="en-NZ"/>
        </w:rPr>
        <w:t xml:space="preserve"> for the Selection of an Ethical Fund</w:t>
      </w:r>
    </w:p>
    <w:p w14:paraId="6FB2195F" w14:textId="77777777" w:rsidR="00AC063E" w:rsidRPr="009E13A2" w:rsidRDefault="00AC063E" w:rsidP="00375786">
      <w:pPr>
        <w:rPr>
          <w:rFonts w:eastAsia="Times New Roman" w:cs="Arial"/>
          <w:szCs w:val="22"/>
          <w:lang w:val="en-NZ"/>
        </w:rPr>
      </w:pPr>
    </w:p>
    <w:p w14:paraId="53CCDBFC" w14:textId="796F8D36" w:rsidR="00AC063E" w:rsidRPr="009E13A2" w:rsidRDefault="00AC063E" w:rsidP="00375786">
      <w:pPr>
        <w:rPr>
          <w:rFonts w:eastAsia="Times New Roman" w:cs="Arial"/>
          <w:szCs w:val="22"/>
          <w:lang w:val="en-NZ"/>
        </w:rPr>
      </w:pPr>
      <w:r w:rsidRPr="009E13A2">
        <w:rPr>
          <w:rFonts w:eastAsia="Times New Roman" w:cs="Arial"/>
          <w:szCs w:val="22"/>
          <w:lang w:val="en-NZ"/>
        </w:rPr>
        <w:t xml:space="preserve">There are four steps involved in the selection of an ethical fund.  First, define your values.  Second, decide what types of investments </w:t>
      </w:r>
      <w:r w:rsidR="00765C64" w:rsidRPr="009E13A2">
        <w:rPr>
          <w:rFonts w:eastAsia="Times New Roman" w:cs="Arial"/>
          <w:szCs w:val="22"/>
          <w:lang w:val="en-NZ"/>
        </w:rPr>
        <w:t>y</w:t>
      </w:r>
      <w:r w:rsidRPr="009E13A2">
        <w:rPr>
          <w:rFonts w:eastAsia="Times New Roman" w:cs="Arial"/>
          <w:szCs w:val="22"/>
          <w:lang w:val="en-NZ"/>
        </w:rPr>
        <w:t>o</w:t>
      </w:r>
      <w:r w:rsidR="00765C64" w:rsidRPr="009E13A2">
        <w:rPr>
          <w:rFonts w:eastAsia="Times New Roman" w:cs="Arial"/>
          <w:szCs w:val="22"/>
          <w:lang w:val="en-NZ"/>
        </w:rPr>
        <w:t>u</w:t>
      </w:r>
      <w:r w:rsidRPr="009E13A2">
        <w:rPr>
          <w:rFonts w:eastAsia="Times New Roman" w:cs="Arial"/>
          <w:szCs w:val="22"/>
          <w:lang w:val="en-NZ"/>
        </w:rPr>
        <w:t xml:space="preserve"> do not want to invest in (negative screens).  Thi</w:t>
      </w:r>
      <w:r w:rsidR="002D5FC7" w:rsidRPr="009E13A2">
        <w:rPr>
          <w:rFonts w:eastAsia="Times New Roman" w:cs="Arial"/>
          <w:szCs w:val="22"/>
          <w:lang w:val="en-NZ"/>
        </w:rPr>
        <w:t>s</w:t>
      </w:r>
      <w:r w:rsidRPr="009E13A2">
        <w:rPr>
          <w:rFonts w:eastAsia="Times New Roman" w:cs="Arial"/>
          <w:szCs w:val="22"/>
          <w:lang w:val="en-NZ"/>
        </w:rPr>
        <w:t xml:space="preserve"> step can also include deciding the types of funds you wish to invest in (positive screens).  Third, choose the </w:t>
      </w:r>
      <w:r w:rsidR="00765C64" w:rsidRPr="009E13A2">
        <w:rPr>
          <w:rFonts w:eastAsia="Times New Roman" w:cs="Arial"/>
          <w:szCs w:val="22"/>
          <w:lang w:val="en-NZ"/>
        </w:rPr>
        <w:t xml:space="preserve">means of </w:t>
      </w:r>
      <w:r w:rsidRPr="009E13A2">
        <w:rPr>
          <w:rFonts w:eastAsia="Times New Roman" w:cs="Arial"/>
          <w:szCs w:val="22"/>
          <w:lang w:val="en-NZ"/>
        </w:rPr>
        <w:t>engagement you wish to use.  Fourth, describe the reporting you expect the fund to carry out.</w:t>
      </w:r>
    </w:p>
    <w:p w14:paraId="608F6664" w14:textId="77777777" w:rsidR="00AC063E" w:rsidRPr="009E13A2" w:rsidRDefault="00AC063E" w:rsidP="00375786">
      <w:pPr>
        <w:rPr>
          <w:rFonts w:eastAsia="Times New Roman" w:cs="Arial"/>
          <w:szCs w:val="22"/>
          <w:lang w:val="en-NZ"/>
        </w:rPr>
      </w:pPr>
    </w:p>
    <w:p w14:paraId="60A50299" w14:textId="199554C2" w:rsidR="00AC063E" w:rsidRPr="009E13A2" w:rsidRDefault="00AC063E" w:rsidP="00375786">
      <w:pPr>
        <w:rPr>
          <w:rFonts w:eastAsia="Times New Roman" w:cs="Arial"/>
          <w:szCs w:val="22"/>
          <w:lang w:val="en-NZ"/>
        </w:rPr>
      </w:pPr>
      <w:r w:rsidRPr="00E54FB8">
        <w:rPr>
          <w:rFonts w:eastAsia="Times New Roman" w:cs="Arial"/>
          <w:i/>
          <w:szCs w:val="22"/>
          <w:lang w:val="en-NZ"/>
        </w:rPr>
        <w:t>The first step</w:t>
      </w:r>
      <w:r w:rsidRPr="009E13A2">
        <w:rPr>
          <w:rFonts w:eastAsia="Times New Roman" w:cs="Arial"/>
          <w:szCs w:val="22"/>
          <w:lang w:val="en-NZ"/>
        </w:rPr>
        <w:t>, defining your values, is a statement of the moral principles and standards you wish the fund to follow.  There is a wide range of funds that claim an ethical labe</w:t>
      </w:r>
      <w:r w:rsidR="00765C64" w:rsidRPr="009E13A2">
        <w:rPr>
          <w:rFonts w:eastAsia="Times New Roman" w:cs="Arial"/>
          <w:szCs w:val="22"/>
          <w:lang w:val="en-NZ"/>
        </w:rPr>
        <w:t>l</w:t>
      </w:r>
      <w:r w:rsidRPr="009E13A2">
        <w:rPr>
          <w:rFonts w:eastAsia="Times New Roman" w:cs="Arial"/>
          <w:szCs w:val="22"/>
          <w:lang w:val="en-NZ"/>
        </w:rPr>
        <w:t xml:space="preserve">, and many are not adequate.  Some are single purpose funds, being concerned about one issue only, such as </w:t>
      </w:r>
      <w:r w:rsidR="00BE00B4" w:rsidRPr="009E13A2">
        <w:rPr>
          <w:rFonts w:eastAsia="Times New Roman" w:cs="Arial"/>
          <w:szCs w:val="22"/>
          <w:lang w:val="en-NZ"/>
        </w:rPr>
        <w:t>tobacco</w:t>
      </w:r>
      <w:r w:rsidRPr="009E13A2">
        <w:rPr>
          <w:rFonts w:eastAsia="Times New Roman" w:cs="Arial"/>
          <w:szCs w:val="22"/>
          <w:lang w:val="en-NZ"/>
        </w:rPr>
        <w:t xml:space="preserve"> or </w:t>
      </w:r>
      <w:r w:rsidR="00BE00B4" w:rsidRPr="009E13A2">
        <w:rPr>
          <w:rFonts w:eastAsia="Times New Roman" w:cs="Arial"/>
          <w:szCs w:val="22"/>
          <w:lang w:val="en-NZ"/>
        </w:rPr>
        <w:t>controversial</w:t>
      </w:r>
      <w:r w:rsidRPr="009E13A2">
        <w:rPr>
          <w:rFonts w:eastAsia="Times New Roman" w:cs="Arial"/>
          <w:szCs w:val="22"/>
          <w:lang w:val="en-NZ"/>
        </w:rPr>
        <w:t xml:space="preserve"> weapons, and are not comprehensive.  Others use a very weak form of sustainability and are inadequate in protecting the environment.  (For a fuller account of how moral concepts link with codes, a</w:t>
      </w:r>
      <w:r w:rsidR="00C66F15" w:rsidRPr="009E13A2">
        <w:rPr>
          <w:rFonts w:eastAsia="Times New Roman" w:cs="Arial"/>
          <w:szCs w:val="22"/>
          <w:lang w:val="en-NZ"/>
        </w:rPr>
        <w:t xml:space="preserve">nd then with principles, </w:t>
      </w:r>
      <w:r w:rsidR="000078B2">
        <w:rPr>
          <w:rFonts w:eastAsia="Times New Roman" w:cs="Arial"/>
          <w:szCs w:val="22"/>
          <w:lang w:val="en-NZ"/>
        </w:rPr>
        <w:t xml:space="preserve">and the ways of evaluating these principles, </w:t>
      </w:r>
      <w:r w:rsidR="00C66F15" w:rsidRPr="009E13A2">
        <w:rPr>
          <w:rFonts w:eastAsia="Times New Roman" w:cs="Arial"/>
          <w:szCs w:val="22"/>
          <w:lang w:val="en-NZ"/>
        </w:rPr>
        <w:t>see Howell 2015</w:t>
      </w:r>
      <w:r w:rsidRPr="009E13A2">
        <w:rPr>
          <w:rFonts w:eastAsia="Times New Roman" w:cs="Arial"/>
          <w:szCs w:val="22"/>
          <w:lang w:val="en-NZ"/>
        </w:rPr>
        <w:t>.)</w:t>
      </w:r>
    </w:p>
    <w:p w14:paraId="31DA1DBB" w14:textId="77777777" w:rsidR="00AC063E" w:rsidRPr="009E13A2" w:rsidRDefault="00AC063E" w:rsidP="00375786">
      <w:pPr>
        <w:rPr>
          <w:rFonts w:eastAsia="Times New Roman" w:cs="Arial"/>
          <w:szCs w:val="22"/>
          <w:lang w:val="en-NZ"/>
        </w:rPr>
      </w:pPr>
    </w:p>
    <w:p w14:paraId="55ADE94B" w14:textId="3D21CCFF" w:rsidR="00AC063E" w:rsidRPr="009E13A2" w:rsidRDefault="00AC063E" w:rsidP="00375786">
      <w:pPr>
        <w:rPr>
          <w:rFonts w:eastAsia="Times New Roman" w:cs="Arial"/>
          <w:szCs w:val="22"/>
          <w:lang w:val="en-NZ"/>
        </w:rPr>
      </w:pPr>
      <w:r w:rsidRPr="00E54FB8">
        <w:rPr>
          <w:rFonts w:eastAsia="Times New Roman" w:cs="Arial"/>
          <w:i/>
          <w:szCs w:val="22"/>
          <w:lang w:val="en-NZ"/>
        </w:rPr>
        <w:t>The second step</w:t>
      </w:r>
      <w:r w:rsidRPr="009E13A2">
        <w:rPr>
          <w:rFonts w:eastAsia="Times New Roman" w:cs="Arial"/>
          <w:szCs w:val="22"/>
          <w:lang w:val="en-NZ"/>
        </w:rPr>
        <w:t>, deciding what to exclude, again has many options.  Some funds exclude a wide range of investment t</w:t>
      </w:r>
      <w:r w:rsidR="002D5FC7" w:rsidRPr="009E13A2">
        <w:rPr>
          <w:rFonts w:eastAsia="Times New Roman" w:cs="Arial"/>
          <w:szCs w:val="22"/>
          <w:lang w:val="en-NZ"/>
        </w:rPr>
        <w:t>ypes</w:t>
      </w:r>
      <w:r w:rsidR="000078B2">
        <w:rPr>
          <w:rFonts w:eastAsia="Times New Roman" w:cs="Arial"/>
          <w:szCs w:val="22"/>
          <w:lang w:val="en-NZ"/>
        </w:rPr>
        <w:t>.</w:t>
      </w:r>
      <w:r w:rsidR="002D5FC7" w:rsidRPr="009E13A2">
        <w:rPr>
          <w:rFonts w:eastAsia="Times New Roman" w:cs="Arial"/>
          <w:szCs w:val="22"/>
          <w:lang w:val="en-NZ"/>
        </w:rPr>
        <w:t xml:space="preserve">  An example is Paul Hawkin’s</w:t>
      </w:r>
      <w:r w:rsidR="00A075D8" w:rsidRPr="009E13A2">
        <w:rPr>
          <w:rFonts w:eastAsia="Times New Roman" w:cs="Arial"/>
          <w:szCs w:val="22"/>
          <w:lang w:val="en-NZ"/>
        </w:rPr>
        <w:t xml:space="preserve"> Highwater Global Fund (Highwater Global Fund).</w:t>
      </w:r>
      <w:r w:rsidR="00A075D8" w:rsidRPr="009E13A2">
        <w:rPr>
          <w:rFonts w:ascii="Times" w:eastAsia="Times New Roman" w:hAnsi="Times" w:cs="Times New Roman"/>
          <w:sz w:val="20"/>
          <w:szCs w:val="20"/>
          <w:lang w:val="en-NZ"/>
        </w:rPr>
        <w:t xml:space="preserve">  </w:t>
      </w:r>
      <w:r w:rsidRPr="009E13A2">
        <w:rPr>
          <w:rFonts w:eastAsia="Times New Roman" w:cs="Arial"/>
          <w:szCs w:val="22"/>
          <w:lang w:val="en-NZ"/>
        </w:rPr>
        <w:t>An example of a fund that excludes very little is the Chris</w:t>
      </w:r>
      <w:r w:rsidR="00A075D8" w:rsidRPr="009E13A2">
        <w:rPr>
          <w:rFonts w:eastAsia="Times New Roman" w:cs="Arial"/>
          <w:szCs w:val="22"/>
          <w:lang w:val="en-NZ"/>
        </w:rPr>
        <w:t>tian Brothers Investment S</w:t>
      </w:r>
      <w:r w:rsidRPr="009E13A2">
        <w:rPr>
          <w:rFonts w:eastAsia="Times New Roman" w:cs="Arial"/>
          <w:szCs w:val="22"/>
          <w:lang w:val="en-NZ"/>
        </w:rPr>
        <w:t xml:space="preserve">ervice </w:t>
      </w:r>
      <w:r w:rsidR="00A075D8" w:rsidRPr="009E13A2">
        <w:rPr>
          <w:rFonts w:eastAsia="Times New Roman" w:cs="Arial"/>
          <w:szCs w:val="22"/>
          <w:lang w:val="en-NZ"/>
        </w:rPr>
        <w:t xml:space="preserve">or CBIS </w:t>
      </w:r>
      <w:r w:rsidRPr="009E13A2">
        <w:rPr>
          <w:rFonts w:eastAsia="Times New Roman" w:cs="Arial"/>
          <w:szCs w:val="22"/>
          <w:lang w:val="en-NZ"/>
        </w:rPr>
        <w:t>(</w:t>
      </w:r>
      <w:r w:rsidR="000078B2">
        <w:rPr>
          <w:rFonts w:eastAsia="Times New Roman" w:cs="Arial"/>
          <w:szCs w:val="22"/>
          <w:lang w:val="en-NZ"/>
        </w:rPr>
        <w:t>Christian Brothers Investment S</w:t>
      </w:r>
      <w:r w:rsidR="00A075D8" w:rsidRPr="009E13A2">
        <w:rPr>
          <w:rFonts w:eastAsia="Times New Roman" w:cs="Arial"/>
          <w:szCs w:val="22"/>
          <w:lang w:val="en-NZ"/>
        </w:rPr>
        <w:t>ervice</w:t>
      </w:r>
      <w:r w:rsidRPr="009E13A2">
        <w:rPr>
          <w:rFonts w:eastAsia="Times New Roman" w:cs="Arial"/>
          <w:szCs w:val="22"/>
          <w:lang w:val="en-NZ"/>
        </w:rPr>
        <w:t>).  That is because the CBIS prefers to engage as much as possible.  There is no one right choice in deciding whether to exclude a little ot a lot: the choice is tactical</w:t>
      </w:r>
      <w:r w:rsidR="002C2C0F" w:rsidRPr="009E13A2">
        <w:rPr>
          <w:rFonts w:eastAsia="Times New Roman" w:cs="Arial"/>
          <w:szCs w:val="22"/>
          <w:lang w:val="en-NZ"/>
        </w:rPr>
        <w:t xml:space="preserve">.  Even funds that exclude a lot still </w:t>
      </w:r>
      <w:r w:rsidR="00765C64" w:rsidRPr="009E13A2">
        <w:rPr>
          <w:rFonts w:eastAsia="Times New Roman" w:cs="Arial"/>
          <w:szCs w:val="22"/>
          <w:lang w:val="en-NZ"/>
        </w:rPr>
        <w:t xml:space="preserve">need to </w:t>
      </w:r>
      <w:r w:rsidR="002C2C0F" w:rsidRPr="009E13A2">
        <w:rPr>
          <w:rFonts w:eastAsia="Times New Roman" w:cs="Arial"/>
          <w:szCs w:val="22"/>
          <w:lang w:val="en-NZ"/>
        </w:rPr>
        <w:t>engage.</w:t>
      </w:r>
    </w:p>
    <w:p w14:paraId="7A71AF97" w14:textId="77777777" w:rsidR="00C871AB" w:rsidRPr="009E13A2" w:rsidRDefault="00C871AB" w:rsidP="00375786">
      <w:pPr>
        <w:rPr>
          <w:rFonts w:eastAsia="Times New Roman" w:cs="Arial"/>
          <w:szCs w:val="22"/>
          <w:lang w:val="en-NZ"/>
        </w:rPr>
      </w:pPr>
    </w:p>
    <w:p w14:paraId="6FCB7F25" w14:textId="3AE77D8D" w:rsidR="00C871AB" w:rsidRPr="009E13A2" w:rsidRDefault="00E54FB8" w:rsidP="00296B6E">
      <w:pPr>
        <w:rPr>
          <w:rFonts w:cs="Times-Roman"/>
          <w:szCs w:val="22"/>
          <w:lang w:val="en-US" w:bidi="en-US"/>
        </w:rPr>
      </w:pPr>
      <w:r w:rsidRPr="00E54FB8">
        <w:rPr>
          <w:i/>
          <w:szCs w:val="22"/>
        </w:rPr>
        <w:t>The third step</w:t>
      </w:r>
      <w:r>
        <w:rPr>
          <w:szCs w:val="22"/>
        </w:rPr>
        <w:t xml:space="preserve"> is deciding on a means of engagement with companies.  </w:t>
      </w:r>
      <w:r w:rsidR="00C871AB" w:rsidRPr="009E13A2">
        <w:rPr>
          <w:szCs w:val="22"/>
        </w:rPr>
        <w:t xml:space="preserve">The best practice for engagement is the Interfaith Center for Corporate Responsibility (ICCR), founded in 1971 in the USA by Catholic, Protestant and Jewish investors. There are currently 77 members </w:t>
      </w:r>
      <w:r w:rsidR="00C871AB" w:rsidRPr="009E13A2">
        <w:rPr>
          <w:rFonts w:cs="ArialMT"/>
          <w:szCs w:val="22"/>
          <w:lang w:val="en-US" w:bidi="en-US"/>
        </w:rPr>
        <w:t>with</w:t>
      </w:r>
      <w:r w:rsidR="00C871AB" w:rsidRPr="009E13A2">
        <w:rPr>
          <w:szCs w:val="22"/>
        </w:rPr>
        <w:t xml:space="preserve"> 33 associates and 81 affiliates: the associates and affiliates are not necessarily religious or USA based, but have linked with ICCR because of its comprehensive</w:t>
      </w:r>
      <w:r w:rsidR="000078B2">
        <w:rPr>
          <w:szCs w:val="22"/>
        </w:rPr>
        <w:t xml:space="preserve"> shareholder activism</w:t>
      </w:r>
      <w:r w:rsidR="00C871AB" w:rsidRPr="009E13A2">
        <w:rPr>
          <w:szCs w:val="22"/>
        </w:rPr>
        <w:t xml:space="preserve">. </w:t>
      </w:r>
      <w:r w:rsidR="00C871AB" w:rsidRPr="009E13A2">
        <w:rPr>
          <w:rFonts w:cs="ArialMT"/>
          <w:szCs w:val="22"/>
          <w:lang w:val="en-US" w:bidi="en-US"/>
        </w:rPr>
        <w:t xml:space="preserve">The members </w:t>
      </w:r>
      <w:r w:rsidR="00C871AB" w:rsidRPr="009E13A2">
        <w:rPr>
          <w:rFonts w:cs="Times-Roman"/>
          <w:szCs w:val="22"/>
          <w:lang w:val="en-US" w:bidi="en-US"/>
        </w:rPr>
        <w:t xml:space="preserve">sponsor shareholder resolutions, engage in discussions with corporate management and </w:t>
      </w:r>
      <w:r>
        <w:rPr>
          <w:rFonts w:cs="Times-Roman"/>
          <w:szCs w:val="22"/>
          <w:lang w:val="en-US" w:bidi="en-US"/>
        </w:rPr>
        <w:t xml:space="preserve">participate in </w:t>
      </w:r>
      <w:r w:rsidR="00C871AB" w:rsidRPr="009E13A2">
        <w:rPr>
          <w:rFonts w:cs="Times-Roman"/>
          <w:szCs w:val="22"/>
          <w:lang w:val="en-US" w:bidi="en-US"/>
        </w:rPr>
        <w:t xml:space="preserve">other forms of outreach.  There are about 350-400 shareholder resolutions filed each year, </w:t>
      </w:r>
      <w:r w:rsidR="00296B6E" w:rsidRPr="009E13A2">
        <w:rPr>
          <w:rFonts w:cs="Times-Roman"/>
          <w:szCs w:val="22"/>
          <w:lang w:val="en-US" w:bidi="en-US"/>
        </w:rPr>
        <w:t>and</w:t>
      </w:r>
      <w:r w:rsidR="00C871AB" w:rsidRPr="009E13A2">
        <w:rPr>
          <w:rFonts w:cs="Times-Roman"/>
          <w:szCs w:val="22"/>
          <w:lang w:val="en-US" w:bidi="en-US"/>
        </w:rPr>
        <w:t xml:space="preserve"> often around 300 corporate dialogues.   An example of successful engagement was the action taken by ICCR and Domini against Nucor that used pig iron produced in Brazil with slave labour.  The New Zealand Super Fund was one of the initial signatories to begin a campaign to persuade Nucor to change</w:t>
      </w:r>
      <w:r w:rsidR="00296B6E" w:rsidRPr="009E13A2">
        <w:rPr>
          <w:rFonts w:cs="Times-Roman"/>
          <w:szCs w:val="22"/>
          <w:lang w:val="en-US" w:bidi="en-US"/>
        </w:rPr>
        <w:t xml:space="preserve"> (Kanzer)</w:t>
      </w:r>
      <w:r w:rsidR="00C871AB" w:rsidRPr="009E13A2">
        <w:rPr>
          <w:rFonts w:cs="Times-Roman"/>
          <w:szCs w:val="22"/>
          <w:lang w:val="en-US" w:bidi="en-US"/>
        </w:rPr>
        <w:t>.</w:t>
      </w:r>
      <w:r w:rsidR="00296B6E" w:rsidRPr="009E13A2">
        <w:rPr>
          <w:rFonts w:cs="Times-Roman"/>
          <w:szCs w:val="22"/>
          <w:lang w:val="en-US" w:bidi="en-US"/>
        </w:rPr>
        <w:t xml:space="preserve">  </w:t>
      </w:r>
      <w:r w:rsidR="00C871AB" w:rsidRPr="009E13A2">
        <w:rPr>
          <w:rFonts w:cs="Arial"/>
          <w:szCs w:val="22"/>
          <w:lang w:val="en-NZ"/>
        </w:rPr>
        <w:t xml:space="preserve">Because there was no organisation in Australia and New Zealand </w:t>
      </w:r>
      <w:r w:rsidR="00C871AB" w:rsidRPr="009E13A2">
        <w:rPr>
          <w:rFonts w:cs="Arial"/>
          <w:szCs w:val="22"/>
          <w:lang w:val="en-NZ"/>
        </w:rPr>
        <w:lastRenderedPageBreak/>
        <w:t>that could provide the type of engagement that the ICCR does, the Australasian Centre for Corporate Responsibility was established in Canberra in 2012</w:t>
      </w:r>
      <w:r w:rsidR="000078B2">
        <w:rPr>
          <w:rFonts w:cs="Arial"/>
          <w:szCs w:val="22"/>
          <w:lang w:val="en-NZ"/>
        </w:rPr>
        <w:t xml:space="preserve"> (</w:t>
      </w:r>
      <w:r w:rsidR="000078B2" w:rsidRPr="009E13A2">
        <w:rPr>
          <w:rFonts w:cs="Arial"/>
          <w:szCs w:val="22"/>
          <w:lang w:val="en-NZ"/>
        </w:rPr>
        <w:t>Australasian Centre for Corporate Responsibility</w:t>
      </w:r>
      <w:r w:rsidR="000078B2">
        <w:rPr>
          <w:rFonts w:cs="Arial"/>
          <w:szCs w:val="22"/>
          <w:lang w:val="en-NZ"/>
        </w:rPr>
        <w:t>).</w:t>
      </w:r>
    </w:p>
    <w:p w14:paraId="6825ECC4" w14:textId="77777777" w:rsidR="002C2C0F" w:rsidRPr="009E13A2" w:rsidRDefault="002C2C0F" w:rsidP="00375786">
      <w:pPr>
        <w:rPr>
          <w:rFonts w:eastAsia="Times New Roman" w:cs="Arial"/>
          <w:szCs w:val="22"/>
          <w:lang w:val="en-NZ"/>
        </w:rPr>
      </w:pPr>
    </w:p>
    <w:p w14:paraId="31D234DA" w14:textId="1D7D8421" w:rsidR="002C2C0F" w:rsidRPr="00A0257C" w:rsidRDefault="002C2C0F" w:rsidP="00375786">
      <w:pPr>
        <w:rPr>
          <w:rFonts w:cs="Arial"/>
          <w:szCs w:val="22"/>
        </w:rPr>
      </w:pPr>
      <w:r w:rsidRPr="00E54FB8">
        <w:rPr>
          <w:rFonts w:eastAsia="Times New Roman" w:cs="Arial"/>
          <w:i/>
          <w:szCs w:val="22"/>
          <w:lang w:val="en-NZ"/>
        </w:rPr>
        <w:t>The fourth step</w:t>
      </w:r>
      <w:r w:rsidRPr="00A0257C">
        <w:rPr>
          <w:rFonts w:eastAsia="Times New Roman" w:cs="Arial"/>
          <w:szCs w:val="22"/>
          <w:lang w:val="en-NZ"/>
        </w:rPr>
        <w:t xml:space="preserve"> is to report on the results of choices and actions.  An example of best practice for reporting engagement is the CBIS.</w:t>
      </w:r>
      <w:r w:rsidR="00C871AB" w:rsidRPr="00A0257C">
        <w:rPr>
          <w:rFonts w:eastAsia="Times New Roman" w:cs="Arial"/>
          <w:szCs w:val="22"/>
          <w:lang w:val="en-NZ"/>
        </w:rPr>
        <w:t xml:space="preserve"> </w:t>
      </w:r>
      <w:r w:rsidR="00E3766D" w:rsidRPr="00A0257C">
        <w:rPr>
          <w:rFonts w:eastAsia="Times New Roman" w:cs="Arial"/>
          <w:szCs w:val="22"/>
          <w:lang w:val="en-NZ"/>
        </w:rPr>
        <w:t>Another is Triodos Bank</w:t>
      </w:r>
      <w:r w:rsidR="00A0257C" w:rsidRPr="00A0257C">
        <w:rPr>
          <w:rFonts w:cs="Arial"/>
          <w:szCs w:val="22"/>
        </w:rPr>
        <w:t xml:space="preserve"> (Triodos Company Engagement Report 2014). </w:t>
      </w:r>
      <w:r w:rsidR="00C871AB" w:rsidRPr="00A0257C">
        <w:rPr>
          <w:szCs w:val="22"/>
        </w:rPr>
        <w:t xml:space="preserve">An independent audit should also be provided.  </w:t>
      </w:r>
    </w:p>
    <w:p w14:paraId="1B38C67E" w14:textId="77777777" w:rsidR="002C2C0F" w:rsidRPr="009E13A2" w:rsidRDefault="002C2C0F" w:rsidP="00375786">
      <w:pPr>
        <w:rPr>
          <w:rFonts w:ascii="Times" w:eastAsia="Times New Roman" w:hAnsi="Times" w:cs="Times New Roman"/>
          <w:sz w:val="20"/>
          <w:szCs w:val="20"/>
          <w:lang w:val="en-NZ"/>
        </w:rPr>
      </w:pPr>
    </w:p>
    <w:p w14:paraId="4C7ACF0E" w14:textId="7FF0708F" w:rsidR="00B306CB" w:rsidRPr="009E13A2" w:rsidRDefault="00B306CB" w:rsidP="00375786">
      <w:pPr>
        <w:rPr>
          <w:rFonts w:eastAsia="Times New Roman" w:cs="Times New Roman"/>
          <w:b/>
          <w:szCs w:val="22"/>
          <w:lang w:val="en-NZ"/>
        </w:rPr>
      </w:pPr>
      <w:r w:rsidRPr="009E13A2">
        <w:rPr>
          <w:rFonts w:eastAsia="Times New Roman" w:cs="Times New Roman"/>
          <w:b/>
          <w:szCs w:val="22"/>
          <w:lang w:val="en-NZ"/>
        </w:rPr>
        <w:t>Definition of an Ethical Company</w:t>
      </w:r>
    </w:p>
    <w:p w14:paraId="59E34C3C" w14:textId="77777777" w:rsidR="00B306CB" w:rsidRPr="009E13A2" w:rsidRDefault="00B306CB" w:rsidP="00375786">
      <w:pPr>
        <w:rPr>
          <w:rFonts w:ascii="Times" w:eastAsia="Times New Roman" w:hAnsi="Times" w:cs="Times New Roman"/>
          <w:sz w:val="20"/>
          <w:szCs w:val="20"/>
          <w:lang w:val="en-NZ"/>
        </w:rPr>
      </w:pPr>
    </w:p>
    <w:p w14:paraId="12C6E01D" w14:textId="1127B6B8" w:rsidR="00B306CB" w:rsidRPr="009E13A2" w:rsidRDefault="00B306CB" w:rsidP="00B306CB">
      <w:pPr>
        <w:rPr>
          <w:rFonts w:cs="Arial"/>
          <w:szCs w:val="22"/>
        </w:rPr>
      </w:pPr>
      <w:r w:rsidRPr="009E13A2">
        <w:rPr>
          <w:rFonts w:cs="Arial"/>
          <w:szCs w:val="22"/>
        </w:rPr>
        <w:t xml:space="preserve">To care for both people and the planet, an ethical company will </w:t>
      </w:r>
      <w:r w:rsidRPr="009E13A2">
        <w:rPr>
          <w:rFonts w:cs="Arial"/>
          <w:szCs w:val="22"/>
          <w:lang w:val="en-GB"/>
        </w:rPr>
        <w:t xml:space="preserve">care for the ecological systems that support life here on our planet (human-Earth obligations), and promote a just distribution of our Earth’s benefits (human-human responsibilities).  Organisations need to be financially, socially and environmentally sustainable and responsible, treating all stakeholders fairly.  Stakeholders include owners, members of the governing body, management, staff, subsidiaries, contractors, suppliers and distributors, customers, clients, and the local community. </w:t>
      </w:r>
    </w:p>
    <w:p w14:paraId="72906830" w14:textId="77777777" w:rsidR="00B306CB" w:rsidRPr="009E13A2" w:rsidRDefault="00B306CB" w:rsidP="00B306CB">
      <w:pPr>
        <w:rPr>
          <w:rFonts w:cs="Arial"/>
          <w:szCs w:val="22"/>
          <w:lang w:val="en-GB"/>
        </w:rPr>
      </w:pPr>
    </w:p>
    <w:p w14:paraId="28F9E75C" w14:textId="5DC863C3" w:rsidR="00B306CB" w:rsidRPr="009E13A2" w:rsidRDefault="00B306CB" w:rsidP="00B306CB">
      <w:pPr>
        <w:rPr>
          <w:rFonts w:cs="Arial"/>
          <w:szCs w:val="22"/>
          <w:lang w:val="en-US" w:bidi="en-US"/>
        </w:rPr>
      </w:pPr>
      <w:r w:rsidRPr="009E13A2">
        <w:rPr>
          <w:rFonts w:cs="Arial"/>
          <w:szCs w:val="22"/>
          <w:lang w:val="en-GB"/>
        </w:rPr>
        <w:t xml:space="preserve">From an environmental viewpoint, </w:t>
      </w:r>
      <w:r w:rsidRPr="009E13A2">
        <w:rPr>
          <w:rFonts w:cs="Arial"/>
          <w:szCs w:val="22"/>
        </w:rPr>
        <w:t xml:space="preserve">the organisation </w:t>
      </w:r>
      <w:r w:rsidRPr="009E13A2">
        <w:rPr>
          <w:rFonts w:cs="Arial"/>
          <w:szCs w:val="22"/>
          <w:lang w:val="en-GB"/>
        </w:rPr>
        <w:t xml:space="preserve">will respect and </w:t>
      </w:r>
      <w:r w:rsidRPr="009E13A2">
        <w:rPr>
          <w:rFonts w:cs="Arial"/>
          <w:szCs w:val="22"/>
          <w:lang w:val="en-US" w:bidi="en-US"/>
        </w:rPr>
        <w:t xml:space="preserve">act in accord with nature and within the limits set by the ecological systems on which we are dependent for life.  This is a definition of a strong ecological sustainability </w:t>
      </w:r>
      <w:r w:rsidR="00A075D8" w:rsidRPr="009E13A2">
        <w:rPr>
          <w:rFonts w:cs="Arial"/>
          <w:szCs w:val="22"/>
          <w:lang w:val="en-US" w:bidi="en-US"/>
        </w:rPr>
        <w:t>(</w:t>
      </w:r>
      <w:r w:rsidRPr="009E13A2">
        <w:rPr>
          <w:rFonts w:cs="Arial"/>
          <w:szCs w:val="22"/>
          <w:lang w:val="en-US" w:bidi="en-US"/>
        </w:rPr>
        <w:t xml:space="preserve">as compared to weak sustainability where there is no </w:t>
      </w:r>
      <w:r w:rsidR="00E54FB8">
        <w:rPr>
          <w:rFonts w:cs="Arial"/>
          <w:szCs w:val="22"/>
          <w:lang w:val="en-US" w:bidi="en-US"/>
        </w:rPr>
        <w:t xml:space="preserve">recognition or </w:t>
      </w:r>
      <w:r w:rsidRPr="009E13A2">
        <w:rPr>
          <w:rFonts w:cs="Arial"/>
          <w:szCs w:val="22"/>
          <w:lang w:val="en-US" w:bidi="en-US"/>
        </w:rPr>
        <w:t>acceptance of Earth’s limits</w:t>
      </w:r>
      <w:r w:rsidR="00A075D8" w:rsidRPr="009E13A2">
        <w:rPr>
          <w:rFonts w:cs="Arial"/>
          <w:szCs w:val="22"/>
          <w:lang w:val="en-US" w:bidi="en-US"/>
        </w:rPr>
        <w:t>)</w:t>
      </w:r>
      <w:r w:rsidRPr="009E13A2">
        <w:rPr>
          <w:rFonts w:cs="Arial"/>
          <w:szCs w:val="22"/>
          <w:lang w:val="en-US" w:bidi="en-US"/>
        </w:rPr>
        <w:t>.</w:t>
      </w:r>
    </w:p>
    <w:p w14:paraId="162D79E2" w14:textId="77777777" w:rsidR="00B306CB" w:rsidRPr="009E13A2" w:rsidRDefault="00B306CB" w:rsidP="00B306CB">
      <w:pPr>
        <w:rPr>
          <w:rFonts w:cs="Arial"/>
          <w:szCs w:val="22"/>
          <w:lang w:val="en-US" w:bidi="en-US"/>
        </w:rPr>
      </w:pPr>
    </w:p>
    <w:p w14:paraId="69A99530" w14:textId="77777777" w:rsidR="00B306CB" w:rsidRPr="009E13A2" w:rsidRDefault="00B306CB" w:rsidP="00B306CB">
      <w:pPr>
        <w:rPr>
          <w:rFonts w:cs="Arial"/>
          <w:szCs w:val="22"/>
          <w:lang w:val="en-GB"/>
        </w:rPr>
      </w:pPr>
      <w:r w:rsidRPr="009E13A2">
        <w:rPr>
          <w:rFonts w:cs="Arial"/>
          <w:szCs w:val="22"/>
          <w:lang w:val="en-GB"/>
        </w:rPr>
        <w:t xml:space="preserve">The social component includes human rights, and use of labour, including health and safety and fair employment practices, as well as the meaningful involvement of labour in decision making.  </w:t>
      </w:r>
    </w:p>
    <w:p w14:paraId="29CD3438" w14:textId="77777777" w:rsidR="00B306CB" w:rsidRPr="009E13A2" w:rsidRDefault="00B306CB" w:rsidP="00B306CB">
      <w:pPr>
        <w:rPr>
          <w:rFonts w:cs="Arial"/>
          <w:szCs w:val="22"/>
          <w:lang w:val="en-GB"/>
        </w:rPr>
      </w:pPr>
    </w:p>
    <w:p w14:paraId="405923C2" w14:textId="77777777" w:rsidR="00B306CB" w:rsidRPr="009E13A2" w:rsidRDefault="00B306CB" w:rsidP="00B306CB">
      <w:pPr>
        <w:rPr>
          <w:rFonts w:cs="Arial"/>
          <w:szCs w:val="22"/>
          <w:lang w:val="en-GB"/>
        </w:rPr>
      </w:pPr>
      <w:r w:rsidRPr="009E13A2">
        <w:rPr>
          <w:rFonts w:cs="Arial"/>
          <w:szCs w:val="22"/>
        </w:rPr>
        <w:t>An</w:t>
      </w:r>
      <w:r w:rsidRPr="009E13A2">
        <w:rPr>
          <w:rFonts w:cs="Arial"/>
          <w:szCs w:val="22"/>
          <w:lang w:val="en-GB"/>
        </w:rPr>
        <w:t xml:space="preserve"> ethical organisation maintains good governance.  It acts with financial and ethical integrity and transparency. This includes working with financial institutions and agents that espouse these values.  It includes providing accurate and accessible financial and performance reports, and truthful advertising and promotion. </w:t>
      </w:r>
    </w:p>
    <w:p w14:paraId="36BD9408" w14:textId="77777777" w:rsidR="00B306CB" w:rsidRPr="009E13A2" w:rsidRDefault="00B306CB" w:rsidP="00B306CB">
      <w:pPr>
        <w:rPr>
          <w:rFonts w:cs="Arial"/>
          <w:szCs w:val="22"/>
          <w:lang w:val="en-GB"/>
        </w:rPr>
      </w:pPr>
    </w:p>
    <w:p w14:paraId="21E4C67B" w14:textId="3A36FF98" w:rsidR="00B306CB" w:rsidRPr="009E13A2" w:rsidRDefault="00B306CB" w:rsidP="00B306CB">
      <w:pPr>
        <w:rPr>
          <w:rFonts w:cs="Arial"/>
          <w:szCs w:val="22"/>
          <w:lang w:val="en-US" w:bidi="en-US"/>
        </w:rPr>
      </w:pPr>
      <w:r w:rsidRPr="009E13A2">
        <w:rPr>
          <w:rFonts w:cs="Arial"/>
          <w:szCs w:val="22"/>
          <w:lang w:val="en-GB"/>
        </w:rPr>
        <w:t xml:space="preserve">No company is completely sustainable or ethical, but investment will be in those companies that are closest </w:t>
      </w:r>
      <w:r w:rsidR="00765C64" w:rsidRPr="009E13A2">
        <w:rPr>
          <w:rFonts w:cs="Arial"/>
          <w:szCs w:val="22"/>
          <w:lang w:val="en-GB"/>
        </w:rPr>
        <w:t xml:space="preserve">to this standard.  </w:t>
      </w:r>
      <w:r w:rsidRPr="009E13A2">
        <w:rPr>
          <w:rFonts w:cs="Arial"/>
          <w:szCs w:val="22"/>
          <w:lang w:val="en-GB"/>
        </w:rPr>
        <w:t xml:space="preserve">The application of any ethical criteria will require </w:t>
      </w:r>
      <w:r w:rsidRPr="009E13A2">
        <w:rPr>
          <w:rFonts w:cs="Arial"/>
          <w:szCs w:val="22"/>
        </w:rPr>
        <w:t xml:space="preserve">weighing the various components or qualities that make up an ethical company. </w:t>
      </w:r>
      <w:r w:rsidRPr="009E13A2">
        <w:rPr>
          <w:rFonts w:cs="Arial"/>
          <w:szCs w:val="22"/>
          <w:lang w:val="en-US" w:bidi="en-US"/>
        </w:rPr>
        <w:t xml:space="preserve">Because of the severe ecological degradation to our world by such issues as climate warming, the environmental factor is critical, and strong ecological sustainability should take priority in the consideration of which companies to invest in.  </w:t>
      </w:r>
    </w:p>
    <w:p w14:paraId="609F32C6" w14:textId="77777777" w:rsidR="00B306CB" w:rsidRPr="009E13A2" w:rsidRDefault="00B306CB" w:rsidP="00B306CB">
      <w:pPr>
        <w:rPr>
          <w:rFonts w:cs="Arial"/>
          <w:szCs w:val="22"/>
          <w:lang w:val="en-US" w:bidi="en-US"/>
        </w:rPr>
      </w:pPr>
    </w:p>
    <w:p w14:paraId="566BCAD1" w14:textId="77777777" w:rsidR="00B306CB" w:rsidRPr="009E13A2" w:rsidRDefault="00B306CB" w:rsidP="00B306CB">
      <w:pPr>
        <w:rPr>
          <w:rFonts w:cs="Arial"/>
          <w:szCs w:val="22"/>
          <w:lang w:val="en-US" w:bidi="en-US"/>
        </w:rPr>
      </w:pPr>
      <w:r w:rsidRPr="009E13A2">
        <w:rPr>
          <w:rFonts w:cs="Arial"/>
          <w:szCs w:val="22"/>
          <w:lang w:val="en-US" w:bidi="en-US"/>
        </w:rPr>
        <w:t>Any agent or advisor when reporting or advising, should take an account of how each company meets these ethical criteria and any engagement taken to encourage change.</w:t>
      </w:r>
    </w:p>
    <w:p w14:paraId="4FBA080E" w14:textId="77777777" w:rsidR="00375786" w:rsidRPr="009E13A2" w:rsidRDefault="00375786"/>
    <w:p w14:paraId="23D0E38F" w14:textId="06677A80" w:rsidR="00B82008" w:rsidRPr="009E13A2" w:rsidRDefault="00B82008">
      <w:pPr>
        <w:rPr>
          <w:b/>
        </w:rPr>
      </w:pPr>
      <w:r w:rsidRPr="009E13A2">
        <w:rPr>
          <w:b/>
        </w:rPr>
        <w:t>Legislation</w:t>
      </w:r>
      <w:r w:rsidR="00B94F2E" w:rsidRPr="009E13A2">
        <w:rPr>
          <w:b/>
        </w:rPr>
        <w:t xml:space="preserve"> and Codes</w:t>
      </w:r>
      <w:r w:rsidR="0026018F" w:rsidRPr="009E13A2">
        <w:rPr>
          <w:b/>
        </w:rPr>
        <w:t xml:space="preserve"> for the New Zealand Superannuation Fund</w:t>
      </w:r>
    </w:p>
    <w:p w14:paraId="1FB69FEC" w14:textId="77777777" w:rsidR="00B82008" w:rsidRPr="009E13A2" w:rsidRDefault="00B82008" w:rsidP="00B82008">
      <w:pPr>
        <w:shd w:val="clear" w:color="auto" w:fill="FFFFFF"/>
        <w:rPr>
          <w:rFonts w:cs="Arial"/>
          <w:szCs w:val="22"/>
          <w:lang w:val="en-NZ"/>
        </w:rPr>
      </w:pPr>
    </w:p>
    <w:p w14:paraId="3C21D256" w14:textId="65426F2D" w:rsidR="00B82008" w:rsidRPr="009E13A2" w:rsidRDefault="00B82008" w:rsidP="00B82008">
      <w:pPr>
        <w:shd w:val="clear" w:color="auto" w:fill="FFFFFF"/>
        <w:rPr>
          <w:rFonts w:cs="Arial"/>
          <w:szCs w:val="22"/>
          <w:lang w:val="en-NZ"/>
        </w:rPr>
      </w:pPr>
      <w:r w:rsidRPr="009E13A2">
        <w:rPr>
          <w:rFonts w:cs="Arial"/>
          <w:szCs w:val="22"/>
          <w:lang w:val="en-NZ"/>
        </w:rPr>
        <w:t xml:space="preserve">The NZ Super Fund’s </w:t>
      </w:r>
      <w:r w:rsidR="000078B2">
        <w:rPr>
          <w:rFonts w:cs="Arial"/>
          <w:szCs w:val="22"/>
          <w:lang w:val="en-NZ"/>
        </w:rPr>
        <w:t xml:space="preserve">ethical </w:t>
      </w:r>
      <w:r w:rsidRPr="009E13A2">
        <w:rPr>
          <w:rFonts w:cs="Arial"/>
          <w:szCs w:val="22"/>
          <w:lang w:val="en-NZ"/>
        </w:rPr>
        <w:t>legislative requirement, enacted in 2001, is to avoid prejudice to New Zealand's reputation as a responsible member of the world community.  An early legal opinion about how tobacco investment would affect New Zealand’s international reputation, stated that its reputation would not be adversely affected.   There w</w:t>
      </w:r>
      <w:r w:rsidR="00E54FB8">
        <w:rPr>
          <w:rFonts w:cs="Arial"/>
          <w:szCs w:val="22"/>
          <w:lang w:val="en-NZ"/>
        </w:rPr>
        <w:t>ere</w:t>
      </w:r>
      <w:r w:rsidRPr="009E13A2">
        <w:rPr>
          <w:rFonts w:cs="Arial"/>
          <w:szCs w:val="22"/>
          <w:lang w:val="en-NZ"/>
        </w:rPr>
        <w:t xml:space="preserve"> no international agreements and many countries had government owned tobacco operations.  It was only after a conference held by the Council for Socially Responsible Investment in 2005 that it became politically embarassing </w:t>
      </w:r>
      <w:r w:rsidR="00E54FB8">
        <w:rPr>
          <w:rFonts w:cs="Arial"/>
          <w:szCs w:val="22"/>
          <w:lang w:val="en-NZ"/>
        </w:rPr>
        <w:t xml:space="preserve">for the Fund to continue holding tobacco stocks </w:t>
      </w:r>
      <w:r w:rsidRPr="009E13A2">
        <w:rPr>
          <w:rFonts w:cs="Arial"/>
          <w:szCs w:val="22"/>
          <w:lang w:val="en-NZ"/>
        </w:rPr>
        <w:t>because of the longstanding opposition to tobacco of the then Prime Minister and former Health Minister, Helen Clark, for the Fund to continue holding tobacco stocks.  It was not international reputation at play but national embarrassment.</w:t>
      </w:r>
    </w:p>
    <w:p w14:paraId="788F1085" w14:textId="77777777" w:rsidR="00B82008" w:rsidRPr="009E13A2" w:rsidRDefault="00B82008" w:rsidP="00B82008">
      <w:pPr>
        <w:shd w:val="clear" w:color="auto" w:fill="FFFFFF"/>
        <w:rPr>
          <w:rFonts w:cs="Arial"/>
          <w:szCs w:val="22"/>
          <w:lang w:val="en-NZ"/>
        </w:rPr>
      </w:pPr>
    </w:p>
    <w:p w14:paraId="2379B202" w14:textId="38E9B615" w:rsidR="00B82008" w:rsidRPr="009E13A2" w:rsidRDefault="00B82008" w:rsidP="00B82008">
      <w:pPr>
        <w:shd w:val="clear" w:color="auto" w:fill="FFFFFF"/>
        <w:rPr>
          <w:rFonts w:cs="Arial"/>
          <w:szCs w:val="22"/>
          <w:lang w:val="en-NZ"/>
        </w:rPr>
      </w:pPr>
      <w:r w:rsidRPr="009E13A2">
        <w:rPr>
          <w:rFonts w:cs="Arial"/>
          <w:szCs w:val="22"/>
          <w:lang w:val="en-NZ"/>
        </w:rPr>
        <w:t>The international reputation criteria is an inadequate criteri</w:t>
      </w:r>
      <w:r w:rsidR="00E54FB8">
        <w:rPr>
          <w:rFonts w:cs="Arial"/>
          <w:szCs w:val="22"/>
          <w:lang w:val="en-NZ"/>
        </w:rPr>
        <w:t>on because it does not adequately identify morally unacceptable companies</w:t>
      </w:r>
      <w:r w:rsidRPr="009E13A2">
        <w:rPr>
          <w:rFonts w:cs="Arial"/>
          <w:szCs w:val="22"/>
          <w:lang w:val="en-NZ"/>
        </w:rPr>
        <w:t>.  To develop more appropriate c</w:t>
      </w:r>
      <w:r w:rsidR="00F75262" w:rsidRPr="009E13A2">
        <w:rPr>
          <w:rFonts w:cs="Arial"/>
          <w:szCs w:val="22"/>
          <w:lang w:val="en-NZ"/>
        </w:rPr>
        <w:t>riteria, t</w:t>
      </w:r>
      <w:r w:rsidRPr="009E13A2">
        <w:rPr>
          <w:rFonts w:cs="Arial"/>
          <w:szCs w:val="22"/>
          <w:lang w:val="en-NZ"/>
        </w:rPr>
        <w:t xml:space="preserve">he Fund has adopted various policy statements and codes.  </w:t>
      </w:r>
      <w:r w:rsidR="00860F28" w:rsidRPr="009E13A2">
        <w:rPr>
          <w:rFonts w:cs="Arial"/>
          <w:szCs w:val="22"/>
          <w:lang w:val="en-NZ"/>
        </w:rPr>
        <w:t>In 2006</w:t>
      </w:r>
      <w:r w:rsidR="002850CD" w:rsidRPr="009E13A2">
        <w:rPr>
          <w:rFonts w:cs="Arial"/>
          <w:szCs w:val="22"/>
          <w:lang w:val="en-NZ"/>
        </w:rPr>
        <w:t xml:space="preserve"> it joined the United Nations Principles of Responsible Investment (UNPRI) and later, the United Nations Global Compact. </w:t>
      </w:r>
      <w:r w:rsidR="00280CD7" w:rsidRPr="009E13A2">
        <w:rPr>
          <w:rFonts w:cs="Arial"/>
          <w:szCs w:val="22"/>
          <w:lang w:val="en-NZ"/>
        </w:rPr>
        <w:t xml:space="preserve"> </w:t>
      </w:r>
      <w:r w:rsidR="002850CD" w:rsidRPr="009E13A2">
        <w:rPr>
          <w:rFonts w:cs="Arial"/>
          <w:szCs w:val="22"/>
          <w:lang w:val="en-NZ"/>
        </w:rPr>
        <w:t xml:space="preserve">In its public report on why it divested from tobacco, The Fund stated </w:t>
      </w:r>
      <w:r w:rsidR="00D40253" w:rsidRPr="009E13A2">
        <w:rPr>
          <w:rFonts w:cs="Arial"/>
          <w:szCs w:val="22"/>
          <w:lang w:val="en-NZ"/>
        </w:rPr>
        <w:t>that its Responsible Investment Policy included “the regulatory environment, including international conventions and New Zealand law”.</w:t>
      </w:r>
    </w:p>
    <w:p w14:paraId="0EAEBB97" w14:textId="77777777" w:rsidR="00D40253" w:rsidRPr="009E13A2" w:rsidRDefault="00D40253" w:rsidP="00B82008">
      <w:pPr>
        <w:shd w:val="clear" w:color="auto" w:fill="FFFFFF"/>
        <w:rPr>
          <w:rFonts w:cs="Arial"/>
          <w:szCs w:val="22"/>
          <w:lang w:val="en-NZ"/>
        </w:rPr>
      </w:pPr>
    </w:p>
    <w:p w14:paraId="4A93DDA8" w14:textId="41A13FB4" w:rsidR="00BC504A" w:rsidRPr="009E13A2" w:rsidRDefault="00D40253" w:rsidP="00F75262">
      <w:pPr>
        <w:shd w:val="clear" w:color="auto" w:fill="FFFFFF"/>
        <w:rPr>
          <w:rFonts w:cs="Arial"/>
          <w:szCs w:val="22"/>
          <w:lang w:val="en-NZ"/>
        </w:rPr>
      </w:pPr>
      <w:r w:rsidRPr="009E13A2">
        <w:rPr>
          <w:rFonts w:cs="Arial"/>
          <w:szCs w:val="22"/>
          <w:lang w:val="en-NZ"/>
        </w:rPr>
        <w:t xml:space="preserve">There are a number of problems with </w:t>
      </w:r>
      <w:r w:rsidR="00BC504A" w:rsidRPr="009E13A2">
        <w:rPr>
          <w:rFonts w:cs="Arial"/>
          <w:szCs w:val="22"/>
          <w:lang w:val="en-NZ"/>
        </w:rPr>
        <w:t>the UNPRI, the UN Global Compact</w:t>
      </w:r>
      <w:r w:rsidR="00E54285">
        <w:rPr>
          <w:rFonts w:cs="Arial"/>
          <w:szCs w:val="22"/>
          <w:lang w:val="en-NZ"/>
        </w:rPr>
        <w:t>, and the Inv</w:t>
      </w:r>
      <w:r w:rsidR="00F75262" w:rsidRPr="009E13A2">
        <w:rPr>
          <w:rFonts w:cs="Arial"/>
          <w:szCs w:val="22"/>
          <w:lang w:val="en-NZ"/>
        </w:rPr>
        <w:t>estor Group on Climate Change (IGCC)</w:t>
      </w:r>
      <w:r w:rsidR="00BC504A" w:rsidRPr="009E13A2">
        <w:rPr>
          <w:rFonts w:cs="Arial"/>
          <w:szCs w:val="22"/>
          <w:lang w:val="en-NZ"/>
        </w:rPr>
        <w:t>.</w:t>
      </w:r>
      <w:r w:rsidRPr="009E13A2">
        <w:rPr>
          <w:rFonts w:cs="Arial"/>
          <w:szCs w:val="22"/>
          <w:lang w:val="en-NZ"/>
        </w:rPr>
        <w:t xml:space="preserve"> The UNPRI is not a valid measure of an ethically responsible organisation or fund.  </w:t>
      </w:r>
      <w:r w:rsidRPr="009E13A2">
        <w:rPr>
          <w:rFonts w:cs="Arial"/>
          <w:szCs w:val="22"/>
        </w:rPr>
        <w:t xml:space="preserve">Validity is where a measure or standard actually measures what it is intended to measure, and there are two steps to establish whether this is the case: content and construct validity. </w:t>
      </w:r>
      <w:r w:rsidRPr="009E13A2">
        <w:rPr>
          <w:rFonts w:cs="Arial"/>
          <w:bCs/>
          <w:szCs w:val="22"/>
          <w:lang w:bidi="en-US"/>
        </w:rPr>
        <w:t>Content validity requires consideration at a conceptual level: does the measure make sense? Construct validity requires empirical considerations: is the application of the measure consistent with other empirical evidence</w:t>
      </w:r>
      <w:r w:rsidR="00E54FB8">
        <w:rPr>
          <w:rFonts w:cs="Arial"/>
          <w:bCs/>
          <w:szCs w:val="22"/>
          <w:lang w:bidi="en-US"/>
        </w:rPr>
        <w:t xml:space="preserve">? To be a valid measure both tests need to be passed.  </w:t>
      </w:r>
      <w:r w:rsidRPr="009E13A2">
        <w:rPr>
          <w:rFonts w:cs="Arial"/>
          <w:bCs/>
          <w:szCs w:val="22"/>
          <w:lang w:bidi="en-US"/>
        </w:rPr>
        <w:t>I have written about this in more detail elsewhere</w:t>
      </w:r>
      <w:r w:rsidR="00C871AB" w:rsidRPr="009E13A2">
        <w:rPr>
          <w:rFonts w:cs="Arial"/>
          <w:bCs/>
          <w:szCs w:val="22"/>
          <w:lang w:bidi="en-US"/>
        </w:rPr>
        <w:t xml:space="preserve"> (Howell 2013)</w:t>
      </w:r>
      <w:r w:rsidRPr="009E13A2">
        <w:rPr>
          <w:rFonts w:cs="Arial"/>
          <w:bCs/>
          <w:szCs w:val="22"/>
          <w:lang w:bidi="en-US"/>
        </w:rPr>
        <w:t xml:space="preserve"> </w:t>
      </w:r>
      <w:r w:rsidR="00E54FB8">
        <w:rPr>
          <w:rFonts w:cs="Arial"/>
          <w:bCs/>
          <w:szCs w:val="22"/>
          <w:lang w:bidi="en-US"/>
        </w:rPr>
        <w:t>to show that the UNPRI is not a valid measure on both content and construct grounds. If</w:t>
      </w:r>
      <w:r w:rsidRPr="009E13A2">
        <w:rPr>
          <w:rFonts w:cs="Arial"/>
          <w:bCs/>
          <w:szCs w:val="22"/>
          <w:lang w:bidi="en-US"/>
        </w:rPr>
        <w:t xml:space="preserve"> the UNPRI is not </w:t>
      </w:r>
      <w:r w:rsidR="00C64422">
        <w:rPr>
          <w:rFonts w:cs="Arial"/>
          <w:bCs/>
          <w:szCs w:val="22"/>
          <w:lang w:bidi="en-US"/>
        </w:rPr>
        <w:t xml:space="preserve">a </w:t>
      </w:r>
      <w:r w:rsidRPr="009E13A2">
        <w:rPr>
          <w:rFonts w:cs="Arial"/>
          <w:bCs/>
          <w:szCs w:val="22"/>
          <w:lang w:bidi="en-US"/>
        </w:rPr>
        <w:t>valid</w:t>
      </w:r>
      <w:r w:rsidR="00C64422">
        <w:rPr>
          <w:rFonts w:cs="Arial"/>
          <w:bCs/>
          <w:szCs w:val="22"/>
          <w:lang w:bidi="en-US"/>
        </w:rPr>
        <w:t xml:space="preserve"> measure</w:t>
      </w:r>
      <w:r w:rsidRPr="009E13A2">
        <w:rPr>
          <w:rFonts w:cs="Arial"/>
          <w:bCs/>
          <w:szCs w:val="22"/>
          <w:lang w:bidi="en-US"/>
        </w:rPr>
        <w:t xml:space="preserve">, the relationship between UNPRI and responsible investment is the same as having a broken leg and living in a house with a garage: there is no causal relationship.  Some people living in such a house may have a broken leg, but some may not, and there will be some broken legged people who live in a house with no garage.  </w:t>
      </w:r>
      <w:r w:rsidR="00BC504A" w:rsidRPr="009E13A2">
        <w:rPr>
          <w:rFonts w:cs="Arial"/>
          <w:szCs w:val="22"/>
          <w:lang w:val="en-US"/>
        </w:rPr>
        <w:t>O</w:t>
      </w:r>
      <w:r w:rsidR="00BC504A" w:rsidRPr="009E13A2">
        <w:rPr>
          <w:rFonts w:cs="Arial"/>
          <w:szCs w:val="22"/>
        </w:rPr>
        <w:t>ne of the Co-Chairs of the Expert Group that drafted the UN Princi</w:t>
      </w:r>
      <w:r w:rsidR="00A76E26" w:rsidRPr="009E13A2">
        <w:rPr>
          <w:rFonts w:cs="Arial"/>
          <w:szCs w:val="22"/>
        </w:rPr>
        <w:t>ples of Responsible Investment</w:t>
      </w:r>
      <w:r w:rsidR="00BC504A" w:rsidRPr="009E13A2">
        <w:rPr>
          <w:rFonts w:cs="Arial"/>
          <w:szCs w:val="22"/>
        </w:rPr>
        <w:t xml:space="preserve">, has stated that the Responsible Investment community has not been more responsible than the investment community generally. </w:t>
      </w:r>
    </w:p>
    <w:p w14:paraId="25AB5CC3" w14:textId="708D3D69" w:rsidR="00BC504A" w:rsidRPr="009E13A2" w:rsidRDefault="00BC504A" w:rsidP="00BC504A">
      <w:pPr>
        <w:pStyle w:val="NormalWeb"/>
        <w:shd w:val="clear" w:color="auto" w:fill="FFFFFF"/>
        <w:spacing w:before="0" w:beforeAutospacing="0" w:after="0" w:afterAutospacing="0"/>
        <w:ind w:left="720"/>
        <w:rPr>
          <w:rFonts w:ascii="Arial" w:hAnsi="Arial" w:cs="Arial"/>
          <w:sz w:val="22"/>
          <w:szCs w:val="22"/>
        </w:rPr>
      </w:pPr>
      <w:r w:rsidRPr="009E13A2">
        <w:rPr>
          <w:rFonts w:ascii="Arial" w:hAnsi="Arial" w:cs="Arial"/>
          <w:i/>
          <w:sz w:val="22"/>
          <w:szCs w:val="22"/>
        </w:rPr>
        <w:t>“(T)he trillions of dollars controlled by RI asset owners, managers and consultants are not deployed consistent with long term investment strategies that would conduct our economies in a direction consistent with sustainable development, environmental protection, and greater economic justice – which would imply radical departures from what the market feels comfortable with and the valuation it puts on the large cap listed shares that dominate most global portfolios”</w:t>
      </w:r>
      <w:r w:rsidRPr="009E13A2">
        <w:rPr>
          <w:rFonts w:ascii="Arial" w:hAnsi="Arial" w:cs="Arial"/>
          <w:sz w:val="22"/>
          <w:szCs w:val="22"/>
        </w:rPr>
        <w:t xml:space="preserve">  </w:t>
      </w:r>
      <w:r w:rsidR="00C871AB" w:rsidRPr="009E13A2">
        <w:rPr>
          <w:rFonts w:ascii="Arial" w:hAnsi="Arial" w:cs="Arial"/>
          <w:sz w:val="22"/>
          <w:szCs w:val="22"/>
        </w:rPr>
        <w:t>(Joly)</w:t>
      </w:r>
      <w:r w:rsidRPr="009E13A2">
        <w:rPr>
          <w:rFonts w:ascii="Arial" w:hAnsi="Arial" w:cs="Arial"/>
          <w:sz w:val="22"/>
          <w:szCs w:val="22"/>
        </w:rPr>
        <w:t>.</w:t>
      </w:r>
    </w:p>
    <w:p w14:paraId="3A125971" w14:textId="77777777" w:rsidR="00BC504A" w:rsidRPr="009E13A2" w:rsidRDefault="00D40253" w:rsidP="00D40253">
      <w:pPr>
        <w:shd w:val="clear" w:color="auto" w:fill="FFFFFF"/>
        <w:rPr>
          <w:rFonts w:cs="Helvetica"/>
          <w:bCs/>
          <w:lang w:bidi="en-US"/>
        </w:rPr>
      </w:pPr>
      <w:r w:rsidRPr="009E13A2">
        <w:rPr>
          <w:rFonts w:cs="Helvetica"/>
          <w:bCs/>
          <w:lang w:bidi="en-US"/>
        </w:rPr>
        <w:t>Simply by adopting the UNPRI does not</w:t>
      </w:r>
      <w:r w:rsidR="00BC504A" w:rsidRPr="009E13A2">
        <w:rPr>
          <w:rFonts w:cs="Helvetica"/>
          <w:bCs/>
          <w:lang w:bidi="en-US"/>
        </w:rPr>
        <w:t xml:space="preserve"> imply responsible behaviour, and is a very inadequate moral compass.</w:t>
      </w:r>
    </w:p>
    <w:p w14:paraId="6CFE0B28" w14:textId="77777777" w:rsidR="00BC504A" w:rsidRPr="009E13A2" w:rsidRDefault="00BC504A" w:rsidP="00D40253">
      <w:pPr>
        <w:shd w:val="clear" w:color="auto" w:fill="FFFFFF"/>
        <w:rPr>
          <w:rFonts w:cs="Helvetica"/>
          <w:bCs/>
          <w:lang w:bidi="en-US"/>
        </w:rPr>
      </w:pPr>
    </w:p>
    <w:p w14:paraId="68FEE5D4" w14:textId="08D1BD26" w:rsidR="00D40253" w:rsidRPr="009E13A2" w:rsidRDefault="00D40253" w:rsidP="00D40253">
      <w:pPr>
        <w:shd w:val="clear" w:color="auto" w:fill="FFFFFF"/>
        <w:rPr>
          <w:rFonts w:cs="Helvetica"/>
          <w:bCs/>
          <w:lang w:bidi="en-US"/>
        </w:rPr>
      </w:pPr>
      <w:r w:rsidRPr="009E13A2">
        <w:rPr>
          <w:rFonts w:cs="Helvetica"/>
          <w:bCs/>
          <w:lang w:bidi="en-US"/>
        </w:rPr>
        <w:t>The UN Global Compact fails for similar reasons.  The section on environmental principles is particularly weak.</w:t>
      </w:r>
      <w:r w:rsidR="00BC504A" w:rsidRPr="009E13A2">
        <w:rPr>
          <w:rFonts w:cs="Helvetica"/>
          <w:bCs/>
          <w:lang w:bidi="en-US"/>
        </w:rPr>
        <w:t xml:space="preserve">  The IGCC bases its approach on the ESG </w:t>
      </w:r>
      <w:r w:rsidR="00D52364">
        <w:rPr>
          <w:rFonts w:cs="Helvetica"/>
          <w:bCs/>
          <w:lang w:bidi="en-US"/>
        </w:rPr>
        <w:t xml:space="preserve">(environment, social, governance) </w:t>
      </w:r>
      <w:r w:rsidR="00BC504A" w:rsidRPr="009E13A2">
        <w:rPr>
          <w:rFonts w:cs="Helvetica"/>
          <w:bCs/>
          <w:lang w:bidi="en-US"/>
        </w:rPr>
        <w:t xml:space="preserve">framework </w:t>
      </w:r>
      <w:r w:rsidR="00A76E26" w:rsidRPr="009E13A2">
        <w:rPr>
          <w:rFonts w:cs="Helvetica"/>
          <w:bCs/>
          <w:lang w:bidi="en-US"/>
        </w:rPr>
        <w:t>in</w:t>
      </w:r>
      <w:r w:rsidR="00BC504A" w:rsidRPr="009E13A2">
        <w:rPr>
          <w:rFonts w:cs="Helvetica"/>
          <w:bCs/>
          <w:lang w:bidi="en-US"/>
        </w:rPr>
        <w:t xml:space="preserve"> the UNPRI, and the response of NZ Super Fund in the </w:t>
      </w:r>
      <w:r w:rsidR="003874E7">
        <w:rPr>
          <w:rFonts w:eastAsia="Times New Roman" w:cs="Arial"/>
          <w:szCs w:val="22"/>
          <w:shd w:val="clear" w:color="auto" w:fill="FFFFFF"/>
          <w:lang w:val="en-NZ"/>
        </w:rPr>
        <w:t>Institutional Investors Group on Climate Change</w:t>
      </w:r>
      <w:r w:rsidR="00BC504A" w:rsidRPr="009E13A2">
        <w:rPr>
          <w:rFonts w:cs="Helvetica"/>
          <w:bCs/>
          <w:lang w:bidi="en-US"/>
        </w:rPr>
        <w:t xml:space="preserve"> 2012 survey is very general:  it does not enable an adequate appreciation of</w:t>
      </w:r>
      <w:r w:rsidR="00B94F2E" w:rsidRPr="009E13A2">
        <w:rPr>
          <w:rFonts w:cs="Helvetica"/>
          <w:bCs/>
          <w:lang w:bidi="en-US"/>
        </w:rPr>
        <w:t xml:space="preserve"> any moral behaviour that we normally expect from companies, or </w:t>
      </w:r>
      <w:r w:rsidR="00BC504A" w:rsidRPr="009E13A2">
        <w:rPr>
          <w:rFonts w:cs="Helvetica"/>
          <w:bCs/>
          <w:lang w:bidi="en-US"/>
        </w:rPr>
        <w:t>the threats of climate change and how the respondents are dealing with it except in general terms.</w:t>
      </w:r>
    </w:p>
    <w:p w14:paraId="15C3F03A" w14:textId="77777777" w:rsidR="00D40253" w:rsidRPr="009E13A2" w:rsidRDefault="00D40253" w:rsidP="00D40253">
      <w:pPr>
        <w:shd w:val="clear" w:color="auto" w:fill="FFFFFF"/>
        <w:rPr>
          <w:rFonts w:cs="Helvetica"/>
          <w:bCs/>
          <w:lang w:bidi="en-US"/>
        </w:rPr>
      </w:pPr>
    </w:p>
    <w:p w14:paraId="18E39E5D" w14:textId="188105E7" w:rsidR="0029509B" w:rsidRPr="009E13A2" w:rsidRDefault="00BC504A" w:rsidP="0029509B">
      <w:pPr>
        <w:rPr>
          <w:rFonts w:eastAsia="Times New Roman" w:cs="Arial"/>
          <w:szCs w:val="22"/>
          <w:lang w:val="en-NZ"/>
        </w:rPr>
      </w:pPr>
      <w:r w:rsidRPr="009E13A2">
        <w:rPr>
          <w:rFonts w:cs="Helvetica"/>
          <w:bCs/>
          <w:lang w:bidi="en-US"/>
        </w:rPr>
        <w:t xml:space="preserve">To give substance to adequate criteria for an ethical definition, and go beyond the superficial ESG framework, it is necessary to develop criteria that </w:t>
      </w:r>
      <w:r w:rsidR="00025E01" w:rsidRPr="009E13A2">
        <w:rPr>
          <w:rFonts w:cs="Helvetica"/>
          <w:bCs/>
          <w:lang w:bidi="en-US"/>
        </w:rPr>
        <w:t xml:space="preserve">use moral concepts.  </w:t>
      </w:r>
      <w:r w:rsidR="00025E01" w:rsidRPr="009E13A2">
        <w:t xml:space="preserve">  </w:t>
      </w:r>
      <w:r w:rsidR="00A76E26" w:rsidRPr="009E13A2">
        <w:t xml:space="preserve">Trillium </w:t>
      </w:r>
      <w:r w:rsidR="0029509B" w:rsidRPr="009E13A2">
        <w:t xml:space="preserve">Asset Management, </w:t>
      </w:r>
      <w:r w:rsidR="00A76E26" w:rsidRPr="009E13A2">
        <w:t xml:space="preserve">for example, have minimum standards with regard to the environment that involve coal or nuclear power, conventional, chemical or biological weapons, companies that have controversial human </w:t>
      </w:r>
      <w:r w:rsidR="0029509B" w:rsidRPr="009E13A2">
        <w:t>rights records, particularly in</w:t>
      </w:r>
      <w:r w:rsidR="00A76E26" w:rsidRPr="009E13A2">
        <w:t xml:space="preserve">volving indigenous </w:t>
      </w:r>
      <w:r w:rsidR="00A76E26" w:rsidRPr="009E13A2">
        <w:rPr>
          <w:rFonts w:cs="Arial"/>
          <w:szCs w:val="22"/>
        </w:rPr>
        <w:t>peoples.</w:t>
      </w:r>
      <w:r w:rsidR="0029509B" w:rsidRPr="009E13A2">
        <w:rPr>
          <w:rFonts w:cs="Arial"/>
          <w:szCs w:val="22"/>
        </w:rPr>
        <w:t xml:space="preserve">  Their Portfolio21 Global Equity Fund has </w:t>
      </w:r>
      <w:r w:rsidR="00B94F2E" w:rsidRPr="009E13A2">
        <w:rPr>
          <w:rFonts w:cs="Arial"/>
          <w:szCs w:val="22"/>
        </w:rPr>
        <w:t xml:space="preserve">a very robust exclusion policy </w:t>
      </w:r>
      <w:r w:rsidR="0029509B" w:rsidRPr="009E13A2">
        <w:rPr>
          <w:rFonts w:cs="Arial"/>
          <w:szCs w:val="22"/>
        </w:rPr>
        <w:t xml:space="preserve">concerning </w:t>
      </w:r>
      <w:r w:rsidR="0029509B" w:rsidRPr="009E13A2">
        <w:rPr>
          <w:rFonts w:eastAsia="Times New Roman" w:cs="Arial"/>
          <w:szCs w:val="22"/>
          <w:shd w:val="clear" w:color="auto" w:fill="FFFFFF"/>
          <w:lang w:val="en-NZ"/>
        </w:rPr>
        <w:t>strong workplace practices, a demonstrated record of producing safe products for consumers, protecting the environment, fair compensation for employees and executives, and respecting and upholding human rights</w:t>
      </w:r>
      <w:r w:rsidR="00CA3524" w:rsidRPr="009E13A2">
        <w:rPr>
          <w:rFonts w:eastAsia="Times New Roman" w:cs="Arial"/>
          <w:szCs w:val="22"/>
          <w:shd w:val="clear" w:color="auto" w:fill="FFFFFF"/>
          <w:lang w:val="en-NZ"/>
        </w:rPr>
        <w:t xml:space="preserve"> (Trillium Mutual Funds)</w:t>
      </w:r>
      <w:r w:rsidR="0029509B" w:rsidRPr="009E13A2">
        <w:rPr>
          <w:rFonts w:eastAsia="Times New Roman" w:cs="Arial"/>
          <w:szCs w:val="22"/>
          <w:shd w:val="clear" w:color="auto" w:fill="FFFFFF"/>
          <w:lang w:val="en-NZ"/>
        </w:rPr>
        <w:t>.</w:t>
      </w:r>
    </w:p>
    <w:p w14:paraId="6F3F1F96" w14:textId="77777777" w:rsidR="00025E01" w:rsidRPr="009E13A2" w:rsidRDefault="00025E01" w:rsidP="00025E01"/>
    <w:p w14:paraId="189F875C" w14:textId="2515DF9C" w:rsidR="00025E01" w:rsidRPr="009E13A2" w:rsidRDefault="00025E01" w:rsidP="00025E01">
      <w:pPr>
        <w:rPr>
          <w:u w:val="single"/>
        </w:rPr>
      </w:pPr>
      <w:r w:rsidRPr="009E13A2">
        <w:t xml:space="preserve">In Norway </w:t>
      </w:r>
      <w:r w:rsidRPr="009E13A2">
        <w:rPr>
          <w:rFonts w:eastAsia="Times New Roman" w:cs="Arial"/>
          <w:szCs w:val="22"/>
          <w:shd w:val="clear" w:color="auto" w:fill="FFFFFF"/>
          <w:lang w:val="en-NZ"/>
        </w:rPr>
        <w:t xml:space="preserve">The Council on Ethics makes recommendations to the Norges Bank on the observation and exclusion of companies in the </w:t>
      </w:r>
      <w:r w:rsidR="00337590">
        <w:t>Norwegian Government Pension Fund</w:t>
      </w:r>
      <w:r w:rsidRPr="009E13A2">
        <w:rPr>
          <w:rFonts w:eastAsia="Times New Roman" w:cs="Arial"/>
          <w:szCs w:val="22"/>
          <w:shd w:val="clear" w:color="auto" w:fill="FFFFFF"/>
          <w:lang w:val="en-NZ"/>
        </w:rPr>
        <w:t xml:space="preserve">’s portfolio.  It follows guidelines set by the Parliament.  These guidelines are done by defining what the types of companies will be excluded from the investment portfolio.  Currently </w:t>
      </w:r>
      <w:r w:rsidRPr="009E13A2">
        <w:rPr>
          <w:rFonts w:eastAsia="Times New Roman" w:cs="Arial"/>
          <w:szCs w:val="22"/>
          <w:lang w:val="en-NZ"/>
        </w:rPr>
        <w:t>t</w:t>
      </w:r>
      <w:r w:rsidRPr="009E13A2">
        <w:rPr>
          <w:rFonts w:cs="Arial"/>
          <w:szCs w:val="22"/>
          <w:lang w:val="en-NZ"/>
        </w:rPr>
        <w:t xml:space="preserve">he Norwegian Fund </w:t>
      </w:r>
      <w:r w:rsidR="00EC50C4" w:rsidRPr="009E13A2">
        <w:rPr>
          <w:rFonts w:cs="Arial"/>
          <w:szCs w:val="22"/>
          <w:lang w:val="en-NZ"/>
        </w:rPr>
        <w:t>is required to avoid</w:t>
      </w:r>
      <w:r w:rsidRPr="009E13A2">
        <w:rPr>
          <w:rFonts w:cs="Arial"/>
          <w:szCs w:val="22"/>
          <w:lang w:val="en-NZ"/>
        </w:rPr>
        <w:t xml:space="preserve"> invest</w:t>
      </w:r>
      <w:r w:rsidR="00EC50C4" w:rsidRPr="009E13A2">
        <w:rPr>
          <w:rFonts w:cs="Arial"/>
          <w:szCs w:val="22"/>
          <w:lang w:val="en-NZ"/>
        </w:rPr>
        <w:t>ment</w:t>
      </w:r>
      <w:r w:rsidRPr="009E13A2">
        <w:rPr>
          <w:rFonts w:cs="Arial"/>
          <w:szCs w:val="22"/>
          <w:lang w:val="en-NZ"/>
        </w:rPr>
        <w:t xml:space="preserve"> in companies which themselves or through entities they control</w:t>
      </w:r>
      <w:r w:rsidR="00EC50C4" w:rsidRPr="009E13A2">
        <w:rPr>
          <w:rFonts w:cs="Arial"/>
          <w:szCs w:val="22"/>
          <w:lang w:val="en-NZ"/>
        </w:rPr>
        <w:t xml:space="preserve"> that</w:t>
      </w:r>
    </w:p>
    <w:p w14:paraId="3B189E27" w14:textId="017DBC73" w:rsidR="00025E01" w:rsidRPr="009E13A2" w:rsidRDefault="00025E01" w:rsidP="00025E01">
      <w:pPr>
        <w:shd w:val="clear" w:color="auto" w:fill="FFFFFF"/>
        <w:ind w:left="720"/>
        <w:rPr>
          <w:rFonts w:cs="Arial"/>
          <w:szCs w:val="22"/>
          <w:lang w:val="en-NZ"/>
        </w:rPr>
      </w:pPr>
      <w:r w:rsidRPr="009E13A2">
        <w:rPr>
          <w:rFonts w:cs="Arial"/>
          <w:szCs w:val="22"/>
          <w:lang w:val="en-NZ"/>
        </w:rPr>
        <w:t>a)   produce weapons that violate fundamental humanitarian principles through their normal use</w:t>
      </w:r>
      <w:r w:rsidR="00EC50C4" w:rsidRPr="009E13A2">
        <w:rPr>
          <w:rFonts w:cs="Arial"/>
          <w:szCs w:val="22"/>
          <w:lang w:val="en-NZ"/>
        </w:rPr>
        <w:t>;</w:t>
      </w:r>
    </w:p>
    <w:p w14:paraId="3A780DD1" w14:textId="4FB32812" w:rsidR="00025E01" w:rsidRPr="009E13A2" w:rsidRDefault="00025E01" w:rsidP="00025E01">
      <w:pPr>
        <w:shd w:val="clear" w:color="auto" w:fill="FFFFFF"/>
        <w:ind w:left="720"/>
        <w:rPr>
          <w:rFonts w:cs="Arial"/>
          <w:szCs w:val="22"/>
          <w:lang w:val="en-NZ"/>
        </w:rPr>
      </w:pPr>
      <w:r w:rsidRPr="009E13A2">
        <w:rPr>
          <w:rFonts w:cs="Arial"/>
          <w:szCs w:val="22"/>
          <w:lang w:val="en-NZ"/>
        </w:rPr>
        <w:t>b)   produce tobacco</w:t>
      </w:r>
      <w:r w:rsidR="00EC50C4" w:rsidRPr="009E13A2">
        <w:rPr>
          <w:rFonts w:cs="Arial"/>
          <w:szCs w:val="22"/>
          <w:lang w:val="en-NZ"/>
        </w:rPr>
        <w:t>;</w:t>
      </w:r>
    </w:p>
    <w:p w14:paraId="2AB6E7FD" w14:textId="7644A3DF" w:rsidR="00025E01" w:rsidRPr="009E13A2" w:rsidRDefault="00025E01" w:rsidP="00025E01">
      <w:pPr>
        <w:shd w:val="clear" w:color="auto" w:fill="FFFFFF"/>
        <w:ind w:left="720"/>
        <w:rPr>
          <w:rFonts w:cs="Arial"/>
          <w:szCs w:val="22"/>
          <w:lang w:val="en-NZ"/>
        </w:rPr>
      </w:pPr>
      <w:r w:rsidRPr="009E13A2">
        <w:rPr>
          <w:rFonts w:cs="Arial"/>
          <w:szCs w:val="22"/>
          <w:lang w:val="en-NZ"/>
        </w:rPr>
        <w:t xml:space="preserve">c)   </w:t>
      </w:r>
      <w:r w:rsidR="00C64422">
        <w:rPr>
          <w:rFonts w:cs="Arial"/>
          <w:szCs w:val="22"/>
          <w:lang w:val="en-NZ"/>
        </w:rPr>
        <w:t>sell weapons or military materia</w:t>
      </w:r>
      <w:r w:rsidRPr="009E13A2">
        <w:rPr>
          <w:rFonts w:cs="Arial"/>
          <w:szCs w:val="22"/>
          <w:lang w:val="en-NZ"/>
        </w:rPr>
        <w:t>l to states that are subject to investment restrictions on government bonds as described in the management mandate for the Fund section 3-1(2)(c).</w:t>
      </w:r>
    </w:p>
    <w:p w14:paraId="45EE9F50" w14:textId="77777777" w:rsidR="00025E01" w:rsidRPr="009E13A2" w:rsidRDefault="00025E01" w:rsidP="00025E01">
      <w:pPr>
        <w:shd w:val="clear" w:color="auto" w:fill="FFFFFF"/>
        <w:ind w:left="720"/>
        <w:rPr>
          <w:rFonts w:cs="Arial"/>
          <w:i/>
          <w:iCs/>
          <w:szCs w:val="22"/>
          <w:lang w:val="en-NZ"/>
        </w:rPr>
      </w:pPr>
    </w:p>
    <w:p w14:paraId="6E62A80F" w14:textId="7062375C" w:rsidR="00025E01" w:rsidRPr="009E13A2" w:rsidRDefault="00025E01" w:rsidP="00025E01">
      <w:pPr>
        <w:shd w:val="clear" w:color="auto" w:fill="FFFFFF"/>
        <w:ind w:left="720"/>
        <w:rPr>
          <w:rFonts w:cs="Arial"/>
          <w:szCs w:val="22"/>
          <w:lang w:val="en-NZ"/>
        </w:rPr>
      </w:pPr>
      <w:r w:rsidRPr="009E13A2">
        <w:rPr>
          <w:rFonts w:cs="Arial"/>
          <w:szCs w:val="22"/>
          <w:lang w:val="en-NZ"/>
        </w:rPr>
        <w:t>Companies may be put under observation or be excluded if there is an unacceptable risk that the company contr</w:t>
      </w:r>
      <w:r w:rsidR="00EC50C4" w:rsidRPr="009E13A2">
        <w:rPr>
          <w:rFonts w:cs="Arial"/>
          <w:szCs w:val="22"/>
          <w:lang w:val="en-NZ"/>
        </w:rPr>
        <w:t>ibutes to or is responsible for</w:t>
      </w:r>
    </w:p>
    <w:p w14:paraId="59D64C25" w14:textId="02F2C42E" w:rsidR="00025E01" w:rsidRPr="009E13A2" w:rsidRDefault="00025E01" w:rsidP="00025E01">
      <w:pPr>
        <w:shd w:val="clear" w:color="auto" w:fill="FFFFFF"/>
        <w:ind w:left="720"/>
        <w:rPr>
          <w:rFonts w:cs="Arial"/>
          <w:szCs w:val="22"/>
          <w:lang w:val="en-NZ"/>
        </w:rPr>
      </w:pPr>
      <w:r w:rsidRPr="009E13A2">
        <w:rPr>
          <w:rFonts w:cs="Arial"/>
          <w:szCs w:val="22"/>
          <w:lang w:val="en-NZ"/>
        </w:rPr>
        <w:t>a)   serious or systematic human rights violations, such as murder, torture, deprivation of liberty, forced labour and the worst forms of child labour</w:t>
      </w:r>
      <w:r w:rsidR="00EC50C4" w:rsidRPr="009E13A2">
        <w:rPr>
          <w:rFonts w:cs="Arial"/>
          <w:szCs w:val="22"/>
          <w:lang w:val="en-NZ"/>
        </w:rPr>
        <w:t>;</w:t>
      </w:r>
    </w:p>
    <w:p w14:paraId="0D341BA9" w14:textId="365CC0A6" w:rsidR="00025E01" w:rsidRPr="009E13A2" w:rsidRDefault="00025E01" w:rsidP="00025E01">
      <w:pPr>
        <w:shd w:val="clear" w:color="auto" w:fill="FFFFFF"/>
        <w:ind w:left="720"/>
        <w:rPr>
          <w:rFonts w:cs="Arial"/>
          <w:szCs w:val="22"/>
          <w:lang w:val="en-NZ"/>
        </w:rPr>
      </w:pPr>
      <w:r w:rsidRPr="009E13A2">
        <w:rPr>
          <w:rFonts w:cs="Arial"/>
          <w:szCs w:val="22"/>
          <w:lang w:val="en-NZ"/>
        </w:rPr>
        <w:t>b)   serious violations of the rights of individuals in situations of war or conflict</w:t>
      </w:r>
      <w:r w:rsidR="00EC50C4" w:rsidRPr="009E13A2">
        <w:rPr>
          <w:rFonts w:cs="Arial"/>
          <w:szCs w:val="22"/>
          <w:lang w:val="en-NZ"/>
        </w:rPr>
        <w:t>;</w:t>
      </w:r>
    </w:p>
    <w:p w14:paraId="2315CB4F" w14:textId="1F577308" w:rsidR="00025E01" w:rsidRPr="009E13A2" w:rsidRDefault="00025E01" w:rsidP="00025E01">
      <w:pPr>
        <w:shd w:val="clear" w:color="auto" w:fill="FFFFFF"/>
        <w:ind w:left="720"/>
        <w:rPr>
          <w:rFonts w:cs="Arial"/>
          <w:szCs w:val="22"/>
          <w:lang w:val="en-NZ"/>
        </w:rPr>
      </w:pPr>
      <w:r w:rsidRPr="009E13A2">
        <w:rPr>
          <w:rFonts w:cs="Arial"/>
          <w:szCs w:val="22"/>
          <w:lang w:val="en-NZ"/>
        </w:rPr>
        <w:t>c)   severe environmental damage</w:t>
      </w:r>
      <w:r w:rsidR="00EC50C4" w:rsidRPr="009E13A2">
        <w:rPr>
          <w:rFonts w:cs="Arial"/>
          <w:szCs w:val="22"/>
          <w:lang w:val="en-NZ"/>
        </w:rPr>
        <w:t>;</w:t>
      </w:r>
    </w:p>
    <w:p w14:paraId="16254FEC" w14:textId="78E4B266" w:rsidR="00025E01" w:rsidRPr="009E13A2" w:rsidRDefault="00025E01" w:rsidP="00025E01">
      <w:pPr>
        <w:shd w:val="clear" w:color="auto" w:fill="FFFFFF"/>
        <w:ind w:left="720"/>
        <w:rPr>
          <w:rFonts w:cs="Arial"/>
          <w:szCs w:val="22"/>
          <w:lang w:val="en-NZ"/>
        </w:rPr>
      </w:pPr>
      <w:r w:rsidRPr="009E13A2">
        <w:rPr>
          <w:rFonts w:cs="Arial"/>
          <w:szCs w:val="22"/>
          <w:lang w:val="en-NZ"/>
        </w:rPr>
        <w:t>d)   gross corruption</w:t>
      </w:r>
      <w:r w:rsidR="00EC50C4" w:rsidRPr="009E13A2">
        <w:rPr>
          <w:rFonts w:cs="Arial"/>
          <w:szCs w:val="22"/>
          <w:lang w:val="en-NZ"/>
        </w:rPr>
        <w:t>;</w:t>
      </w:r>
    </w:p>
    <w:p w14:paraId="3077C962" w14:textId="310D2A4E" w:rsidR="00025E01" w:rsidRPr="009E13A2" w:rsidRDefault="00025E01" w:rsidP="00025E01">
      <w:pPr>
        <w:shd w:val="clear" w:color="auto" w:fill="FFFFFF"/>
        <w:ind w:left="720"/>
        <w:rPr>
          <w:rFonts w:cs="Arial"/>
          <w:szCs w:val="22"/>
          <w:lang w:val="en-NZ"/>
        </w:rPr>
      </w:pPr>
      <w:r w:rsidRPr="009E13A2">
        <w:rPr>
          <w:rFonts w:cs="Arial"/>
          <w:szCs w:val="22"/>
          <w:lang w:val="en-NZ"/>
        </w:rPr>
        <w:t>e)   other particularly serious violations of fundamental ethical norms</w:t>
      </w:r>
      <w:r w:rsidR="0000621E">
        <w:rPr>
          <w:rFonts w:cs="Arial"/>
          <w:szCs w:val="22"/>
          <w:lang w:val="en-NZ"/>
        </w:rPr>
        <w:t xml:space="preserve"> (Norwegian </w:t>
      </w:r>
      <w:r w:rsidR="009D3822">
        <w:rPr>
          <w:rFonts w:cs="Arial"/>
          <w:szCs w:val="22"/>
          <w:lang w:val="en-NZ"/>
        </w:rPr>
        <w:t>Ethical Council)</w:t>
      </w:r>
      <w:r w:rsidRPr="009E13A2">
        <w:rPr>
          <w:rFonts w:cs="Arial"/>
          <w:szCs w:val="22"/>
          <w:lang w:val="en-NZ"/>
        </w:rPr>
        <w:t>.</w:t>
      </w:r>
    </w:p>
    <w:p w14:paraId="4AD327EA" w14:textId="28A605DB" w:rsidR="0026018F" w:rsidRPr="009E13A2" w:rsidRDefault="00FD614C" w:rsidP="00025E01">
      <w:pPr>
        <w:rPr>
          <w:rFonts w:eastAsia="Times New Roman" w:cs="Arial"/>
          <w:szCs w:val="22"/>
          <w:shd w:val="clear" w:color="auto" w:fill="FFFFFF"/>
          <w:lang w:val="en-NZ"/>
        </w:rPr>
      </w:pPr>
      <w:r w:rsidRPr="009E13A2">
        <w:rPr>
          <w:rFonts w:eastAsia="Times New Roman" w:cs="Arial"/>
          <w:szCs w:val="22"/>
          <w:shd w:val="clear" w:color="auto" w:fill="FFFFFF"/>
          <w:lang w:val="en-NZ"/>
        </w:rPr>
        <w:t xml:space="preserve">In addition, </w:t>
      </w:r>
      <w:r w:rsidR="00F75262" w:rsidRPr="009E13A2">
        <w:rPr>
          <w:rFonts w:eastAsia="Times New Roman" w:cs="Arial"/>
          <w:szCs w:val="22"/>
          <w:shd w:val="clear" w:color="auto" w:fill="FFFFFF"/>
          <w:lang w:val="en-NZ"/>
        </w:rPr>
        <w:t>The Norwegian Parliament</w:t>
      </w:r>
      <w:r w:rsidR="00C871AB" w:rsidRPr="009E13A2">
        <w:rPr>
          <w:rFonts w:eastAsia="Times New Roman" w:cs="Arial"/>
          <w:szCs w:val="22"/>
          <w:shd w:val="clear" w:color="auto" w:fill="FFFFFF"/>
          <w:lang w:val="en-NZ"/>
        </w:rPr>
        <w:t xml:space="preserve"> has decided </w:t>
      </w:r>
      <w:r w:rsidR="00C567CA">
        <w:rPr>
          <w:rFonts w:eastAsia="Times New Roman" w:cs="Arial"/>
          <w:szCs w:val="22"/>
          <w:shd w:val="clear" w:color="auto" w:fill="FFFFFF"/>
          <w:lang w:val="en-NZ"/>
        </w:rPr>
        <w:t xml:space="preserve">that the Fund should </w:t>
      </w:r>
      <w:r w:rsidR="00C871AB" w:rsidRPr="009E13A2">
        <w:rPr>
          <w:rFonts w:eastAsia="Times New Roman" w:cs="Arial"/>
          <w:szCs w:val="22"/>
          <w:shd w:val="clear" w:color="auto" w:fill="FFFFFF"/>
          <w:lang w:val="en-NZ"/>
        </w:rPr>
        <w:t>divest from fossil fuels (Milne).</w:t>
      </w:r>
    </w:p>
    <w:p w14:paraId="21AF0FD0" w14:textId="77777777" w:rsidR="0026018F" w:rsidRPr="009E13A2" w:rsidRDefault="0026018F" w:rsidP="00025E01">
      <w:pPr>
        <w:rPr>
          <w:rFonts w:eastAsia="Times New Roman" w:cs="Arial"/>
          <w:szCs w:val="22"/>
          <w:shd w:val="clear" w:color="auto" w:fill="FFFFFF"/>
          <w:lang w:val="en-NZ"/>
        </w:rPr>
      </w:pPr>
    </w:p>
    <w:p w14:paraId="7E75745D" w14:textId="77777777" w:rsidR="00025E01" w:rsidRPr="009E13A2" w:rsidRDefault="00025E01" w:rsidP="00025E01">
      <w:pPr>
        <w:rPr>
          <w:rFonts w:eastAsia="Times New Roman" w:cs="Arial"/>
          <w:szCs w:val="22"/>
          <w:lang w:val="en-NZ"/>
        </w:rPr>
      </w:pPr>
      <w:r w:rsidRPr="009E13A2">
        <w:rPr>
          <w:rFonts w:eastAsia="Times New Roman" w:cs="Arial"/>
          <w:szCs w:val="22"/>
          <w:shd w:val="clear" w:color="auto" w:fill="FFFFFF"/>
          <w:lang w:val="en-NZ"/>
        </w:rPr>
        <w:t xml:space="preserve">The Council makes its findings available to Norges Bank, but before the Bank makes a decision on observation or exclusion, it has to consider whether other measures, including the exercise of ownership rights, may be more suited to reduce the risk of continued norm violations, or whether such alternative measures may be more appropriate for other reasons. </w:t>
      </w:r>
    </w:p>
    <w:p w14:paraId="7AFE03BA" w14:textId="77777777" w:rsidR="00D40253" w:rsidRPr="009E13A2" w:rsidRDefault="00D40253" w:rsidP="00D40253">
      <w:pPr>
        <w:shd w:val="clear" w:color="auto" w:fill="FFFFFF"/>
        <w:rPr>
          <w:rFonts w:cs="Helvetica"/>
          <w:bCs/>
          <w:lang w:bidi="en-US"/>
        </w:rPr>
      </w:pPr>
    </w:p>
    <w:p w14:paraId="78C0E4ED" w14:textId="3FDFB745" w:rsidR="009D3822" w:rsidRPr="009D3822" w:rsidRDefault="00B94F2E" w:rsidP="00B94F2E">
      <w:pPr>
        <w:shd w:val="clear" w:color="auto" w:fill="FFFFFF"/>
        <w:rPr>
          <w:rFonts w:cs="Arial"/>
          <w:szCs w:val="22"/>
          <w:lang w:val="en-NZ"/>
        </w:rPr>
      </w:pPr>
      <w:r w:rsidRPr="009D3822">
        <w:rPr>
          <w:rFonts w:cs="Helvetica"/>
          <w:szCs w:val="22"/>
          <w:lang w:bidi="en-US"/>
        </w:rPr>
        <w:t>The way in which Norway deals with these matte</w:t>
      </w:r>
      <w:r w:rsidR="002641E2">
        <w:rPr>
          <w:rFonts w:cs="Helvetica"/>
          <w:szCs w:val="22"/>
          <w:lang w:bidi="en-US"/>
        </w:rPr>
        <w:t xml:space="preserve">rs is, on the whole, </w:t>
      </w:r>
      <w:r w:rsidRPr="009D3822">
        <w:rPr>
          <w:rFonts w:cs="Helvetica"/>
          <w:szCs w:val="22"/>
          <w:lang w:bidi="en-US"/>
        </w:rPr>
        <w:t>a good model to follow.</w:t>
      </w:r>
      <w:r w:rsidRPr="009D3822">
        <w:rPr>
          <w:rFonts w:cs="Arial"/>
          <w:szCs w:val="22"/>
          <w:lang w:val="en-NZ"/>
        </w:rPr>
        <w:t xml:space="preserve"> The setting up of an Ethical Council has the advantage of making transparent the moral nature of investment choices.  It is likely that its findings will be more publicly available and has a wider public educational value as a result.  Many people with an investment background have very little education in subjects outside a narrow range of knowledge.   Internationally many people in the banking and financial sector have reputations for conservative and immoral behaviour. Setting up a Council enables appointment of people from diverse backgrounds, skills and knowledge to be involved. It also provides information for other government agencies that have investments (such as Kiwisaver funds, local government councils and universities) and smaller private funds.  </w:t>
      </w:r>
    </w:p>
    <w:p w14:paraId="021A5F1B" w14:textId="77777777" w:rsidR="009D3822" w:rsidRPr="009D3822" w:rsidRDefault="009D3822" w:rsidP="00B94F2E">
      <w:pPr>
        <w:shd w:val="clear" w:color="auto" w:fill="FFFFFF"/>
        <w:rPr>
          <w:rFonts w:cs="Arial"/>
          <w:szCs w:val="22"/>
          <w:lang w:val="en-NZ"/>
        </w:rPr>
      </w:pPr>
    </w:p>
    <w:p w14:paraId="497E85D5" w14:textId="327A9D73" w:rsidR="00B94F2E" w:rsidRPr="009D3822" w:rsidRDefault="009D3822" w:rsidP="009D3822">
      <w:pPr>
        <w:rPr>
          <w:rFonts w:eastAsia="Times New Roman" w:cs="Arial"/>
          <w:szCs w:val="22"/>
          <w:lang w:val="en-NZ"/>
        </w:rPr>
      </w:pPr>
      <w:r w:rsidRPr="009D3822">
        <w:rPr>
          <w:rFonts w:cs="Arial"/>
          <w:szCs w:val="22"/>
          <w:lang w:val="en-NZ"/>
        </w:rPr>
        <w:t xml:space="preserve">The criteria of the Norwegian Fund </w:t>
      </w:r>
      <w:r w:rsidR="00C64422">
        <w:rPr>
          <w:rFonts w:cs="Arial"/>
          <w:szCs w:val="22"/>
          <w:lang w:val="en-NZ"/>
        </w:rPr>
        <w:t>are</w:t>
      </w:r>
      <w:r w:rsidRPr="009D3822">
        <w:rPr>
          <w:rFonts w:cs="Arial"/>
          <w:szCs w:val="22"/>
          <w:lang w:val="en-NZ"/>
        </w:rPr>
        <w:t xml:space="preserve"> conservative.  At one stage they were invested in Canadian Tar Sand exploration even though it should have been excluded because of severe environmental damage.  It is not clear if the labour criteria include payment for a living wage.  The UN Global Compact is stronger on labour criteria (</w:t>
      </w:r>
      <w:r w:rsidRPr="009D3822">
        <w:rPr>
          <w:rFonts w:eastAsia="Times New Roman" w:cs="Arial"/>
          <w:szCs w:val="22"/>
          <w:shd w:val="clear" w:color="auto" w:fill="FFFFFF"/>
          <w:lang w:val="en-NZ"/>
        </w:rPr>
        <w:t> ‘the effective abolition of child labour’, as compared to the Norwegian ‘</w:t>
      </w:r>
      <w:r w:rsidRPr="009D3822">
        <w:rPr>
          <w:rFonts w:cs="Arial"/>
          <w:szCs w:val="22"/>
          <w:lang w:val="en-NZ"/>
        </w:rPr>
        <w:t xml:space="preserve">worst forms of child labour’), but both need to have stronger environmental protection clauses.  However, both are better </w:t>
      </w:r>
      <w:r w:rsidR="00C64422" w:rsidRPr="009D3822">
        <w:rPr>
          <w:rFonts w:eastAsia="Times New Roman" w:cs="Arial"/>
          <w:szCs w:val="22"/>
          <w:lang w:val="en-NZ"/>
        </w:rPr>
        <w:t>in</w:t>
      </w:r>
      <w:r w:rsidR="00C64422">
        <w:rPr>
          <w:rFonts w:eastAsia="Times New Roman" w:cs="Arial"/>
          <w:szCs w:val="22"/>
          <w:lang w:val="en-NZ"/>
        </w:rPr>
        <w:t xml:space="preserve"> </w:t>
      </w:r>
      <w:r w:rsidR="00C64422" w:rsidRPr="009D3822">
        <w:rPr>
          <w:rFonts w:cs="Arial"/>
          <w:szCs w:val="22"/>
          <w:lang w:val="en-NZ"/>
        </w:rPr>
        <w:t xml:space="preserve">making explicit the moral compass New Zealanders expect </w:t>
      </w:r>
      <w:r w:rsidRPr="009D3822">
        <w:rPr>
          <w:rFonts w:cs="Arial"/>
          <w:szCs w:val="22"/>
          <w:lang w:val="en-NZ"/>
        </w:rPr>
        <w:t xml:space="preserve">than the </w:t>
      </w:r>
      <w:r w:rsidR="00C64422">
        <w:rPr>
          <w:rFonts w:cs="Arial"/>
          <w:szCs w:val="22"/>
          <w:lang w:val="en-NZ"/>
        </w:rPr>
        <w:t xml:space="preserve">criterion of </w:t>
      </w:r>
      <w:r w:rsidRPr="009D3822">
        <w:rPr>
          <w:rFonts w:cs="Arial"/>
          <w:szCs w:val="22"/>
          <w:lang w:val="en-NZ"/>
        </w:rPr>
        <w:t>i</w:t>
      </w:r>
      <w:r w:rsidR="00C64422">
        <w:rPr>
          <w:rFonts w:cs="Arial"/>
          <w:szCs w:val="22"/>
          <w:lang w:val="en-NZ"/>
        </w:rPr>
        <w:t>nternational reputation</w:t>
      </w:r>
      <w:r w:rsidR="00B94F2E" w:rsidRPr="009D3822">
        <w:rPr>
          <w:rFonts w:cs="Arial"/>
          <w:szCs w:val="22"/>
          <w:lang w:val="en-NZ"/>
        </w:rPr>
        <w:t xml:space="preserve">. </w:t>
      </w:r>
      <w:r w:rsidR="00267E95">
        <w:rPr>
          <w:rFonts w:cs="Arial"/>
          <w:szCs w:val="22"/>
          <w:lang w:val="en-NZ"/>
        </w:rPr>
        <w:t xml:space="preserve">  The criticisms below of the New Zealand Super Fund having a large number of companies that are </w:t>
      </w:r>
      <w:r w:rsidR="00C64422">
        <w:rPr>
          <w:rFonts w:cs="Arial"/>
          <w:szCs w:val="22"/>
          <w:lang w:val="en-NZ"/>
        </w:rPr>
        <w:t>socially irresponsible but having</w:t>
      </w:r>
      <w:r w:rsidR="00267E95">
        <w:rPr>
          <w:rFonts w:cs="Arial"/>
          <w:szCs w:val="22"/>
          <w:lang w:val="en-NZ"/>
        </w:rPr>
        <w:t xml:space="preserve"> no engagement from the Fund, apply equally to the Norwegian procedures.</w:t>
      </w:r>
    </w:p>
    <w:p w14:paraId="637457D1" w14:textId="77777777" w:rsidR="00D40253" w:rsidRPr="009E13A2" w:rsidRDefault="00D40253" w:rsidP="00D40253">
      <w:pPr>
        <w:shd w:val="clear" w:color="auto" w:fill="FFFFFF"/>
        <w:rPr>
          <w:rFonts w:cs="Arial"/>
          <w:szCs w:val="22"/>
          <w:lang w:val="en-NZ"/>
        </w:rPr>
      </w:pPr>
    </w:p>
    <w:p w14:paraId="0159EA6F" w14:textId="3055A951" w:rsidR="00D40253" w:rsidRPr="009E13A2" w:rsidRDefault="00B82D39" w:rsidP="00B82008">
      <w:pPr>
        <w:shd w:val="clear" w:color="auto" w:fill="FFFFFF"/>
        <w:rPr>
          <w:rFonts w:cs="Arial"/>
          <w:b/>
          <w:szCs w:val="22"/>
          <w:lang w:val="en-NZ"/>
        </w:rPr>
      </w:pPr>
      <w:r w:rsidRPr="009E13A2">
        <w:rPr>
          <w:rFonts w:cs="Arial"/>
          <w:b/>
          <w:szCs w:val="22"/>
          <w:lang w:val="en-NZ"/>
        </w:rPr>
        <w:t>Divestment and Engagement</w:t>
      </w:r>
    </w:p>
    <w:p w14:paraId="71836150" w14:textId="77777777" w:rsidR="002850CD" w:rsidRPr="009E13A2" w:rsidRDefault="002850CD" w:rsidP="00B82008">
      <w:pPr>
        <w:shd w:val="clear" w:color="auto" w:fill="FFFFFF"/>
        <w:rPr>
          <w:rFonts w:cs="Arial"/>
          <w:szCs w:val="22"/>
          <w:lang w:val="en-NZ"/>
        </w:rPr>
      </w:pPr>
    </w:p>
    <w:p w14:paraId="1053897B" w14:textId="7F0F3379" w:rsidR="00B82D39" w:rsidRPr="009E13A2" w:rsidRDefault="00B82D39" w:rsidP="00EC50C4">
      <w:pPr>
        <w:shd w:val="clear" w:color="auto" w:fill="FFFFFF"/>
        <w:rPr>
          <w:rFonts w:cs="Arial"/>
          <w:szCs w:val="22"/>
          <w:lang w:val="en-NZ"/>
        </w:rPr>
      </w:pPr>
      <w:r w:rsidRPr="009E13A2">
        <w:rPr>
          <w:rFonts w:cs="Arial"/>
          <w:szCs w:val="22"/>
          <w:lang w:val="en-NZ"/>
        </w:rPr>
        <w:t xml:space="preserve">The record of divestment and engagement </w:t>
      </w:r>
      <w:r w:rsidR="00EC50C4" w:rsidRPr="009E13A2">
        <w:rPr>
          <w:rFonts w:cs="Arial"/>
          <w:szCs w:val="22"/>
          <w:lang w:val="en-NZ"/>
        </w:rPr>
        <w:t xml:space="preserve">of the NZ Super Fund </w:t>
      </w:r>
      <w:r w:rsidRPr="009E13A2">
        <w:rPr>
          <w:rFonts w:cs="Arial"/>
          <w:szCs w:val="22"/>
          <w:lang w:val="en-NZ"/>
        </w:rPr>
        <w:t>is set out in Tables 1 and 2.</w:t>
      </w:r>
    </w:p>
    <w:p w14:paraId="6FCDF5B1" w14:textId="77777777" w:rsidR="00B82D39" w:rsidRPr="009E13A2" w:rsidRDefault="00B82D39"/>
    <w:tbl>
      <w:tblPr>
        <w:tblW w:w="8782" w:type="dxa"/>
        <w:tblInd w:w="93" w:type="dxa"/>
        <w:tblLook w:val="04A0" w:firstRow="1" w:lastRow="0" w:firstColumn="1" w:lastColumn="0" w:noHBand="0" w:noVBand="1"/>
      </w:tblPr>
      <w:tblGrid>
        <w:gridCol w:w="2238"/>
        <w:gridCol w:w="222"/>
        <w:gridCol w:w="1370"/>
        <w:gridCol w:w="1236"/>
        <w:gridCol w:w="1240"/>
        <w:gridCol w:w="1236"/>
        <w:gridCol w:w="1240"/>
      </w:tblGrid>
      <w:tr w:rsidR="009E13A2" w:rsidRPr="009E13A2" w14:paraId="2CFF1FE7" w14:textId="77777777" w:rsidTr="00B82D39">
        <w:trPr>
          <w:trHeight w:val="296"/>
        </w:trPr>
        <w:tc>
          <w:tcPr>
            <w:tcW w:w="3830" w:type="dxa"/>
            <w:gridSpan w:val="3"/>
            <w:tcBorders>
              <w:top w:val="single" w:sz="4" w:space="0" w:color="auto"/>
              <w:left w:val="single" w:sz="4" w:space="0" w:color="auto"/>
              <w:bottom w:val="nil"/>
              <w:right w:val="nil"/>
            </w:tcBorders>
            <w:shd w:val="clear" w:color="auto" w:fill="auto"/>
            <w:noWrap/>
            <w:vAlign w:val="bottom"/>
            <w:hideMark/>
          </w:tcPr>
          <w:p w14:paraId="4B51894D" w14:textId="009C6208"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 xml:space="preserve">Table 1: NZ Super Fund Divestment </w:t>
            </w:r>
          </w:p>
        </w:tc>
        <w:tc>
          <w:tcPr>
            <w:tcW w:w="1236" w:type="dxa"/>
            <w:tcBorders>
              <w:top w:val="single" w:sz="4" w:space="0" w:color="auto"/>
              <w:left w:val="nil"/>
              <w:bottom w:val="nil"/>
              <w:right w:val="nil"/>
            </w:tcBorders>
            <w:shd w:val="clear" w:color="auto" w:fill="auto"/>
            <w:noWrap/>
            <w:vAlign w:val="bottom"/>
            <w:hideMark/>
          </w:tcPr>
          <w:p w14:paraId="120D2BBD" w14:textId="77777777" w:rsidR="00B82D39" w:rsidRPr="009E13A2" w:rsidRDefault="00B82D39" w:rsidP="00B82D39">
            <w:pPr>
              <w:rPr>
                <w:rFonts w:eastAsia="Times New Roman" w:cs="Arial"/>
                <w:sz w:val="20"/>
                <w:szCs w:val="20"/>
                <w:lang w:val="en-NZ"/>
              </w:rPr>
            </w:pPr>
          </w:p>
        </w:tc>
        <w:tc>
          <w:tcPr>
            <w:tcW w:w="1240" w:type="dxa"/>
            <w:tcBorders>
              <w:top w:val="single" w:sz="4" w:space="0" w:color="auto"/>
              <w:left w:val="nil"/>
              <w:bottom w:val="nil"/>
              <w:right w:val="nil"/>
            </w:tcBorders>
            <w:shd w:val="clear" w:color="auto" w:fill="auto"/>
            <w:noWrap/>
            <w:vAlign w:val="bottom"/>
            <w:hideMark/>
          </w:tcPr>
          <w:p w14:paraId="1E53A031" w14:textId="77777777" w:rsidR="00B82D39" w:rsidRPr="009E13A2" w:rsidRDefault="00B82D39" w:rsidP="00B82D39">
            <w:pPr>
              <w:rPr>
                <w:rFonts w:eastAsia="Times New Roman" w:cs="Arial"/>
                <w:sz w:val="20"/>
                <w:szCs w:val="20"/>
                <w:lang w:val="en-NZ"/>
              </w:rPr>
            </w:pPr>
          </w:p>
        </w:tc>
        <w:tc>
          <w:tcPr>
            <w:tcW w:w="1236" w:type="dxa"/>
            <w:tcBorders>
              <w:top w:val="single" w:sz="4" w:space="0" w:color="auto"/>
              <w:left w:val="nil"/>
              <w:bottom w:val="nil"/>
              <w:right w:val="nil"/>
            </w:tcBorders>
            <w:shd w:val="clear" w:color="auto" w:fill="auto"/>
            <w:noWrap/>
            <w:vAlign w:val="bottom"/>
            <w:hideMark/>
          </w:tcPr>
          <w:p w14:paraId="093549ED" w14:textId="77777777" w:rsidR="00B82D39" w:rsidRPr="009E13A2" w:rsidRDefault="00B82D39" w:rsidP="00B82D39">
            <w:pPr>
              <w:rPr>
                <w:rFonts w:eastAsia="Times New Roman" w:cs="Arial"/>
                <w:sz w:val="20"/>
                <w:szCs w:val="20"/>
                <w:lang w:val="en-NZ"/>
              </w:rPr>
            </w:pPr>
          </w:p>
        </w:tc>
        <w:tc>
          <w:tcPr>
            <w:tcW w:w="1240" w:type="dxa"/>
            <w:tcBorders>
              <w:top w:val="single" w:sz="4" w:space="0" w:color="auto"/>
              <w:left w:val="nil"/>
              <w:bottom w:val="nil"/>
              <w:right w:val="single" w:sz="4" w:space="0" w:color="auto"/>
            </w:tcBorders>
            <w:shd w:val="clear" w:color="auto" w:fill="auto"/>
            <w:noWrap/>
            <w:vAlign w:val="bottom"/>
            <w:hideMark/>
          </w:tcPr>
          <w:p w14:paraId="5C61BF92" w14:textId="77777777" w:rsidR="00B82D39" w:rsidRPr="009E13A2" w:rsidRDefault="00B82D39" w:rsidP="00B82D39">
            <w:pPr>
              <w:rPr>
                <w:rFonts w:eastAsia="Times New Roman" w:cs="Arial"/>
                <w:sz w:val="20"/>
                <w:szCs w:val="20"/>
                <w:lang w:val="en-NZ"/>
              </w:rPr>
            </w:pPr>
          </w:p>
        </w:tc>
      </w:tr>
      <w:tr w:rsidR="009E13A2" w:rsidRPr="009E13A2" w14:paraId="1E00ED3C" w14:textId="77777777" w:rsidTr="00B82D39">
        <w:trPr>
          <w:trHeight w:val="296"/>
        </w:trPr>
        <w:tc>
          <w:tcPr>
            <w:tcW w:w="2238" w:type="dxa"/>
            <w:tcBorders>
              <w:top w:val="nil"/>
              <w:left w:val="single" w:sz="4" w:space="0" w:color="auto"/>
              <w:bottom w:val="nil"/>
              <w:right w:val="nil"/>
            </w:tcBorders>
            <w:shd w:val="clear" w:color="auto" w:fill="auto"/>
            <w:noWrap/>
            <w:vAlign w:val="bottom"/>
            <w:hideMark/>
          </w:tcPr>
          <w:p w14:paraId="5277AEEB" w14:textId="77777777"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Issue</w:t>
            </w:r>
          </w:p>
        </w:tc>
        <w:tc>
          <w:tcPr>
            <w:tcW w:w="222" w:type="dxa"/>
            <w:tcBorders>
              <w:top w:val="nil"/>
              <w:left w:val="nil"/>
              <w:bottom w:val="nil"/>
              <w:right w:val="nil"/>
            </w:tcBorders>
            <w:shd w:val="clear" w:color="auto" w:fill="auto"/>
            <w:noWrap/>
            <w:vAlign w:val="bottom"/>
            <w:hideMark/>
          </w:tcPr>
          <w:p w14:paraId="547E4A95" w14:textId="77777777" w:rsidR="00B82D39" w:rsidRPr="009E13A2" w:rsidRDefault="00B82D39" w:rsidP="00B82D39">
            <w:pPr>
              <w:rPr>
                <w:rFonts w:eastAsia="Times New Roman" w:cs="Arial"/>
                <w:b/>
                <w:sz w:val="20"/>
                <w:szCs w:val="20"/>
                <w:lang w:val="en-NZ"/>
              </w:rPr>
            </w:pPr>
          </w:p>
        </w:tc>
        <w:tc>
          <w:tcPr>
            <w:tcW w:w="1370" w:type="dxa"/>
            <w:tcBorders>
              <w:top w:val="nil"/>
              <w:left w:val="nil"/>
              <w:bottom w:val="nil"/>
              <w:right w:val="nil"/>
            </w:tcBorders>
            <w:shd w:val="clear" w:color="auto" w:fill="auto"/>
            <w:noWrap/>
            <w:vAlign w:val="bottom"/>
            <w:hideMark/>
          </w:tcPr>
          <w:p w14:paraId="0C000E79" w14:textId="686B8A0F"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 xml:space="preserve">            Year</w:t>
            </w:r>
          </w:p>
        </w:tc>
        <w:tc>
          <w:tcPr>
            <w:tcW w:w="1236" w:type="dxa"/>
            <w:tcBorders>
              <w:top w:val="nil"/>
              <w:left w:val="nil"/>
              <w:bottom w:val="nil"/>
              <w:right w:val="nil"/>
            </w:tcBorders>
            <w:shd w:val="clear" w:color="auto" w:fill="auto"/>
            <w:noWrap/>
            <w:vAlign w:val="bottom"/>
            <w:hideMark/>
          </w:tcPr>
          <w:p w14:paraId="7937F159" w14:textId="2D550092"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 xml:space="preserve">   </w:t>
            </w:r>
            <w:r w:rsidR="00695755" w:rsidRPr="009E13A2">
              <w:rPr>
                <w:rFonts w:eastAsia="Times New Roman" w:cs="Arial"/>
                <w:b/>
                <w:sz w:val="20"/>
                <w:szCs w:val="20"/>
                <w:lang w:val="en-NZ"/>
              </w:rPr>
              <w:t>No.</w:t>
            </w:r>
            <w:r w:rsidRPr="009E13A2">
              <w:rPr>
                <w:rFonts w:eastAsia="Times New Roman" w:cs="Arial"/>
                <w:b/>
                <w:sz w:val="20"/>
                <w:szCs w:val="20"/>
                <w:lang w:val="en-NZ"/>
              </w:rPr>
              <w:t>Cpys</w:t>
            </w:r>
          </w:p>
        </w:tc>
        <w:tc>
          <w:tcPr>
            <w:tcW w:w="1240" w:type="dxa"/>
            <w:tcBorders>
              <w:top w:val="nil"/>
              <w:left w:val="nil"/>
              <w:bottom w:val="nil"/>
              <w:right w:val="nil"/>
            </w:tcBorders>
            <w:shd w:val="clear" w:color="auto" w:fill="auto"/>
            <w:noWrap/>
            <w:vAlign w:val="bottom"/>
            <w:hideMark/>
          </w:tcPr>
          <w:p w14:paraId="7232E8C7" w14:textId="77777777" w:rsidR="00B82D39" w:rsidRPr="009E13A2" w:rsidRDefault="00B82D39" w:rsidP="00B82D39">
            <w:pPr>
              <w:rPr>
                <w:rFonts w:eastAsia="Times New Roman" w:cs="Arial"/>
                <w:b/>
                <w:sz w:val="20"/>
                <w:szCs w:val="20"/>
                <w:lang w:val="en-NZ"/>
              </w:rPr>
            </w:pPr>
          </w:p>
        </w:tc>
        <w:tc>
          <w:tcPr>
            <w:tcW w:w="1236" w:type="dxa"/>
            <w:tcBorders>
              <w:top w:val="nil"/>
              <w:left w:val="nil"/>
              <w:bottom w:val="nil"/>
              <w:right w:val="nil"/>
            </w:tcBorders>
            <w:shd w:val="clear" w:color="auto" w:fill="auto"/>
            <w:noWrap/>
            <w:vAlign w:val="bottom"/>
            <w:hideMark/>
          </w:tcPr>
          <w:p w14:paraId="26190777" w14:textId="741A1E74" w:rsidR="00B82D39" w:rsidRPr="009E13A2" w:rsidRDefault="00B82D39" w:rsidP="00695755">
            <w:pPr>
              <w:rPr>
                <w:rFonts w:eastAsia="Times New Roman" w:cs="Arial"/>
                <w:b/>
                <w:sz w:val="20"/>
                <w:szCs w:val="20"/>
                <w:lang w:val="en-NZ"/>
              </w:rPr>
            </w:pPr>
            <w:r w:rsidRPr="009E13A2">
              <w:rPr>
                <w:rFonts w:eastAsia="Times New Roman" w:cs="Arial"/>
                <w:b/>
                <w:sz w:val="20"/>
                <w:szCs w:val="20"/>
                <w:lang w:val="en-NZ"/>
              </w:rPr>
              <w:t>No</w:t>
            </w:r>
            <w:r w:rsidR="00695755" w:rsidRPr="009E13A2">
              <w:rPr>
                <w:rFonts w:eastAsia="Times New Roman" w:cs="Arial"/>
                <w:b/>
                <w:sz w:val="20"/>
                <w:szCs w:val="20"/>
                <w:lang w:val="en-NZ"/>
              </w:rPr>
              <w:t xml:space="preserve">. </w:t>
            </w:r>
            <w:r w:rsidRPr="009E13A2">
              <w:rPr>
                <w:rFonts w:eastAsia="Times New Roman" w:cs="Arial"/>
                <w:b/>
                <w:sz w:val="20"/>
                <w:szCs w:val="20"/>
                <w:lang w:val="en-NZ"/>
              </w:rPr>
              <w:t>Cpys</w:t>
            </w:r>
          </w:p>
        </w:tc>
        <w:tc>
          <w:tcPr>
            <w:tcW w:w="1240" w:type="dxa"/>
            <w:tcBorders>
              <w:top w:val="nil"/>
              <w:left w:val="nil"/>
              <w:bottom w:val="nil"/>
              <w:right w:val="single" w:sz="4" w:space="0" w:color="auto"/>
            </w:tcBorders>
            <w:shd w:val="clear" w:color="auto" w:fill="auto"/>
            <w:noWrap/>
            <w:vAlign w:val="bottom"/>
            <w:hideMark/>
          </w:tcPr>
          <w:p w14:paraId="29402CBC" w14:textId="77777777" w:rsidR="00B82D39" w:rsidRPr="009E13A2" w:rsidRDefault="00B82D39" w:rsidP="00B82D39">
            <w:pPr>
              <w:rPr>
                <w:rFonts w:eastAsia="Times New Roman" w:cs="Arial"/>
                <w:b/>
                <w:sz w:val="20"/>
                <w:szCs w:val="20"/>
                <w:lang w:val="en-NZ"/>
              </w:rPr>
            </w:pPr>
          </w:p>
        </w:tc>
      </w:tr>
      <w:tr w:rsidR="009E13A2" w:rsidRPr="009E13A2" w14:paraId="483A42A5" w14:textId="77777777" w:rsidTr="00B82D39">
        <w:trPr>
          <w:trHeight w:val="296"/>
        </w:trPr>
        <w:tc>
          <w:tcPr>
            <w:tcW w:w="2238" w:type="dxa"/>
            <w:tcBorders>
              <w:top w:val="nil"/>
              <w:left w:val="single" w:sz="4" w:space="0" w:color="auto"/>
              <w:bottom w:val="nil"/>
              <w:right w:val="nil"/>
            </w:tcBorders>
            <w:shd w:val="clear" w:color="auto" w:fill="auto"/>
            <w:noWrap/>
            <w:vAlign w:val="bottom"/>
            <w:hideMark/>
          </w:tcPr>
          <w:p w14:paraId="2499CE78" w14:textId="77777777" w:rsidR="00B82D39" w:rsidRPr="009E13A2" w:rsidRDefault="00B82D39" w:rsidP="00B82D39">
            <w:pPr>
              <w:rPr>
                <w:rFonts w:eastAsia="Times New Roman" w:cs="Arial"/>
                <w:b/>
                <w:sz w:val="20"/>
                <w:szCs w:val="20"/>
                <w:lang w:val="en-NZ"/>
              </w:rPr>
            </w:pPr>
          </w:p>
        </w:tc>
        <w:tc>
          <w:tcPr>
            <w:tcW w:w="222" w:type="dxa"/>
            <w:tcBorders>
              <w:top w:val="nil"/>
              <w:left w:val="nil"/>
              <w:bottom w:val="nil"/>
              <w:right w:val="nil"/>
            </w:tcBorders>
            <w:shd w:val="clear" w:color="auto" w:fill="auto"/>
            <w:noWrap/>
            <w:vAlign w:val="bottom"/>
            <w:hideMark/>
          </w:tcPr>
          <w:p w14:paraId="3B92A9DC" w14:textId="77777777" w:rsidR="00B82D39" w:rsidRPr="009E13A2" w:rsidRDefault="00B82D39" w:rsidP="00B82D39">
            <w:pPr>
              <w:rPr>
                <w:rFonts w:eastAsia="Times New Roman" w:cs="Arial"/>
                <w:b/>
                <w:sz w:val="20"/>
                <w:szCs w:val="20"/>
                <w:lang w:val="en-NZ"/>
              </w:rPr>
            </w:pPr>
          </w:p>
        </w:tc>
        <w:tc>
          <w:tcPr>
            <w:tcW w:w="1370" w:type="dxa"/>
            <w:tcBorders>
              <w:top w:val="nil"/>
              <w:left w:val="nil"/>
              <w:bottom w:val="nil"/>
              <w:right w:val="nil"/>
            </w:tcBorders>
            <w:shd w:val="clear" w:color="auto" w:fill="auto"/>
            <w:noWrap/>
            <w:vAlign w:val="bottom"/>
            <w:hideMark/>
          </w:tcPr>
          <w:p w14:paraId="048B35B7" w14:textId="77777777" w:rsidR="00B82D39" w:rsidRPr="009E13A2" w:rsidRDefault="00B82D39" w:rsidP="00B82D39">
            <w:pPr>
              <w:rPr>
                <w:rFonts w:eastAsia="Times New Roman" w:cs="Arial"/>
                <w:b/>
                <w:sz w:val="20"/>
                <w:szCs w:val="20"/>
                <w:lang w:val="en-NZ"/>
              </w:rPr>
            </w:pPr>
          </w:p>
        </w:tc>
        <w:tc>
          <w:tcPr>
            <w:tcW w:w="2476" w:type="dxa"/>
            <w:gridSpan w:val="2"/>
            <w:tcBorders>
              <w:top w:val="nil"/>
              <w:left w:val="nil"/>
              <w:bottom w:val="nil"/>
              <w:right w:val="nil"/>
            </w:tcBorders>
            <w:shd w:val="clear" w:color="auto" w:fill="auto"/>
            <w:noWrap/>
            <w:vAlign w:val="bottom"/>
            <w:hideMark/>
          </w:tcPr>
          <w:p w14:paraId="6B986A52" w14:textId="3FDE5596"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 xml:space="preserve">   Initially Excluded</w:t>
            </w:r>
          </w:p>
        </w:tc>
        <w:tc>
          <w:tcPr>
            <w:tcW w:w="2476" w:type="dxa"/>
            <w:gridSpan w:val="2"/>
            <w:tcBorders>
              <w:top w:val="nil"/>
              <w:left w:val="nil"/>
              <w:bottom w:val="nil"/>
              <w:right w:val="single" w:sz="4" w:space="0" w:color="auto"/>
            </w:tcBorders>
            <w:shd w:val="clear" w:color="auto" w:fill="auto"/>
            <w:noWrap/>
            <w:vAlign w:val="bottom"/>
            <w:hideMark/>
          </w:tcPr>
          <w:p w14:paraId="5133B882" w14:textId="77777777" w:rsidR="00B82D39" w:rsidRPr="009E13A2" w:rsidRDefault="00B82D39" w:rsidP="00B82D39">
            <w:pPr>
              <w:rPr>
                <w:rFonts w:eastAsia="Times New Roman" w:cs="Arial"/>
                <w:b/>
                <w:sz w:val="20"/>
                <w:szCs w:val="20"/>
                <w:lang w:val="en-NZ"/>
              </w:rPr>
            </w:pPr>
            <w:r w:rsidRPr="009E13A2">
              <w:rPr>
                <w:rFonts w:eastAsia="Times New Roman" w:cs="Arial"/>
                <w:b/>
                <w:sz w:val="20"/>
                <w:szCs w:val="20"/>
                <w:lang w:val="en-NZ"/>
              </w:rPr>
              <w:t>Currently Excluded</w:t>
            </w:r>
          </w:p>
        </w:tc>
      </w:tr>
      <w:tr w:rsidR="009E13A2" w:rsidRPr="009E13A2" w14:paraId="4FFD6B0C" w14:textId="77777777" w:rsidTr="00B82D39">
        <w:trPr>
          <w:trHeight w:val="296"/>
        </w:trPr>
        <w:tc>
          <w:tcPr>
            <w:tcW w:w="2238" w:type="dxa"/>
            <w:tcBorders>
              <w:top w:val="nil"/>
              <w:left w:val="single" w:sz="4" w:space="0" w:color="auto"/>
              <w:bottom w:val="nil"/>
              <w:right w:val="nil"/>
            </w:tcBorders>
            <w:shd w:val="clear" w:color="auto" w:fill="auto"/>
            <w:noWrap/>
            <w:vAlign w:val="bottom"/>
            <w:hideMark/>
          </w:tcPr>
          <w:p w14:paraId="7E1B9199" w14:textId="77777777" w:rsidR="00B82D39" w:rsidRPr="009E13A2" w:rsidRDefault="00B82D39" w:rsidP="00B82D39">
            <w:pPr>
              <w:rPr>
                <w:rFonts w:eastAsia="Times New Roman" w:cs="Arial"/>
                <w:sz w:val="20"/>
                <w:szCs w:val="20"/>
                <w:lang w:val="en-NZ"/>
              </w:rPr>
            </w:pPr>
          </w:p>
        </w:tc>
        <w:tc>
          <w:tcPr>
            <w:tcW w:w="222" w:type="dxa"/>
            <w:tcBorders>
              <w:top w:val="nil"/>
              <w:left w:val="nil"/>
              <w:bottom w:val="nil"/>
              <w:right w:val="nil"/>
            </w:tcBorders>
            <w:shd w:val="clear" w:color="auto" w:fill="auto"/>
            <w:noWrap/>
            <w:vAlign w:val="bottom"/>
            <w:hideMark/>
          </w:tcPr>
          <w:p w14:paraId="02AD9CBD" w14:textId="77777777" w:rsidR="00B82D39" w:rsidRPr="009E13A2" w:rsidRDefault="00B82D39" w:rsidP="00B82D39">
            <w:pPr>
              <w:rPr>
                <w:rFonts w:eastAsia="Times New Roman" w:cs="Arial"/>
                <w:sz w:val="20"/>
                <w:szCs w:val="20"/>
                <w:lang w:val="en-NZ"/>
              </w:rPr>
            </w:pPr>
          </w:p>
        </w:tc>
        <w:tc>
          <w:tcPr>
            <w:tcW w:w="1370" w:type="dxa"/>
            <w:tcBorders>
              <w:top w:val="nil"/>
              <w:left w:val="nil"/>
              <w:bottom w:val="nil"/>
              <w:right w:val="nil"/>
            </w:tcBorders>
            <w:shd w:val="clear" w:color="auto" w:fill="auto"/>
            <w:noWrap/>
            <w:vAlign w:val="bottom"/>
            <w:hideMark/>
          </w:tcPr>
          <w:p w14:paraId="59629F67"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378A1AB9"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nil"/>
            </w:tcBorders>
            <w:shd w:val="clear" w:color="auto" w:fill="auto"/>
            <w:noWrap/>
            <w:vAlign w:val="bottom"/>
            <w:hideMark/>
          </w:tcPr>
          <w:p w14:paraId="482FEFB1"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720B33E3"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single" w:sz="4" w:space="0" w:color="auto"/>
            </w:tcBorders>
            <w:shd w:val="clear" w:color="auto" w:fill="auto"/>
            <w:noWrap/>
            <w:vAlign w:val="bottom"/>
            <w:hideMark/>
          </w:tcPr>
          <w:p w14:paraId="32D27C75" w14:textId="77777777" w:rsidR="00B82D39" w:rsidRPr="009E13A2" w:rsidRDefault="00B82D39" w:rsidP="00B82D39">
            <w:pPr>
              <w:rPr>
                <w:rFonts w:eastAsia="Times New Roman" w:cs="Arial"/>
                <w:sz w:val="20"/>
                <w:szCs w:val="20"/>
                <w:lang w:val="en-NZ"/>
              </w:rPr>
            </w:pPr>
          </w:p>
        </w:tc>
      </w:tr>
      <w:tr w:rsidR="009E13A2" w:rsidRPr="009E13A2" w14:paraId="7C1B69D2"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48007D55"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Anti-personnel Mines</w:t>
            </w:r>
          </w:p>
        </w:tc>
        <w:tc>
          <w:tcPr>
            <w:tcW w:w="1370" w:type="dxa"/>
            <w:tcBorders>
              <w:top w:val="nil"/>
              <w:left w:val="nil"/>
              <w:bottom w:val="nil"/>
              <w:right w:val="nil"/>
            </w:tcBorders>
            <w:shd w:val="clear" w:color="auto" w:fill="auto"/>
            <w:noWrap/>
            <w:vAlign w:val="bottom"/>
            <w:hideMark/>
          </w:tcPr>
          <w:p w14:paraId="55D4F4C7"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2006</w:t>
            </w:r>
          </w:p>
        </w:tc>
        <w:tc>
          <w:tcPr>
            <w:tcW w:w="1236" w:type="dxa"/>
            <w:tcBorders>
              <w:top w:val="nil"/>
              <w:left w:val="nil"/>
              <w:bottom w:val="nil"/>
              <w:right w:val="nil"/>
            </w:tcBorders>
            <w:shd w:val="clear" w:color="auto" w:fill="auto"/>
            <w:noWrap/>
            <w:vAlign w:val="bottom"/>
            <w:hideMark/>
          </w:tcPr>
          <w:p w14:paraId="65BF5A65"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4</w:t>
            </w:r>
          </w:p>
        </w:tc>
        <w:tc>
          <w:tcPr>
            <w:tcW w:w="1240" w:type="dxa"/>
            <w:tcBorders>
              <w:top w:val="nil"/>
              <w:left w:val="nil"/>
              <w:bottom w:val="nil"/>
              <w:right w:val="nil"/>
            </w:tcBorders>
            <w:shd w:val="clear" w:color="auto" w:fill="auto"/>
            <w:noWrap/>
            <w:vAlign w:val="bottom"/>
            <w:hideMark/>
          </w:tcPr>
          <w:p w14:paraId="78FBC84D"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6E403C96"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5</w:t>
            </w:r>
          </w:p>
        </w:tc>
        <w:tc>
          <w:tcPr>
            <w:tcW w:w="1240" w:type="dxa"/>
            <w:tcBorders>
              <w:top w:val="nil"/>
              <w:left w:val="nil"/>
              <w:bottom w:val="nil"/>
              <w:right w:val="single" w:sz="4" w:space="0" w:color="auto"/>
            </w:tcBorders>
            <w:shd w:val="clear" w:color="auto" w:fill="auto"/>
            <w:noWrap/>
            <w:vAlign w:val="bottom"/>
            <w:hideMark/>
          </w:tcPr>
          <w:p w14:paraId="31614832" w14:textId="77777777" w:rsidR="00B82D39" w:rsidRPr="009E13A2" w:rsidRDefault="00B82D39" w:rsidP="00B82D39">
            <w:pPr>
              <w:rPr>
                <w:rFonts w:eastAsia="Times New Roman" w:cs="Arial"/>
                <w:sz w:val="20"/>
                <w:szCs w:val="20"/>
                <w:lang w:val="en-NZ"/>
              </w:rPr>
            </w:pPr>
          </w:p>
        </w:tc>
      </w:tr>
      <w:tr w:rsidR="009E13A2" w:rsidRPr="009E13A2" w14:paraId="6324FAF3"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42B79E51"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Cluster Munitions</w:t>
            </w:r>
          </w:p>
        </w:tc>
        <w:tc>
          <w:tcPr>
            <w:tcW w:w="1370" w:type="dxa"/>
            <w:tcBorders>
              <w:top w:val="nil"/>
              <w:left w:val="nil"/>
              <w:bottom w:val="nil"/>
              <w:right w:val="nil"/>
            </w:tcBorders>
            <w:shd w:val="clear" w:color="auto" w:fill="auto"/>
            <w:noWrap/>
            <w:vAlign w:val="bottom"/>
            <w:hideMark/>
          </w:tcPr>
          <w:p w14:paraId="19415B2D"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2008</w:t>
            </w:r>
          </w:p>
        </w:tc>
        <w:tc>
          <w:tcPr>
            <w:tcW w:w="1236" w:type="dxa"/>
            <w:tcBorders>
              <w:top w:val="nil"/>
              <w:left w:val="nil"/>
              <w:bottom w:val="nil"/>
              <w:right w:val="nil"/>
            </w:tcBorders>
            <w:shd w:val="clear" w:color="auto" w:fill="auto"/>
            <w:noWrap/>
            <w:vAlign w:val="bottom"/>
            <w:hideMark/>
          </w:tcPr>
          <w:p w14:paraId="7B538757"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11</w:t>
            </w:r>
          </w:p>
        </w:tc>
        <w:tc>
          <w:tcPr>
            <w:tcW w:w="1240" w:type="dxa"/>
            <w:tcBorders>
              <w:top w:val="nil"/>
              <w:left w:val="nil"/>
              <w:bottom w:val="nil"/>
              <w:right w:val="nil"/>
            </w:tcBorders>
            <w:shd w:val="clear" w:color="auto" w:fill="auto"/>
            <w:noWrap/>
            <w:vAlign w:val="bottom"/>
            <w:hideMark/>
          </w:tcPr>
          <w:p w14:paraId="4E7C0513"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06DB761C"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8</w:t>
            </w:r>
          </w:p>
        </w:tc>
        <w:tc>
          <w:tcPr>
            <w:tcW w:w="1240" w:type="dxa"/>
            <w:tcBorders>
              <w:top w:val="nil"/>
              <w:left w:val="nil"/>
              <w:bottom w:val="nil"/>
              <w:right w:val="single" w:sz="4" w:space="0" w:color="auto"/>
            </w:tcBorders>
            <w:shd w:val="clear" w:color="auto" w:fill="auto"/>
            <w:noWrap/>
            <w:vAlign w:val="bottom"/>
            <w:hideMark/>
          </w:tcPr>
          <w:p w14:paraId="2C4EB93C" w14:textId="77777777" w:rsidR="00B82D39" w:rsidRPr="009E13A2" w:rsidRDefault="00B82D39" w:rsidP="00B82D39">
            <w:pPr>
              <w:rPr>
                <w:rFonts w:eastAsia="Times New Roman" w:cs="Arial"/>
                <w:sz w:val="20"/>
                <w:szCs w:val="20"/>
                <w:lang w:val="en-NZ"/>
              </w:rPr>
            </w:pPr>
          </w:p>
        </w:tc>
      </w:tr>
      <w:tr w:rsidR="009E13A2" w:rsidRPr="009E13A2" w14:paraId="370866A6" w14:textId="77777777" w:rsidTr="00B82D39">
        <w:trPr>
          <w:trHeight w:val="296"/>
        </w:trPr>
        <w:tc>
          <w:tcPr>
            <w:tcW w:w="2238" w:type="dxa"/>
            <w:tcBorders>
              <w:top w:val="nil"/>
              <w:left w:val="single" w:sz="4" w:space="0" w:color="auto"/>
              <w:bottom w:val="nil"/>
              <w:right w:val="nil"/>
            </w:tcBorders>
            <w:shd w:val="clear" w:color="auto" w:fill="auto"/>
            <w:noWrap/>
            <w:vAlign w:val="bottom"/>
            <w:hideMark/>
          </w:tcPr>
          <w:p w14:paraId="1CBC3969"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Whaling</w:t>
            </w:r>
          </w:p>
        </w:tc>
        <w:tc>
          <w:tcPr>
            <w:tcW w:w="222" w:type="dxa"/>
            <w:tcBorders>
              <w:top w:val="nil"/>
              <w:left w:val="nil"/>
              <w:bottom w:val="nil"/>
              <w:right w:val="nil"/>
            </w:tcBorders>
            <w:shd w:val="clear" w:color="auto" w:fill="auto"/>
            <w:noWrap/>
            <w:vAlign w:val="bottom"/>
            <w:hideMark/>
          </w:tcPr>
          <w:p w14:paraId="7BF331A8" w14:textId="77777777" w:rsidR="00B82D39" w:rsidRPr="009E13A2" w:rsidRDefault="00B82D39" w:rsidP="00B82D39">
            <w:pPr>
              <w:rPr>
                <w:rFonts w:eastAsia="Times New Roman" w:cs="Arial"/>
                <w:sz w:val="20"/>
                <w:szCs w:val="20"/>
                <w:lang w:val="en-NZ"/>
              </w:rPr>
            </w:pPr>
          </w:p>
        </w:tc>
        <w:tc>
          <w:tcPr>
            <w:tcW w:w="1370" w:type="dxa"/>
            <w:tcBorders>
              <w:top w:val="nil"/>
              <w:left w:val="nil"/>
              <w:bottom w:val="nil"/>
              <w:right w:val="nil"/>
            </w:tcBorders>
            <w:shd w:val="clear" w:color="auto" w:fill="auto"/>
            <w:noWrap/>
            <w:vAlign w:val="bottom"/>
            <w:hideMark/>
          </w:tcPr>
          <w:p w14:paraId="3BC4E2EE"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2006</w:t>
            </w:r>
          </w:p>
        </w:tc>
        <w:tc>
          <w:tcPr>
            <w:tcW w:w="1236" w:type="dxa"/>
            <w:tcBorders>
              <w:top w:val="nil"/>
              <w:left w:val="nil"/>
              <w:bottom w:val="nil"/>
              <w:right w:val="nil"/>
            </w:tcBorders>
            <w:shd w:val="clear" w:color="auto" w:fill="auto"/>
            <w:noWrap/>
            <w:vAlign w:val="bottom"/>
            <w:hideMark/>
          </w:tcPr>
          <w:p w14:paraId="0B42A9B1"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1</w:t>
            </w:r>
          </w:p>
        </w:tc>
        <w:tc>
          <w:tcPr>
            <w:tcW w:w="1240" w:type="dxa"/>
            <w:tcBorders>
              <w:top w:val="nil"/>
              <w:left w:val="nil"/>
              <w:bottom w:val="nil"/>
              <w:right w:val="nil"/>
            </w:tcBorders>
            <w:shd w:val="clear" w:color="auto" w:fill="auto"/>
            <w:noWrap/>
            <w:vAlign w:val="bottom"/>
            <w:hideMark/>
          </w:tcPr>
          <w:p w14:paraId="1774ADFD"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72438FB5"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0</w:t>
            </w:r>
          </w:p>
        </w:tc>
        <w:tc>
          <w:tcPr>
            <w:tcW w:w="1240" w:type="dxa"/>
            <w:tcBorders>
              <w:top w:val="nil"/>
              <w:left w:val="nil"/>
              <w:bottom w:val="nil"/>
              <w:right w:val="single" w:sz="4" w:space="0" w:color="auto"/>
            </w:tcBorders>
            <w:shd w:val="clear" w:color="auto" w:fill="auto"/>
            <w:noWrap/>
            <w:vAlign w:val="bottom"/>
            <w:hideMark/>
          </w:tcPr>
          <w:p w14:paraId="24ED19ED" w14:textId="77777777" w:rsidR="00B82D39" w:rsidRPr="009E13A2" w:rsidRDefault="00B82D39" w:rsidP="00B82D39">
            <w:pPr>
              <w:rPr>
                <w:rFonts w:eastAsia="Times New Roman" w:cs="Arial"/>
                <w:sz w:val="20"/>
                <w:szCs w:val="20"/>
                <w:lang w:val="en-NZ"/>
              </w:rPr>
            </w:pPr>
          </w:p>
        </w:tc>
      </w:tr>
      <w:tr w:rsidR="009E13A2" w:rsidRPr="009E13A2" w14:paraId="15425685" w14:textId="77777777" w:rsidTr="00B82D39">
        <w:trPr>
          <w:trHeight w:val="296"/>
        </w:trPr>
        <w:tc>
          <w:tcPr>
            <w:tcW w:w="2238" w:type="dxa"/>
            <w:tcBorders>
              <w:top w:val="nil"/>
              <w:left w:val="single" w:sz="4" w:space="0" w:color="auto"/>
              <w:bottom w:val="nil"/>
              <w:right w:val="nil"/>
            </w:tcBorders>
            <w:shd w:val="clear" w:color="auto" w:fill="auto"/>
            <w:noWrap/>
            <w:vAlign w:val="bottom"/>
            <w:hideMark/>
          </w:tcPr>
          <w:p w14:paraId="5856C811"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Tobacco</w:t>
            </w:r>
          </w:p>
        </w:tc>
        <w:tc>
          <w:tcPr>
            <w:tcW w:w="222" w:type="dxa"/>
            <w:tcBorders>
              <w:top w:val="nil"/>
              <w:left w:val="nil"/>
              <w:bottom w:val="nil"/>
              <w:right w:val="nil"/>
            </w:tcBorders>
            <w:shd w:val="clear" w:color="auto" w:fill="auto"/>
            <w:noWrap/>
            <w:vAlign w:val="bottom"/>
            <w:hideMark/>
          </w:tcPr>
          <w:p w14:paraId="1446253F" w14:textId="77777777" w:rsidR="00B82D39" w:rsidRPr="009E13A2" w:rsidRDefault="00B82D39" w:rsidP="00B82D39">
            <w:pPr>
              <w:rPr>
                <w:rFonts w:eastAsia="Times New Roman" w:cs="Arial"/>
                <w:sz w:val="20"/>
                <w:szCs w:val="20"/>
                <w:lang w:val="en-NZ"/>
              </w:rPr>
            </w:pPr>
          </w:p>
        </w:tc>
        <w:tc>
          <w:tcPr>
            <w:tcW w:w="1370" w:type="dxa"/>
            <w:tcBorders>
              <w:top w:val="nil"/>
              <w:left w:val="nil"/>
              <w:bottom w:val="nil"/>
              <w:right w:val="nil"/>
            </w:tcBorders>
            <w:shd w:val="clear" w:color="auto" w:fill="auto"/>
            <w:noWrap/>
            <w:vAlign w:val="bottom"/>
            <w:hideMark/>
          </w:tcPr>
          <w:p w14:paraId="620F9908"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2007</w:t>
            </w:r>
          </w:p>
        </w:tc>
        <w:tc>
          <w:tcPr>
            <w:tcW w:w="1236" w:type="dxa"/>
            <w:tcBorders>
              <w:top w:val="nil"/>
              <w:left w:val="nil"/>
              <w:bottom w:val="nil"/>
              <w:right w:val="nil"/>
            </w:tcBorders>
            <w:shd w:val="clear" w:color="auto" w:fill="auto"/>
            <w:noWrap/>
            <w:vAlign w:val="bottom"/>
            <w:hideMark/>
          </w:tcPr>
          <w:p w14:paraId="0B6EBC20"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w:t>
            </w:r>
          </w:p>
        </w:tc>
        <w:tc>
          <w:tcPr>
            <w:tcW w:w="1240" w:type="dxa"/>
            <w:tcBorders>
              <w:top w:val="nil"/>
              <w:left w:val="nil"/>
              <w:bottom w:val="nil"/>
              <w:right w:val="nil"/>
            </w:tcBorders>
            <w:shd w:val="clear" w:color="auto" w:fill="auto"/>
            <w:noWrap/>
            <w:vAlign w:val="bottom"/>
            <w:hideMark/>
          </w:tcPr>
          <w:p w14:paraId="3233C089"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066E285B"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137</w:t>
            </w:r>
          </w:p>
        </w:tc>
        <w:tc>
          <w:tcPr>
            <w:tcW w:w="1240" w:type="dxa"/>
            <w:tcBorders>
              <w:top w:val="nil"/>
              <w:left w:val="nil"/>
              <w:bottom w:val="nil"/>
              <w:right w:val="single" w:sz="4" w:space="0" w:color="auto"/>
            </w:tcBorders>
            <w:shd w:val="clear" w:color="auto" w:fill="auto"/>
            <w:noWrap/>
            <w:vAlign w:val="bottom"/>
            <w:hideMark/>
          </w:tcPr>
          <w:p w14:paraId="4B0EE3B4" w14:textId="77777777" w:rsidR="00B82D39" w:rsidRPr="009E13A2" w:rsidRDefault="00B82D39" w:rsidP="00B82D39">
            <w:pPr>
              <w:rPr>
                <w:rFonts w:eastAsia="Times New Roman" w:cs="Arial"/>
                <w:sz w:val="20"/>
                <w:szCs w:val="20"/>
                <w:lang w:val="en-NZ"/>
              </w:rPr>
            </w:pPr>
          </w:p>
        </w:tc>
      </w:tr>
      <w:tr w:rsidR="009E13A2" w:rsidRPr="009E13A2" w14:paraId="33D340A3"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2CFDF5E6"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Nuclear Weapons</w:t>
            </w:r>
          </w:p>
        </w:tc>
        <w:tc>
          <w:tcPr>
            <w:tcW w:w="1370" w:type="dxa"/>
            <w:tcBorders>
              <w:top w:val="nil"/>
              <w:left w:val="nil"/>
              <w:bottom w:val="nil"/>
              <w:right w:val="nil"/>
            </w:tcBorders>
            <w:shd w:val="clear" w:color="auto" w:fill="auto"/>
            <w:noWrap/>
            <w:vAlign w:val="bottom"/>
            <w:hideMark/>
          </w:tcPr>
          <w:p w14:paraId="25CF3A45"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2008</w:t>
            </w:r>
          </w:p>
        </w:tc>
        <w:tc>
          <w:tcPr>
            <w:tcW w:w="1236" w:type="dxa"/>
            <w:tcBorders>
              <w:top w:val="nil"/>
              <w:left w:val="nil"/>
              <w:bottom w:val="nil"/>
              <w:right w:val="nil"/>
            </w:tcBorders>
            <w:shd w:val="clear" w:color="auto" w:fill="auto"/>
            <w:noWrap/>
            <w:vAlign w:val="bottom"/>
            <w:hideMark/>
          </w:tcPr>
          <w:p w14:paraId="19FB2802"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w:t>
            </w:r>
          </w:p>
        </w:tc>
        <w:tc>
          <w:tcPr>
            <w:tcW w:w="1240" w:type="dxa"/>
            <w:tcBorders>
              <w:top w:val="nil"/>
              <w:left w:val="nil"/>
              <w:bottom w:val="nil"/>
              <w:right w:val="nil"/>
            </w:tcBorders>
            <w:shd w:val="clear" w:color="auto" w:fill="auto"/>
            <w:noWrap/>
            <w:vAlign w:val="bottom"/>
            <w:hideMark/>
          </w:tcPr>
          <w:p w14:paraId="533A9E61"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0ADADE49"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9</w:t>
            </w:r>
          </w:p>
        </w:tc>
        <w:tc>
          <w:tcPr>
            <w:tcW w:w="1240" w:type="dxa"/>
            <w:tcBorders>
              <w:top w:val="nil"/>
              <w:left w:val="nil"/>
              <w:bottom w:val="nil"/>
              <w:right w:val="single" w:sz="4" w:space="0" w:color="auto"/>
            </w:tcBorders>
            <w:shd w:val="clear" w:color="auto" w:fill="auto"/>
            <w:noWrap/>
            <w:vAlign w:val="bottom"/>
            <w:hideMark/>
          </w:tcPr>
          <w:p w14:paraId="098E5158" w14:textId="77777777" w:rsidR="00B82D39" w:rsidRPr="009E13A2" w:rsidRDefault="00B82D39" w:rsidP="00B82D39">
            <w:pPr>
              <w:rPr>
                <w:rFonts w:eastAsia="Times New Roman" w:cs="Arial"/>
                <w:sz w:val="20"/>
                <w:szCs w:val="20"/>
                <w:lang w:val="en-NZ"/>
              </w:rPr>
            </w:pPr>
          </w:p>
        </w:tc>
      </w:tr>
      <w:tr w:rsidR="009E13A2" w:rsidRPr="009E13A2" w14:paraId="6D304DED"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4A637260"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Israel and Occupied</w:t>
            </w:r>
          </w:p>
        </w:tc>
        <w:tc>
          <w:tcPr>
            <w:tcW w:w="1370" w:type="dxa"/>
            <w:tcBorders>
              <w:top w:val="nil"/>
              <w:left w:val="nil"/>
              <w:bottom w:val="nil"/>
              <w:right w:val="nil"/>
            </w:tcBorders>
            <w:shd w:val="clear" w:color="auto" w:fill="auto"/>
            <w:noWrap/>
            <w:vAlign w:val="bottom"/>
            <w:hideMark/>
          </w:tcPr>
          <w:p w14:paraId="64279973"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5E36C30B"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nil"/>
            </w:tcBorders>
            <w:shd w:val="clear" w:color="auto" w:fill="auto"/>
            <w:noWrap/>
            <w:vAlign w:val="bottom"/>
            <w:hideMark/>
          </w:tcPr>
          <w:p w14:paraId="75E556E8"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7A440148"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single" w:sz="4" w:space="0" w:color="auto"/>
            </w:tcBorders>
            <w:shd w:val="clear" w:color="auto" w:fill="auto"/>
            <w:noWrap/>
            <w:vAlign w:val="bottom"/>
            <w:hideMark/>
          </w:tcPr>
          <w:p w14:paraId="1DF222DE" w14:textId="77777777" w:rsidR="00B82D39" w:rsidRPr="009E13A2" w:rsidRDefault="00B82D39" w:rsidP="00B82D39">
            <w:pPr>
              <w:rPr>
                <w:rFonts w:eastAsia="Times New Roman" w:cs="Arial"/>
                <w:sz w:val="20"/>
                <w:szCs w:val="20"/>
                <w:lang w:val="en-NZ"/>
              </w:rPr>
            </w:pPr>
          </w:p>
        </w:tc>
      </w:tr>
      <w:tr w:rsidR="009E13A2" w:rsidRPr="009E13A2" w14:paraId="66E903BC"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712A6E89"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Palestinian Territories</w:t>
            </w:r>
          </w:p>
        </w:tc>
        <w:tc>
          <w:tcPr>
            <w:tcW w:w="1370" w:type="dxa"/>
            <w:tcBorders>
              <w:top w:val="nil"/>
              <w:left w:val="nil"/>
              <w:bottom w:val="nil"/>
              <w:right w:val="nil"/>
            </w:tcBorders>
            <w:shd w:val="clear" w:color="auto" w:fill="auto"/>
            <w:noWrap/>
            <w:vAlign w:val="bottom"/>
            <w:hideMark/>
          </w:tcPr>
          <w:p w14:paraId="03DF7E47"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2012</w:t>
            </w:r>
          </w:p>
        </w:tc>
        <w:tc>
          <w:tcPr>
            <w:tcW w:w="2476" w:type="dxa"/>
            <w:gridSpan w:val="2"/>
            <w:tcBorders>
              <w:top w:val="nil"/>
              <w:left w:val="nil"/>
              <w:bottom w:val="nil"/>
              <w:right w:val="nil"/>
            </w:tcBorders>
            <w:shd w:val="clear" w:color="auto" w:fill="auto"/>
            <w:noWrap/>
            <w:vAlign w:val="bottom"/>
            <w:hideMark/>
          </w:tcPr>
          <w:p w14:paraId="2FFC0AB0" w14:textId="4F8625F8"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 xml:space="preserve">      3 + 1 subsidiary</w:t>
            </w:r>
          </w:p>
        </w:tc>
        <w:tc>
          <w:tcPr>
            <w:tcW w:w="1236" w:type="dxa"/>
            <w:tcBorders>
              <w:top w:val="nil"/>
              <w:left w:val="nil"/>
              <w:bottom w:val="nil"/>
              <w:right w:val="nil"/>
            </w:tcBorders>
            <w:shd w:val="clear" w:color="auto" w:fill="auto"/>
            <w:noWrap/>
            <w:vAlign w:val="bottom"/>
            <w:hideMark/>
          </w:tcPr>
          <w:p w14:paraId="7332D1CF"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5</w:t>
            </w:r>
          </w:p>
        </w:tc>
        <w:tc>
          <w:tcPr>
            <w:tcW w:w="1240" w:type="dxa"/>
            <w:tcBorders>
              <w:top w:val="nil"/>
              <w:left w:val="nil"/>
              <w:bottom w:val="nil"/>
              <w:right w:val="single" w:sz="4" w:space="0" w:color="auto"/>
            </w:tcBorders>
            <w:shd w:val="clear" w:color="auto" w:fill="auto"/>
            <w:noWrap/>
            <w:vAlign w:val="bottom"/>
            <w:hideMark/>
          </w:tcPr>
          <w:p w14:paraId="7FA7E429" w14:textId="77777777" w:rsidR="00B82D39" w:rsidRPr="009E13A2" w:rsidRDefault="00B82D39" w:rsidP="00B82D39">
            <w:pPr>
              <w:rPr>
                <w:rFonts w:eastAsia="Times New Roman" w:cs="Arial"/>
                <w:sz w:val="20"/>
                <w:szCs w:val="20"/>
                <w:lang w:val="en-NZ"/>
              </w:rPr>
            </w:pPr>
          </w:p>
        </w:tc>
      </w:tr>
      <w:tr w:rsidR="009E13A2" w:rsidRPr="009E13A2" w14:paraId="5B31FEB1"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14413378" w14:textId="546A8EBD"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Environmental/Safety/</w:t>
            </w:r>
          </w:p>
        </w:tc>
        <w:tc>
          <w:tcPr>
            <w:tcW w:w="1370" w:type="dxa"/>
            <w:tcBorders>
              <w:top w:val="nil"/>
              <w:left w:val="nil"/>
              <w:bottom w:val="nil"/>
              <w:right w:val="nil"/>
            </w:tcBorders>
            <w:shd w:val="clear" w:color="auto" w:fill="auto"/>
            <w:noWrap/>
            <w:vAlign w:val="bottom"/>
            <w:hideMark/>
          </w:tcPr>
          <w:p w14:paraId="246032D9"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198B87C6"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nil"/>
            </w:tcBorders>
            <w:shd w:val="clear" w:color="auto" w:fill="auto"/>
            <w:noWrap/>
            <w:vAlign w:val="bottom"/>
            <w:hideMark/>
          </w:tcPr>
          <w:p w14:paraId="18E481B6"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1150E13C" w14:textId="77777777" w:rsidR="00B82D39" w:rsidRPr="009E13A2" w:rsidRDefault="00B82D39" w:rsidP="00B82D39">
            <w:pPr>
              <w:rPr>
                <w:rFonts w:eastAsia="Times New Roman" w:cs="Arial"/>
                <w:sz w:val="20"/>
                <w:szCs w:val="20"/>
                <w:lang w:val="en-NZ"/>
              </w:rPr>
            </w:pPr>
          </w:p>
        </w:tc>
        <w:tc>
          <w:tcPr>
            <w:tcW w:w="1240" w:type="dxa"/>
            <w:tcBorders>
              <w:top w:val="nil"/>
              <w:left w:val="nil"/>
              <w:bottom w:val="nil"/>
              <w:right w:val="single" w:sz="4" w:space="0" w:color="auto"/>
            </w:tcBorders>
            <w:shd w:val="clear" w:color="auto" w:fill="auto"/>
            <w:noWrap/>
            <w:vAlign w:val="bottom"/>
            <w:hideMark/>
          </w:tcPr>
          <w:p w14:paraId="66DD8486" w14:textId="77777777" w:rsidR="00B82D39" w:rsidRPr="009E13A2" w:rsidRDefault="00B82D39" w:rsidP="00B82D39">
            <w:pPr>
              <w:rPr>
                <w:rFonts w:eastAsia="Times New Roman" w:cs="Arial"/>
                <w:sz w:val="20"/>
                <w:szCs w:val="20"/>
                <w:lang w:val="en-NZ"/>
              </w:rPr>
            </w:pPr>
          </w:p>
        </w:tc>
      </w:tr>
      <w:tr w:rsidR="009E13A2" w:rsidRPr="009E13A2" w14:paraId="087A8839" w14:textId="77777777" w:rsidTr="00B82D39">
        <w:trPr>
          <w:trHeight w:val="296"/>
        </w:trPr>
        <w:tc>
          <w:tcPr>
            <w:tcW w:w="2460" w:type="dxa"/>
            <w:gridSpan w:val="2"/>
            <w:tcBorders>
              <w:top w:val="nil"/>
              <w:left w:val="single" w:sz="4" w:space="0" w:color="auto"/>
              <w:bottom w:val="nil"/>
              <w:right w:val="nil"/>
            </w:tcBorders>
            <w:shd w:val="clear" w:color="auto" w:fill="auto"/>
            <w:noWrap/>
            <w:vAlign w:val="bottom"/>
            <w:hideMark/>
          </w:tcPr>
          <w:p w14:paraId="2804A95D" w14:textId="77777777" w:rsidR="00B82D39" w:rsidRPr="009E13A2" w:rsidRDefault="00B82D39" w:rsidP="00B82D39">
            <w:pPr>
              <w:rPr>
                <w:rFonts w:eastAsia="Times New Roman" w:cs="Arial"/>
                <w:sz w:val="20"/>
                <w:szCs w:val="20"/>
                <w:lang w:val="en-NZ"/>
              </w:rPr>
            </w:pPr>
            <w:r w:rsidRPr="009E13A2">
              <w:rPr>
                <w:rFonts w:eastAsia="Times New Roman" w:cs="Arial"/>
                <w:sz w:val="20"/>
                <w:szCs w:val="20"/>
                <w:lang w:val="en-NZ"/>
              </w:rPr>
              <w:t>Human Rights</w:t>
            </w:r>
          </w:p>
        </w:tc>
        <w:tc>
          <w:tcPr>
            <w:tcW w:w="1370" w:type="dxa"/>
            <w:tcBorders>
              <w:top w:val="nil"/>
              <w:left w:val="nil"/>
              <w:bottom w:val="nil"/>
              <w:right w:val="nil"/>
            </w:tcBorders>
            <w:shd w:val="clear" w:color="auto" w:fill="auto"/>
            <w:noWrap/>
            <w:vAlign w:val="bottom"/>
            <w:hideMark/>
          </w:tcPr>
          <w:p w14:paraId="55E21F30"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2012</w:t>
            </w:r>
          </w:p>
        </w:tc>
        <w:tc>
          <w:tcPr>
            <w:tcW w:w="1236" w:type="dxa"/>
            <w:tcBorders>
              <w:top w:val="nil"/>
              <w:left w:val="nil"/>
              <w:bottom w:val="nil"/>
              <w:right w:val="nil"/>
            </w:tcBorders>
            <w:shd w:val="clear" w:color="auto" w:fill="auto"/>
            <w:noWrap/>
            <w:vAlign w:val="bottom"/>
            <w:hideMark/>
          </w:tcPr>
          <w:p w14:paraId="5ED35C70"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4</w:t>
            </w:r>
          </w:p>
        </w:tc>
        <w:tc>
          <w:tcPr>
            <w:tcW w:w="1240" w:type="dxa"/>
            <w:tcBorders>
              <w:top w:val="nil"/>
              <w:left w:val="nil"/>
              <w:bottom w:val="nil"/>
              <w:right w:val="nil"/>
            </w:tcBorders>
            <w:shd w:val="clear" w:color="auto" w:fill="auto"/>
            <w:noWrap/>
            <w:vAlign w:val="bottom"/>
            <w:hideMark/>
          </w:tcPr>
          <w:p w14:paraId="6D8E1305" w14:textId="77777777" w:rsidR="00B82D39" w:rsidRPr="009E13A2" w:rsidRDefault="00B82D39" w:rsidP="00B82D39">
            <w:pPr>
              <w:rPr>
                <w:rFonts w:eastAsia="Times New Roman" w:cs="Arial"/>
                <w:sz w:val="20"/>
                <w:szCs w:val="20"/>
                <w:lang w:val="en-NZ"/>
              </w:rPr>
            </w:pPr>
          </w:p>
        </w:tc>
        <w:tc>
          <w:tcPr>
            <w:tcW w:w="1236" w:type="dxa"/>
            <w:tcBorders>
              <w:top w:val="nil"/>
              <w:left w:val="nil"/>
              <w:bottom w:val="nil"/>
              <w:right w:val="nil"/>
            </w:tcBorders>
            <w:shd w:val="clear" w:color="auto" w:fill="auto"/>
            <w:noWrap/>
            <w:vAlign w:val="bottom"/>
            <w:hideMark/>
          </w:tcPr>
          <w:p w14:paraId="7E7C9AF4" w14:textId="77777777" w:rsidR="00B82D39" w:rsidRPr="009E13A2" w:rsidRDefault="00B82D39" w:rsidP="00B82D39">
            <w:pPr>
              <w:jc w:val="right"/>
              <w:rPr>
                <w:rFonts w:eastAsia="Times New Roman" w:cs="Arial"/>
                <w:sz w:val="20"/>
                <w:szCs w:val="20"/>
                <w:lang w:val="en-NZ"/>
              </w:rPr>
            </w:pPr>
            <w:r w:rsidRPr="009E13A2">
              <w:rPr>
                <w:rFonts w:eastAsia="Times New Roman" w:cs="Arial"/>
                <w:sz w:val="20"/>
                <w:szCs w:val="20"/>
                <w:lang w:val="en-NZ"/>
              </w:rPr>
              <w:t>6</w:t>
            </w:r>
          </w:p>
        </w:tc>
        <w:tc>
          <w:tcPr>
            <w:tcW w:w="1240" w:type="dxa"/>
            <w:tcBorders>
              <w:top w:val="nil"/>
              <w:left w:val="nil"/>
              <w:bottom w:val="nil"/>
              <w:right w:val="single" w:sz="4" w:space="0" w:color="auto"/>
            </w:tcBorders>
            <w:shd w:val="clear" w:color="auto" w:fill="auto"/>
            <w:noWrap/>
            <w:vAlign w:val="bottom"/>
            <w:hideMark/>
          </w:tcPr>
          <w:p w14:paraId="0D517177" w14:textId="77777777" w:rsidR="00B82D39" w:rsidRPr="009E13A2" w:rsidRDefault="00B82D39" w:rsidP="00B82D39">
            <w:pPr>
              <w:rPr>
                <w:rFonts w:eastAsia="Times New Roman" w:cs="Arial"/>
                <w:sz w:val="20"/>
                <w:szCs w:val="20"/>
                <w:lang w:val="en-NZ"/>
              </w:rPr>
            </w:pPr>
          </w:p>
        </w:tc>
      </w:tr>
      <w:tr w:rsidR="009E13A2" w:rsidRPr="009E13A2" w14:paraId="070F0FA7" w14:textId="77777777" w:rsidTr="00B82D39">
        <w:trPr>
          <w:trHeight w:val="296"/>
        </w:trPr>
        <w:tc>
          <w:tcPr>
            <w:tcW w:w="2238" w:type="dxa"/>
            <w:tcBorders>
              <w:top w:val="nil"/>
              <w:left w:val="single" w:sz="4" w:space="0" w:color="auto"/>
              <w:bottom w:val="single" w:sz="4" w:space="0" w:color="auto"/>
              <w:right w:val="nil"/>
            </w:tcBorders>
            <w:shd w:val="clear" w:color="auto" w:fill="auto"/>
            <w:noWrap/>
            <w:vAlign w:val="bottom"/>
            <w:hideMark/>
          </w:tcPr>
          <w:p w14:paraId="5FC8A9B4" w14:textId="77777777" w:rsidR="00B82D39" w:rsidRPr="009E13A2" w:rsidRDefault="00B82D39" w:rsidP="00B82D39">
            <w:pPr>
              <w:rPr>
                <w:rFonts w:eastAsia="Times New Roman" w:cs="Arial"/>
                <w:sz w:val="20"/>
                <w:szCs w:val="20"/>
                <w:lang w:val="en-NZ"/>
              </w:rPr>
            </w:pPr>
          </w:p>
        </w:tc>
        <w:tc>
          <w:tcPr>
            <w:tcW w:w="222" w:type="dxa"/>
            <w:tcBorders>
              <w:top w:val="nil"/>
              <w:left w:val="nil"/>
              <w:bottom w:val="single" w:sz="4" w:space="0" w:color="auto"/>
              <w:right w:val="nil"/>
            </w:tcBorders>
            <w:shd w:val="clear" w:color="auto" w:fill="auto"/>
            <w:noWrap/>
            <w:vAlign w:val="bottom"/>
            <w:hideMark/>
          </w:tcPr>
          <w:p w14:paraId="302344AB" w14:textId="77777777" w:rsidR="00B82D39" w:rsidRPr="009E13A2" w:rsidRDefault="00B82D39" w:rsidP="00B82D39">
            <w:pPr>
              <w:rPr>
                <w:rFonts w:eastAsia="Times New Roman" w:cs="Arial"/>
                <w:sz w:val="20"/>
                <w:szCs w:val="20"/>
                <w:lang w:val="en-NZ"/>
              </w:rPr>
            </w:pPr>
          </w:p>
        </w:tc>
        <w:tc>
          <w:tcPr>
            <w:tcW w:w="1370" w:type="dxa"/>
            <w:tcBorders>
              <w:top w:val="nil"/>
              <w:left w:val="nil"/>
              <w:bottom w:val="single" w:sz="4" w:space="0" w:color="auto"/>
              <w:right w:val="nil"/>
            </w:tcBorders>
            <w:shd w:val="clear" w:color="auto" w:fill="auto"/>
            <w:noWrap/>
            <w:vAlign w:val="bottom"/>
            <w:hideMark/>
          </w:tcPr>
          <w:p w14:paraId="540E2BA3" w14:textId="77777777" w:rsidR="00B82D39" w:rsidRPr="009E13A2" w:rsidRDefault="00B82D39" w:rsidP="00B82D39">
            <w:pPr>
              <w:rPr>
                <w:rFonts w:eastAsia="Times New Roman" w:cs="Arial"/>
                <w:sz w:val="20"/>
                <w:szCs w:val="20"/>
                <w:lang w:val="en-NZ"/>
              </w:rPr>
            </w:pPr>
          </w:p>
        </w:tc>
        <w:tc>
          <w:tcPr>
            <w:tcW w:w="1236" w:type="dxa"/>
            <w:tcBorders>
              <w:top w:val="nil"/>
              <w:left w:val="nil"/>
              <w:bottom w:val="single" w:sz="4" w:space="0" w:color="auto"/>
              <w:right w:val="nil"/>
            </w:tcBorders>
            <w:shd w:val="clear" w:color="auto" w:fill="auto"/>
            <w:noWrap/>
            <w:vAlign w:val="bottom"/>
            <w:hideMark/>
          </w:tcPr>
          <w:p w14:paraId="3EACEC0C" w14:textId="77777777" w:rsidR="00B82D39" w:rsidRPr="009E13A2" w:rsidRDefault="00B82D39" w:rsidP="00B82D39">
            <w:pPr>
              <w:rPr>
                <w:rFonts w:eastAsia="Times New Roman" w:cs="Arial"/>
                <w:sz w:val="20"/>
                <w:szCs w:val="20"/>
                <w:lang w:val="en-NZ"/>
              </w:rPr>
            </w:pPr>
          </w:p>
        </w:tc>
        <w:tc>
          <w:tcPr>
            <w:tcW w:w="1240" w:type="dxa"/>
            <w:tcBorders>
              <w:top w:val="nil"/>
              <w:left w:val="nil"/>
              <w:bottom w:val="single" w:sz="4" w:space="0" w:color="auto"/>
              <w:right w:val="nil"/>
            </w:tcBorders>
            <w:shd w:val="clear" w:color="auto" w:fill="auto"/>
            <w:noWrap/>
            <w:vAlign w:val="bottom"/>
            <w:hideMark/>
          </w:tcPr>
          <w:p w14:paraId="0AE86E6A" w14:textId="77777777" w:rsidR="00B82D39" w:rsidRPr="009E13A2" w:rsidRDefault="00B82D39" w:rsidP="00B82D39">
            <w:pPr>
              <w:rPr>
                <w:rFonts w:eastAsia="Times New Roman" w:cs="Arial"/>
                <w:sz w:val="20"/>
                <w:szCs w:val="20"/>
                <w:lang w:val="en-NZ"/>
              </w:rPr>
            </w:pPr>
          </w:p>
        </w:tc>
        <w:tc>
          <w:tcPr>
            <w:tcW w:w="1236" w:type="dxa"/>
            <w:tcBorders>
              <w:top w:val="nil"/>
              <w:left w:val="nil"/>
              <w:bottom w:val="single" w:sz="4" w:space="0" w:color="auto"/>
              <w:right w:val="nil"/>
            </w:tcBorders>
            <w:shd w:val="clear" w:color="auto" w:fill="auto"/>
            <w:noWrap/>
            <w:vAlign w:val="bottom"/>
            <w:hideMark/>
          </w:tcPr>
          <w:p w14:paraId="11E09B1F" w14:textId="77777777" w:rsidR="00B82D39" w:rsidRPr="009E13A2" w:rsidRDefault="00B82D39" w:rsidP="00B82D39">
            <w:pPr>
              <w:rPr>
                <w:rFonts w:eastAsia="Times New Roman" w:cs="Arial"/>
                <w:sz w:val="20"/>
                <w:szCs w:val="20"/>
                <w:lang w:val="en-NZ"/>
              </w:rPr>
            </w:pPr>
          </w:p>
        </w:tc>
        <w:tc>
          <w:tcPr>
            <w:tcW w:w="1240" w:type="dxa"/>
            <w:tcBorders>
              <w:top w:val="nil"/>
              <w:left w:val="nil"/>
              <w:bottom w:val="single" w:sz="4" w:space="0" w:color="auto"/>
              <w:right w:val="single" w:sz="4" w:space="0" w:color="auto"/>
            </w:tcBorders>
            <w:shd w:val="clear" w:color="auto" w:fill="auto"/>
            <w:noWrap/>
            <w:vAlign w:val="bottom"/>
            <w:hideMark/>
          </w:tcPr>
          <w:p w14:paraId="70ABBA18" w14:textId="77777777" w:rsidR="00B82D39" w:rsidRPr="009E13A2" w:rsidRDefault="00B82D39" w:rsidP="00B82D39">
            <w:pPr>
              <w:rPr>
                <w:rFonts w:eastAsia="Times New Roman" w:cs="Arial"/>
                <w:sz w:val="20"/>
                <w:szCs w:val="20"/>
                <w:lang w:val="en-NZ"/>
              </w:rPr>
            </w:pPr>
          </w:p>
        </w:tc>
      </w:tr>
      <w:tr w:rsidR="009E13A2" w:rsidRPr="009E13A2" w14:paraId="7107DFA3" w14:textId="77777777" w:rsidTr="00B82D39">
        <w:trPr>
          <w:trHeight w:val="296"/>
        </w:trPr>
        <w:tc>
          <w:tcPr>
            <w:tcW w:w="2238" w:type="dxa"/>
            <w:tcBorders>
              <w:top w:val="single" w:sz="4" w:space="0" w:color="auto"/>
              <w:left w:val="nil"/>
              <w:bottom w:val="nil"/>
              <w:right w:val="nil"/>
            </w:tcBorders>
            <w:shd w:val="clear" w:color="auto" w:fill="auto"/>
            <w:noWrap/>
            <w:vAlign w:val="bottom"/>
            <w:hideMark/>
          </w:tcPr>
          <w:p w14:paraId="67D8208E" w14:textId="77777777" w:rsidR="00B82D39" w:rsidRPr="009E13A2" w:rsidRDefault="00B82D39" w:rsidP="00B82D39">
            <w:pPr>
              <w:rPr>
                <w:rFonts w:ascii="Calibri" w:eastAsia="Times New Roman" w:hAnsi="Calibri" w:cs="Times New Roman"/>
                <w:sz w:val="24"/>
                <w:lang w:val="en-NZ"/>
              </w:rPr>
            </w:pPr>
          </w:p>
        </w:tc>
        <w:tc>
          <w:tcPr>
            <w:tcW w:w="222" w:type="dxa"/>
            <w:tcBorders>
              <w:top w:val="single" w:sz="4" w:space="0" w:color="auto"/>
              <w:left w:val="nil"/>
              <w:bottom w:val="nil"/>
              <w:right w:val="nil"/>
            </w:tcBorders>
            <w:shd w:val="clear" w:color="auto" w:fill="auto"/>
            <w:noWrap/>
            <w:vAlign w:val="bottom"/>
            <w:hideMark/>
          </w:tcPr>
          <w:p w14:paraId="6965CBD6" w14:textId="77777777" w:rsidR="00B82D39" w:rsidRPr="009E13A2" w:rsidRDefault="00B82D39" w:rsidP="00B82D39">
            <w:pPr>
              <w:rPr>
                <w:rFonts w:ascii="Calibri" w:eastAsia="Times New Roman" w:hAnsi="Calibri" w:cs="Times New Roman"/>
                <w:sz w:val="24"/>
                <w:lang w:val="en-NZ"/>
              </w:rPr>
            </w:pPr>
          </w:p>
        </w:tc>
        <w:tc>
          <w:tcPr>
            <w:tcW w:w="1370" w:type="dxa"/>
            <w:tcBorders>
              <w:top w:val="single" w:sz="4" w:space="0" w:color="auto"/>
              <w:left w:val="nil"/>
              <w:bottom w:val="nil"/>
              <w:right w:val="nil"/>
            </w:tcBorders>
            <w:shd w:val="clear" w:color="auto" w:fill="auto"/>
            <w:noWrap/>
            <w:vAlign w:val="bottom"/>
            <w:hideMark/>
          </w:tcPr>
          <w:p w14:paraId="0149D24C" w14:textId="77777777" w:rsidR="00B82D39" w:rsidRPr="009E13A2" w:rsidRDefault="00B82D39" w:rsidP="00B82D39">
            <w:pPr>
              <w:rPr>
                <w:rFonts w:ascii="Calibri" w:eastAsia="Times New Roman" w:hAnsi="Calibri" w:cs="Times New Roman"/>
                <w:sz w:val="24"/>
                <w:lang w:val="en-NZ"/>
              </w:rPr>
            </w:pPr>
          </w:p>
        </w:tc>
        <w:tc>
          <w:tcPr>
            <w:tcW w:w="1236" w:type="dxa"/>
            <w:tcBorders>
              <w:top w:val="single" w:sz="4" w:space="0" w:color="auto"/>
              <w:left w:val="nil"/>
              <w:bottom w:val="nil"/>
              <w:right w:val="nil"/>
            </w:tcBorders>
            <w:shd w:val="clear" w:color="auto" w:fill="auto"/>
            <w:noWrap/>
            <w:vAlign w:val="bottom"/>
            <w:hideMark/>
          </w:tcPr>
          <w:p w14:paraId="08156343" w14:textId="77777777" w:rsidR="00B82D39" w:rsidRPr="009E13A2" w:rsidRDefault="00B82D39" w:rsidP="00B82D39">
            <w:pPr>
              <w:rPr>
                <w:rFonts w:ascii="Calibri" w:eastAsia="Times New Roman" w:hAnsi="Calibri" w:cs="Times New Roman"/>
                <w:sz w:val="24"/>
                <w:lang w:val="en-NZ"/>
              </w:rPr>
            </w:pPr>
          </w:p>
        </w:tc>
        <w:tc>
          <w:tcPr>
            <w:tcW w:w="1240" w:type="dxa"/>
            <w:tcBorders>
              <w:top w:val="single" w:sz="4" w:space="0" w:color="auto"/>
              <w:left w:val="nil"/>
              <w:bottom w:val="nil"/>
              <w:right w:val="nil"/>
            </w:tcBorders>
            <w:shd w:val="clear" w:color="auto" w:fill="auto"/>
            <w:noWrap/>
            <w:vAlign w:val="bottom"/>
            <w:hideMark/>
          </w:tcPr>
          <w:p w14:paraId="378DB6EA" w14:textId="77777777" w:rsidR="00B82D39" w:rsidRPr="009E13A2" w:rsidRDefault="00B82D39" w:rsidP="00B82D39">
            <w:pPr>
              <w:rPr>
                <w:rFonts w:ascii="Calibri" w:eastAsia="Times New Roman" w:hAnsi="Calibri" w:cs="Times New Roman"/>
                <w:sz w:val="24"/>
                <w:lang w:val="en-NZ"/>
              </w:rPr>
            </w:pPr>
          </w:p>
        </w:tc>
        <w:tc>
          <w:tcPr>
            <w:tcW w:w="1236" w:type="dxa"/>
            <w:tcBorders>
              <w:top w:val="single" w:sz="4" w:space="0" w:color="auto"/>
              <w:left w:val="nil"/>
              <w:bottom w:val="nil"/>
              <w:right w:val="nil"/>
            </w:tcBorders>
            <w:shd w:val="clear" w:color="auto" w:fill="auto"/>
            <w:noWrap/>
            <w:vAlign w:val="bottom"/>
            <w:hideMark/>
          </w:tcPr>
          <w:p w14:paraId="52AF0F7A" w14:textId="77777777" w:rsidR="00B82D39" w:rsidRPr="009E13A2" w:rsidRDefault="00B82D39" w:rsidP="00B82D39">
            <w:pPr>
              <w:rPr>
                <w:rFonts w:ascii="Calibri" w:eastAsia="Times New Roman" w:hAnsi="Calibri" w:cs="Times New Roman"/>
                <w:sz w:val="24"/>
                <w:lang w:val="en-NZ"/>
              </w:rPr>
            </w:pPr>
          </w:p>
        </w:tc>
        <w:tc>
          <w:tcPr>
            <w:tcW w:w="1240" w:type="dxa"/>
            <w:tcBorders>
              <w:top w:val="single" w:sz="4" w:space="0" w:color="auto"/>
              <w:left w:val="nil"/>
              <w:bottom w:val="nil"/>
              <w:right w:val="nil"/>
            </w:tcBorders>
            <w:shd w:val="clear" w:color="auto" w:fill="auto"/>
            <w:noWrap/>
            <w:vAlign w:val="bottom"/>
            <w:hideMark/>
          </w:tcPr>
          <w:p w14:paraId="20F1A306" w14:textId="77777777" w:rsidR="00B82D39" w:rsidRPr="009E13A2" w:rsidRDefault="00B82D39" w:rsidP="00B82D39">
            <w:pPr>
              <w:rPr>
                <w:rFonts w:ascii="Calibri" w:eastAsia="Times New Roman" w:hAnsi="Calibri" w:cs="Times New Roman"/>
                <w:sz w:val="24"/>
                <w:lang w:val="en-NZ"/>
              </w:rPr>
            </w:pPr>
          </w:p>
        </w:tc>
      </w:tr>
    </w:tbl>
    <w:p w14:paraId="7CFD256E" w14:textId="77777777" w:rsidR="00DF0CB2" w:rsidRPr="009E13A2" w:rsidRDefault="00DF0CB2" w:rsidP="00DF0CB2">
      <w:pPr>
        <w:rPr>
          <w:rFonts w:ascii="Times" w:eastAsia="Times New Roman" w:hAnsi="Times" w:cs="Times New Roman"/>
          <w:sz w:val="20"/>
          <w:szCs w:val="20"/>
          <w:lang w:val="en-NZ"/>
        </w:rPr>
      </w:pPr>
    </w:p>
    <w:p w14:paraId="0B5985E2" w14:textId="1B8D4EC5" w:rsidR="004A15D5" w:rsidRPr="009E13A2" w:rsidRDefault="00695755" w:rsidP="004A15D5">
      <w:pPr>
        <w:rPr>
          <w:rFonts w:eastAsia="Times New Roman" w:cs="Arial"/>
          <w:szCs w:val="22"/>
          <w:lang w:val="en-NZ"/>
        </w:rPr>
      </w:pPr>
      <w:r w:rsidRPr="009E13A2">
        <w:rPr>
          <w:rFonts w:eastAsia="Times New Roman" w:cs="Arial"/>
          <w:szCs w:val="22"/>
          <w:lang w:val="en-NZ"/>
        </w:rPr>
        <w:t>[</w:t>
      </w:r>
      <w:r w:rsidR="004A15D5" w:rsidRPr="009E13A2">
        <w:rPr>
          <w:rFonts w:eastAsia="Times New Roman" w:cs="Arial"/>
          <w:szCs w:val="22"/>
          <w:lang w:val="en-NZ"/>
        </w:rPr>
        <w:t>NB There is duplication among the companies that have been excluded in these categories. Four of the five companies currently excluded for APMs are also involved in the manufacture of cluster munitions. A company may be excluded from the Fund even if it is not in the Fund’s portfolio at the time. In these cases there has been no ‘divestment’ as such, as the company was not held in the portfolio. The exclusion prevents the company from entering the Fund at a later date.</w:t>
      </w:r>
      <w:r w:rsidRPr="009E13A2">
        <w:rPr>
          <w:rFonts w:eastAsia="Times New Roman" w:cs="Arial"/>
          <w:szCs w:val="22"/>
          <w:lang w:val="en-NZ"/>
        </w:rPr>
        <w:t>]</w:t>
      </w:r>
      <w:r w:rsidR="00521E23" w:rsidRPr="009E13A2">
        <w:rPr>
          <w:rFonts w:eastAsia="Times New Roman" w:cs="Arial"/>
          <w:szCs w:val="22"/>
          <w:lang w:val="en-NZ"/>
        </w:rPr>
        <w:t xml:space="preserve">  </w:t>
      </w:r>
    </w:p>
    <w:p w14:paraId="517F7099" w14:textId="77777777" w:rsidR="00521E23" w:rsidRPr="009E13A2" w:rsidRDefault="00521E23" w:rsidP="004A15D5">
      <w:pPr>
        <w:rPr>
          <w:rFonts w:eastAsia="Times New Roman" w:cs="Arial"/>
          <w:szCs w:val="22"/>
          <w:lang w:val="en-NZ"/>
        </w:rPr>
      </w:pPr>
    </w:p>
    <w:p w14:paraId="683A495B" w14:textId="59B10D43" w:rsidR="00521E23" w:rsidRPr="009E13A2" w:rsidRDefault="00521E23" w:rsidP="004A15D5">
      <w:pPr>
        <w:rPr>
          <w:rFonts w:eastAsia="Times New Roman" w:cs="Arial"/>
          <w:szCs w:val="22"/>
          <w:lang w:val="en-NZ"/>
        </w:rPr>
      </w:pPr>
      <w:r w:rsidRPr="009E13A2">
        <w:rPr>
          <w:rFonts w:eastAsia="Times New Roman" w:cs="Arial"/>
          <w:szCs w:val="22"/>
          <w:lang w:val="en-NZ"/>
        </w:rPr>
        <w:t xml:space="preserve">It defies common sense not to expect </w:t>
      </w:r>
      <w:r w:rsidR="00C96928" w:rsidRPr="009E13A2">
        <w:rPr>
          <w:rFonts w:eastAsia="Times New Roman" w:cs="Arial"/>
          <w:szCs w:val="22"/>
          <w:lang w:val="en-NZ"/>
        </w:rPr>
        <w:t>many more companies than six to be excluded for environmental, safety and human rights abuses.</w:t>
      </w:r>
    </w:p>
    <w:p w14:paraId="28478769" w14:textId="77777777" w:rsidR="005A35B0" w:rsidRPr="009E13A2" w:rsidRDefault="005A35B0" w:rsidP="004A15D5">
      <w:pPr>
        <w:rPr>
          <w:rFonts w:eastAsia="Times New Roman" w:cs="Arial"/>
          <w:szCs w:val="22"/>
          <w:lang w:val="en-NZ"/>
        </w:rPr>
      </w:pPr>
    </w:p>
    <w:p w14:paraId="5B2288B5" w14:textId="77777777" w:rsidR="005A35B0" w:rsidRPr="009E13A2" w:rsidRDefault="005A35B0" w:rsidP="004A15D5">
      <w:pPr>
        <w:rPr>
          <w:rFonts w:eastAsia="Times New Roman" w:cs="Arial"/>
          <w:szCs w:val="22"/>
          <w:lang w:val="en-NZ"/>
        </w:rPr>
      </w:pPr>
    </w:p>
    <w:tbl>
      <w:tblPr>
        <w:tblW w:w="8480" w:type="dxa"/>
        <w:tblInd w:w="93" w:type="dxa"/>
        <w:tblLook w:val="04A0" w:firstRow="1" w:lastRow="0" w:firstColumn="1" w:lastColumn="0" w:noHBand="0" w:noVBand="1"/>
      </w:tblPr>
      <w:tblGrid>
        <w:gridCol w:w="483"/>
        <w:gridCol w:w="4914"/>
        <w:gridCol w:w="483"/>
        <w:gridCol w:w="1300"/>
        <w:gridCol w:w="1300"/>
      </w:tblGrid>
      <w:tr w:rsidR="009E13A2" w:rsidRPr="009E13A2" w14:paraId="4AC65FDF" w14:textId="77777777" w:rsidTr="005A35B0">
        <w:trPr>
          <w:trHeight w:val="360"/>
        </w:trPr>
        <w:tc>
          <w:tcPr>
            <w:tcW w:w="5880" w:type="dxa"/>
            <w:gridSpan w:val="3"/>
            <w:tcBorders>
              <w:top w:val="single" w:sz="8" w:space="0" w:color="auto"/>
              <w:left w:val="single" w:sz="8" w:space="0" w:color="auto"/>
              <w:bottom w:val="nil"/>
              <w:right w:val="nil"/>
            </w:tcBorders>
            <w:shd w:val="clear" w:color="auto" w:fill="auto"/>
            <w:noWrap/>
            <w:vAlign w:val="center"/>
            <w:hideMark/>
          </w:tcPr>
          <w:p w14:paraId="58602E0E" w14:textId="0A6974B2" w:rsidR="005A35B0" w:rsidRPr="009E13A2" w:rsidRDefault="00B82D39" w:rsidP="005A35B0">
            <w:pPr>
              <w:rPr>
                <w:rFonts w:eastAsia="Times New Roman" w:cs="Arial"/>
                <w:b/>
                <w:sz w:val="20"/>
                <w:szCs w:val="20"/>
                <w:lang w:val="en-NZ"/>
              </w:rPr>
            </w:pPr>
            <w:r w:rsidRPr="009E13A2">
              <w:rPr>
                <w:rFonts w:eastAsia="Times New Roman" w:cs="Arial"/>
                <w:b/>
                <w:sz w:val="20"/>
                <w:szCs w:val="20"/>
                <w:lang w:val="en-NZ"/>
              </w:rPr>
              <w:t xml:space="preserve">Table 2: </w:t>
            </w:r>
            <w:r w:rsidR="005A35B0" w:rsidRPr="009E13A2">
              <w:rPr>
                <w:rFonts w:eastAsia="Times New Roman" w:cs="Arial"/>
                <w:b/>
                <w:sz w:val="20"/>
                <w:szCs w:val="20"/>
                <w:lang w:val="en-NZ"/>
              </w:rPr>
              <w:t>NZ Super Fund Engagement 2014/5</w:t>
            </w:r>
          </w:p>
        </w:tc>
        <w:tc>
          <w:tcPr>
            <w:tcW w:w="1300" w:type="dxa"/>
            <w:tcBorders>
              <w:top w:val="single" w:sz="8" w:space="0" w:color="auto"/>
              <w:left w:val="nil"/>
              <w:bottom w:val="nil"/>
              <w:right w:val="nil"/>
            </w:tcBorders>
            <w:shd w:val="clear" w:color="auto" w:fill="auto"/>
            <w:noWrap/>
            <w:vAlign w:val="bottom"/>
            <w:hideMark/>
          </w:tcPr>
          <w:p w14:paraId="7CD3C47F"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1300" w:type="dxa"/>
            <w:tcBorders>
              <w:top w:val="single" w:sz="8" w:space="0" w:color="auto"/>
              <w:left w:val="nil"/>
              <w:bottom w:val="nil"/>
              <w:right w:val="single" w:sz="8" w:space="0" w:color="auto"/>
            </w:tcBorders>
            <w:shd w:val="clear" w:color="auto" w:fill="auto"/>
            <w:noWrap/>
            <w:vAlign w:val="bottom"/>
            <w:hideMark/>
          </w:tcPr>
          <w:p w14:paraId="63262E2D"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r>
      <w:tr w:rsidR="009E13A2" w:rsidRPr="009E13A2" w14:paraId="6ECBAF54" w14:textId="77777777" w:rsidTr="005A35B0">
        <w:trPr>
          <w:trHeight w:val="300"/>
        </w:trPr>
        <w:tc>
          <w:tcPr>
            <w:tcW w:w="483" w:type="dxa"/>
            <w:tcBorders>
              <w:top w:val="nil"/>
              <w:left w:val="single" w:sz="8" w:space="0" w:color="auto"/>
              <w:bottom w:val="nil"/>
              <w:right w:val="nil"/>
            </w:tcBorders>
            <w:shd w:val="clear" w:color="auto" w:fill="auto"/>
            <w:noWrap/>
            <w:vAlign w:val="bottom"/>
            <w:hideMark/>
          </w:tcPr>
          <w:p w14:paraId="3758BA97" w14:textId="225C2CB1" w:rsidR="005A35B0" w:rsidRPr="009E13A2" w:rsidRDefault="005A35B0" w:rsidP="005A35B0">
            <w:pPr>
              <w:rPr>
                <w:rFonts w:eastAsia="Times New Roman" w:cs="Arial"/>
                <w:sz w:val="20"/>
                <w:szCs w:val="20"/>
                <w:lang w:val="en-NZ"/>
              </w:rPr>
            </w:pPr>
          </w:p>
        </w:tc>
        <w:tc>
          <w:tcPr>
            <w:tcW w:w="4914" w:type="dxa"/>
            <w:tcBorders>
              <w:top w:val="nil"/>
              <w:left w:val="nil"/>
              <w:bottom w:val="nil"/>
              <w:right w:val="nil"/>
            </w:tcBorders>
            <w:shd w:val="clear" w:color="auto" w:fill="auto"/>
            <w:noWrap/>
            <w:vAlign w:val="bottom"/>
            <w:hideMark/>
          </w:tcPr>
          <w:p w14:paraId="61FAFEC2" w14:textId="77777777" w:rsidR="005A35B0" w:rsidRPr="009E13A2" w:rsidRDefault="005A35B0" w:rsidP="005A35B0">
            <w:pPr>
              <w:rPr>
                <w:rFonts w:eastAsia="Times New Roman" w:cs="Arial"/>
                <w:sz w:val="20"/>
                <w:szCs w:val="20"/>
                <w:lang w:val="en-NZ"/>
              </w:rPr>
            </w:pPr>
          </w:p>
        </w:tc>
        <w:tc>
          <w:tcPr>
            <w:tcW w:w="483" w:type="dxa"/>
            <w:tcBorders>
              <w:top w:val="nil"/>
              <w:left w:val="nil"/>
              <w:bottom w:val="nil"/>
              <w:right w:val="nil"/>
            </w:tcBorders>
            <w:shd w:val="clear" w:color="auto" w:fill="auto"/>
            <w:noWrap/>
            <w:vAlign w:val="bottom"/>
            <w:hideMark/>
          </w:tcPr>
          <w:p w14:paraId="750C3263"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6FF5FEF7"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bottom"/>
            <w:hideMark/>
          </w:tcPr>
          <w:p w14:paraId="4B434570"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r>
      <w:tr w:rsidR="009E13A2" w:rsidRPr="009E13A2" w14:paraId="04C44AA2" w14:textId="77777777" w:rsidTr="005A35B0">
        <w:trPr>
          <w:trHeight w:val="300"/>
        </w:trPr>
        <w:tc>
          <w:tcPr>
            <w:tcW w:w="5397" w:type="dxa"/>
            <w:gridSpan w:val="2"/>
            <w:tcBorders>
              <w:top w:val="nil"/>
              <w:left w:val="single" w:sz="8" w:space="0" w:color="auto"/>
              <w:bottom w:val="nil"/>
              <w:right w:val="nil"/>
            </w:tcBorders>
            <w:shd w:val="clear" w:color="auto" w:fill="auto"/>
            <w:noWrap/>
            <w:vAlign w:val="center"/>
            <w:hideMark/>
          </w:tcPr>
          <w:p w14:paraId="17121AF6"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Human Rights and Safety</w:t>
            </w:r>
          </w:p>
        </w:tc>
        <w:tc>
          <w:tcPr>
            <w:tcW w:w="483" w:type="dxa"/>
            <w:tcBorders>
              <w:top w:val="nil"/>
              <w:left w:val="nil"/>
              <w:bottom w:val="nil"/>
              <w:right w:val="nil"/>
            </w:tcBorders>
            <w:shd w:val="clear" w:color="auto" w:fill="auto"/>
            <w:noWrap/>
            <w:vAlign w:val="bottom"/>
            <w:hideMark/>
          </w:tcPr>
          <w:p w14:paraId="2CA10325"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380269A0"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center"/>
            <w:hideMark/>
          </w:tcPr>
          <w:p w14:paraId="4F9AE808"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6</w:t>
            </w:r>
          </w:p>
        </w:tc>
      </w:tr>
      <w:tr w:rsidR="009E13A2" w:rsidRPr="009E13A2" w14:paraId="634A848E" w14:textId="77777777" w:rsidTr="005A35B0">
        <w:trPr>
          <w:trHeight w:val="300"/>
        </w:trPr>
        <w:tc>
          <w:tcPr>
            <w:tcW w:w="5880" w:type="dxa"/>
            <w:gridSpan w:val="3"/>
            <w:tcBorders>
              <w:top w:val="nil"/>
              <w:left w:val="single" w:sz="8" w:space="0" w:color="auto"/>
              <w:bottom w:val="nil"/>
              <w:right w:val="nil"/>
            </w:tcBorders>
            <w:shd w:val="clear" w:color="auto" w:fill="auto"/>
            <w:noWrap/>
            <w:vAlign w:val="center"/>
            <w:hideMark/>
          </w:tcPr>
          <w:p w14:paraId="796FE684"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Severe Environmental Damage</w:t>
            </w:r>
          </w:p>
        </w:tc>
        <w:tc>
          <w:tcPr>
            <w:tcW w:w="1300" w:type="dxa"/>
            <w:tcBorders>
              <w:top w:val="nil"/>
              <w:left w:val="nil"/>
              <w:bottom w:val="nil"/>
              <w:right w:val="nil"/>
            </w:tcBorders>
            <w:shd w:val="clear" w:color="auto" w:fill="auto"/>
            <w:noWrap/>
            <w:vAlign w:val="bottom"/>
            <w:hideMark/>
          </w:tcPr>
          <w:p w14:paraId="54EB4299"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bottom"/>
            <w:hideMark/>
          </w:tcPr>
          <w:p w14:paraId="6066D01B"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r>
      <w:tr w:rsidR="009E13A2" w:rsidRPr="009E13A2" w14:paraId="75813C7D" w14:textId="77777777" w:rsidTr="005A35B0">
        <w:trPr>
          <w:trHeight w:val="300"/>
        </w:trPr>
        <w:tc>
          <w:tcPr>
            <w:tcW w:w="483" w:type="dxa"/>
            <w:tcBorders>
              <w:top w:val="nil"/>
              <w:left w:val="single" w:sz="8" w:space="0" w:color="auto"/>
              <w:bottom w:val="nil"/>
              <w:right w:val="nil"/>
            </w:tcBorders>
            <w:shd w:val="clear" w:color="auto" w:fill="auto"/>
            <w:noWrap/>
            <w:vAlign w:val="bottom"/>
            <w:hideMark/>
          </w:tcPr>
          <w:p w14:paraId="3CCC393E"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4914" w:type="dxa"/>
            <w:tcBorders>
              <w:top w:val="nil"/>
              <w:left w:val="nil"/>
              <w:bottom w:val="nil"/>
              <w:right w:val="nil"/>
            </w:tcBorders>
            <w:shd w:val="clear" w:color="auto" w:fill="auto"/>
            <w:noWrap/>
            <w:vAlign w:val="center"/>
            <w:hideMark/>
          </w:tcPr>
          <w:p w14:paraId="01BCCA75"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Palm Oil</w:t>
            </w:r>
          </w:p>
        </w:tc>
        <w:tc>
          <w:tcPr>
            <w:tcW w:w="483" w:type="dxa"/>
            <w:tcBorders>
              <w:top w:val="nil"/>
              <w:left w:val="nil"/>
              <w:bottom w:val="nil"/>
              <w:right w:val="nil"/>
            </w:tcBorders>
            <w:shd w:val="clear" w:color="auto" w:fill="auto"/>
            <w:noWrap/>
            <w:vAlign w:val="bottom"/>
            <w:hideMark/>
          </w:tcPr>
          <w:p w14:paraId="42AF9031"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643B8FA7"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center"/>
            <w:hideMark/>
          </w:tcPr>
          <w:p w14:paraId="5C02E111"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20</w:t>
            </w:r>
          </w:p>
        </w:tc>
      </w:tr>
      <w:tr w:rsidR="009E13A2" w:rsidRPr="009E13A2" w14:paraId="7B19A6E8" w14:textId="77777777" w:rsidTr="005A35B0">
        <w:trPr>
          <w:trHeight w:val="300"/>
        </w:trPr>
        <w:tc>
          <w:tcPr>
            <w:tcW w:w="483" w:type="dxa"/>
            <w:tcBorders>
              <w:top w:val="nil"/>
              <w:left w:val="single" w:sz="8" w:space="0" w:color="auto"/>
              <w:bottom w:val="nil"/>
              <w:right w:val="nil"/>
            </w:tcBorders>
            <w:shd w:val="clear" w:color="auto" w:fill="auto"/>
            <w:noWrap/>
            <w:vAlign w:val="bottom"/>
            <w:hideMark/>
          </w:tcPr>
          <w:p w14:paraId="79FA7627"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4914" w:type="dxa"/>
            <w:tcBorders>
              <w:top w:val="nil"/>
              <w:left w:val="nil"/>
              <w:bottom w:val="nil"/>
              <w:right w:val="nil"/>
            </w:tcBorders>
            <w:shd w:val="clear" w:color="auto" w:fill="auto"/>
            <w:noWrap/>
            <w:vAlign w:val="center"/>
            <w:hideMark/>
          </w:tcPr>
          <w:p w14:paraId="1893A1FE"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Fracking</w:t>
            </w:r>
          </w:p>
        </w:tc>
        <w:tc>
          <w:tcPr>
            <w:tcW w:w="483" w:type="dxa"/>
            <w:tcBorders>
              <w:top w:val="nil"/>
              <w:left w:val="nil"/>
              <w:bottom w:val="nil"/>
              <w:right w:val="nil"/>
            </w:tcBorders>
            <w:shd w:val="clear" w:color="auto" w:fill="auto"/>
            <w:noWrap/>
            <w:vAlign w:val="bottom"/>
            <w:hideMark/>
          </w:tcPr>
          <w:p w14:paraId="72BA4F6F"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70863E12"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center"/>
            <w:hideMark/>
          </w:tcPr>
          <w:p w14:paraId="69083657"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56</w:t>
            </w:r>
          </w:p>
        </w:tc>
      </w:tr>
      <w:tr w:rsidR="009E13A2" w:rsidRPr="009E13A2" w14:paraId="6AD7DCAB" w14:textId="77777777" w:rsidTr="005A35B0">
        <w:trPr>
          <w:trHeight w:val="300"/>
        </w:trPr>
        <w:tc>
          <w:tcPr>
            <w:tcW w:w="5397" w:type="dxa"/>
            <w:gridSpan w:val="2"/>
            <w:tcBorders>
              <w:top w:val="nil"/>
              <w:left w:val="single" w:sz="8" w:space="0" w:color="auto"/>
              <w:bottom w:val="nil"/>
              <w:right w:val="nil"/>
            </w:tcBorders>
            <w:shd w:val="clear" w:color="auto" w:fill="auto"/>
            <w:noWrap/>
            <w:vAlign w:val="center"/>
            <w:hideMark/>
          </w:tcPr>
          <w:p w14:paraId="2225036D"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Bribery and Corruption</w:t>
            </w:r>
          </w:p>
        </w:tc>
        <w:tc>
          <w:tcPr>
            <w:tcW w:w="483" w:type="dxa"/>
            <w:tcBorders>
              <w:top w:val="nil"/>
              <w:left w:val="nil"/>
              <w:bottom w:val="nil"/>
              <w:right w:val="nil"/>
            </w:tcBorders>
            <w:shd w:val="clear" w:color="auto" w:fill="auto"/>
            <w:noWrap/>
            <w:vAlign w:val="bottom"/>
            <w:hideMark/>
          </w:tcPr>
          <w:p w14:paraId="01012ADE"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24D637F4"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center"/>
            <w:hideMark/>
          </w:tcPr>
          <w:p w14:paraId="492D530C"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33</w:t>
            </w:r>
          </w:p>
        </w:tc>
      </w:tr>
      <w:tr w:rsidR="009E13A2" w:rsidRPr="009E13A2" w14:paraId="058BF804" w14:textId="77777777" w:rsidTr="005A35B0">
        <w:trPr>
          <w:trHeight w:val="300"/>
        </w:trPr>
        <w:tc>
          <w:tcPr>
            <w:tcW w:w="5397" w:type="dxa"/>
            <w:gridSpan w:val="2"/>
            <w:tcBorders>
              <w:top w:val="nil"/>
              <w:left w:val="single" w:sz="8" w:space="0" w:color="auto"/>
              <w:bottom w:val="nil"/>
              <w:right w:val="nil"/>
            </w:tcBorders>
            <w:shd w:val="clear" w:color="auto" w:fill="auto"/>
            <w:noWrap/>
            <w:vAlign w:val="center"/>
            <w:hideMark/>
          </w:tcPr>
          <w:p w14:paraId="76398474"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NZ Engagement</w:t>
            </w:r>
          </w:p>
        </w:tc>
        <w:tc>
          <w:tcPr>
            <w:tcW w:w="483" w:type="dxa"/>
            <w:tcBorders>
              <w:top w:val="nil"/>
              <w:left w:val="nil"/>
              <w:bottom w:val="nil"/>
              <w:right w:val="nil"/>
            </w:tcBorders>
            <w:shd w:val="clear" w:color="auto" w:fill="auto"/>
            <w:noWrap/>
            <w:vAlign w:val="bottom"/>
            <w:hideMark/>
          </w:tcPr>
          <w:p w14:paraId="179B4B8E"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nil"/>
            </w:tcBorders>
            <w:shd w:val="clear" w:color="auto" w:fill="auto"/>
            <w:noWrap/>
            <w:vAlign w:val="bottom"/>
            <w:hideMark/>
          </w:tcPr>
          <w:p w14:paraId="3BAE5257" w14:textId="77777777" w:rsidR="005A35B0" w:rsidRPr="009E13A2" w:rsidRDefault="005A35B0" w:rsidP="005A35B0">
            <w:pPr>
              <w:rPr>
                <w:rFonts w:eastAsia="Times New Roman" w:cs="Arial"/>
                <w:sz w:val="20"/>
                <w:szCs w:val="20"/>
                <w:lang w:val="en-NZ"/>
              </w:rPr>
            </w:pPr>
          </w:p>
        </w:tc>
        <w:tc>
          <w:tcPr>
            <w:tcW w:w="1300" w:type="dxa"/>
            <w:tcBorders>
              <w:top w:val="nil"/>
              <w:left w:val="nil"/>
              <w:bottom w:val="nil"/>
              <w:right w:val="single" w:sz="8" w:space="0" w:color="auto"/>
            </w:tcBorders>
            <w:shd w:val="clear" w:color="auto" w:fill="auto"/>
            <w:noWrap/>
            <w:vAlign w:val="center"/>
            <w:hideMark/>
          </w:tcPr>
          <w:p w14:paraId="29999F96"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8</w:t>
            </w:r>
          </w:p>
        </w:tc>
      </w:tr>
      <w:tr w:rsidR="009E13A2" w:rsidRPr="009E13A2" w14:paraId="6CBD9EFB" w14:textId="77777777" w:rsidTr="005A35B0">
        <w:trPr>
          <w:trHeight w:val="320"/>
        </w:trPr>
        <w:tc>
          <w:tcPr>
            <w:tcW w:w="483" w:type="dxa"/>
            <w:tcBorders>
              <w:top w:val="nil"/>
              <w:left w:val="single" w:sz="8" w:space="0" w:color="auto"/>
              <w:bottom w:val="single" w:sz="8" w:space="0" w:color="auto"/>
              <w:right w:val="nil"/>
            </w:tcBorders>
            <w:shd w:val="clear" w:color="auto" w:fill="auto"/>
            <w:noWrap/>
            <w:vAlign w:val="bottom"/>
            <w:hideMark/>
          </w:tcPr>
          <w:p w14:paraId="65B65F9B"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4914" w:type="dxa"/>
            <w:tcBorders>
              <w:top w:val="nil"/>
              <w:left w:val="nil"/>
              <w:bottom w:val="single" w:sz="8" w:space="0" w:color="auto"/>
              <w:right w:val="nil"/>
            </w:tcBorders>
            <w:shd w:val="clear" w:color="auto" w:fill="auto"/>
            <w:noWrap/>
            <w:vAlign w:val="center"/>
            <w:hideMark/>
          </w:tcPr>
          <w:p w14:paraId="207EB951"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Total</w:t>
            </w:r>
          </w:p>
        </w:tc>
        <w:tc>
          <w:tcPr>
            <w:tcW w:w="483" w:type="dxa"/>
            <w:tcBorders>
              <w:top w:val="nil"/>
              <w:left w:val="nil"/>
              <w:bottom w:val="single" w:sz="8" w:space="0" w:color="auto"/>
              <w:right w:val="nil"/>
            </w:tcBorders>
            <w:shd w:val="clear" w:color="auto" w:fill="auto"/>
            <w:noWrap/>
            <w:vAlign w:val="bottom"/>
            <w:hideMark/>
          </w:tcPr>
          <w:p w14:paraId="38982381"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1300" w:type="dxa"/>
            <w:tcBorders>
              <w:top w:val="nil"/>
              <w:left w:val="nil"/>
              <w:bottom w:val="single" w:sz="8" w:space="0" w:color="auto"/>
              <w:right w:val="nil"/>
            </w:tcBorders>
            <w:shd w:val="clear" w:color="auto" w:fill="auto"/>
            <w:noWrap/>
            <w:vAlign w:val="bottom"/>
            <w:hideMark/>
          </w:tcPr>
          <w:p w14:paraId="3F96E5DA" w14:textId="77777777" w:rsidR="005A35B0" w:rsidRPr="009E13A2" w:rsidRDefault="005A35B0" w:rsidP="005A35B0">
            <w:pPr>
              <w:rPr>
                <w:rFonts w:eastAsia="Times New Roman" w:cs="Arial"/>
                <w:sz w:val="20"/>
                <w:szCs w:val="20"/>
                <w:lang w:val="en-NZ"/>
              </w:rPr>
            </w:pPr>
            <w:r w:rsidRPr="009E13A2">
              <w:rPr>
                <w:rFonts w:eastAsia="Times New Roman" w:cs="Arial"/>
                <w:sz w:val="20"/>
                <w:szCs w:val="20"/>
                <w:lang w:val="en-NZ"/>
              </w:rPr>
              <w:t> </w:t>
            </w:r>
          </w:p>
        </w:tc>
        <w:tc>
          <w:tcPr>
            <w:tcW w:w="1300" w:type="dxa"/>
            <w:tcBorders>
              <w:top w:val="nil"/>
              <w:left w:val="nil"/>
              <w:bottom w:val="single" w:sz="8" w:space="0" w:color="auto"/>
              <w:right w:val="single" w:sz="8" w:space="0" w:color="auto"/>
            </w:tcBorders>
            <w:shd w:val="clear" w:color="auto" w:fill="auto"/>
            <w:noWrap/>
            <w:vAlign w:val="center"/>
            <w:hideMark/>
          </w:tcPr>
          <w:p w14:paraId="1AFCBBCE" w14:textId="77777777" w:rsidR="005A35B0" w:rsidRPr="009E13A2" w:rsidRDefault="005A35B0" w:rsidP="005A35B0">
            <w:pPr>
              <w:jc w:val="center"/>
              <w:rPr>
                <w:rFonts w:eastAsia="Times New Roman" w:cs="Arial"/>
                <w:sz w:val="20"/>
                <w:szCs w:val="20"/>
                <w:lang w:val="en-NZ"/>
              </w:rPr>
            </w:pPr>
            <w:r w:rsidRPr="009E13A2">
              <w:rPr>
                <w:rFonts w:eastAsia="Times New Roman" w:cs="Arial"/>
                <w:sz w:val="20"/>
                <w:szCs w:val="20"/>
                <w:lang w:val="en-NZ"/>
              </w:rPr>
              <w:t>123</w:t>
            </w:r>
          </w:p>
        </w:tc>
      </w:tr>
    </w:tbl>
    <w:p w14:paraId="56E35F1F" w14:textId="77777777" w:rsidR="005A35B0" w:rsidRPr="009E13A2" w:rsidRDefault="005A35B0" w:rsidP="004A15D5">
      <w:pPr>
        <w:rPr>
          <w:rFonts w:eastAsia="Times New Roman" w:cs="Arial"/>
          <w:szCs w:val="22"/>
          <w:lang w:val="en-NZ"/>
        </w:rPr>
      </w:pPr>
    </w:p>
    <w:p w14:paraId="5155918F" w14:textId="263358B8" w:rsidR="00401800" w:rsidRDefault="00A0257C" w:rsidP="004A15D5">
      <w:pPr>
        <w:rPr>
          <w:rFonts w:eastAsia="Times New Roman" w:cs="Arial"/>
          <w:szCs w:val="22"/>
          <w:shd w:val="clear" w:color="auto" w:fill="FFFFFF"/>
          <w:lang w:val="en-NZ"/>
        </w:rPr>
      </w:pPr>
      <w:r>
        <w:rPr>
          <w:rFonts w:eastAsia="Times New Roman" w:cs="Times New Roman"/>
          <w:szCs w:val="22"/>
          <w:lang w:val="en-NZ"/>
        </w:rPr>
        <w:t xml:space="preserve">The </w:t>
      </w:r>
      <w:r w:rsidRPr="009E13A2">
        <w:rPr>
          <w:rFonts w:eastAsia="Times New Roman" w:cs="Times New Roman"/>
          <w:szCs w:val="22"/>
          <w:lang w:val="en-NZ"/>
        </w:rPr>
        <w:t>New Zealand Superannuation Fund</w:t>
      </w:r>
      <w:r>
        <w:rPr>
          <w:rFonts w:eastAsia="Times New Roman" w:cs="Times New Roman"/>
          <w:szCs w:val="22"/>
          <w:lang w:val="en-NZ"/>
        </w:rPr>
        <w:t xml:space="preserve"> currently invests in 6152.  If the number of companies that the Fund actively engages with is subtracted, that leaves over 6029. </w:t>
      </w:r>
      <w:r w:rsidR="000D1689" w:rsidRPr="000D1689">
        <w:rPr>
          <w:rFonts w:eastAsia="Times New Roman" w:cs="Times New Roman"/>
          <w:szCs w:val="22"/>
          <w:lang w:val="en-NZ"/>
        </w:rPr>
        <w:t xml:space="preserve">The Fund states that it </w:t>
      </w:r>
      <w:r w:rsidR="000D1689" w:rsidRPr="000D1689">
        <w:rPr>
          <w:rFonts w:eastAsia="Times New Roman" w:cs="Arial"/>
          <w:szCs w:val="22"/>
          <w:shd w:val="clear" w:color="auto" w:fill="FFFFFF"/>
          <w:lang w:val="en-NZ"/>
        </w:rPr>
        <w:t xml:space="preserve">integrates ESG </w:t>
      </w:r>
      <w:r w:rsidR="003874E7">
        <w:rPr>
          <w:rFonts w:eastAsia="Times New Roman" w:cs="Arial"/>
          <w:szCs w:val="22"/>
          <w:shd w:val="clear" w:color="auto" w:fill="FFFFFF"/>
          <w:lang w:val="en-NZ"/>
        </w:rPr>
        <w:t xml:space="preserve">(Environmental, Social and Governance) </w:t>
      </w:r>
      <w:r w:rsidR="000D1689" w:rsidRPr="000D1689">
        <w:rPr>
          <w:rFonts w:eastAsia="Times New Roman" w:cs="Arial"/>
          <w:szCs w:val="22"/>
          <w:shd w:val="clear" w:color="auto" w:fill="FFFFFF"/>
          <w:lang w:val="en-NZ"/>
        </w:rPr>
        <w:t xml:space="preserve">into all aspects of the Fund’s investment activities, from investment selection and due diligence to ownership activities such as monitoring </w:t>
      </w:r>
      <w:r w:rsidR="00401800">
        <w:rPr>
          <w:rFonts w:eastAsia="Times New Roman" w:cs="Arial"/>
          <w:szCs w:val="22"/>
          <w:shd w:val="clear" w:color="auto" w:fill="FFFFFF"/>
          <w:lang w:val="en-NZ"/>
        </w:rPr>
        <w:t>their</w:t>
      </w:r>
      <w:r w:rsidR="000D1689" w:rsidRPr="000D1689">
        <w:rPr>
          <w:rFonts w:eastAsia="Times New Roman" w:cs="Arial"/>
          <w:szCs w:val="22"/>
          <w:shd w:val="clear" w:color="auto" w:fill="FFFFFF"/>
          <w:lang w:val="en-NZ"/>
        </w:rPr>
        <w:t xml:space="preserve"> external investment managers, exercising </w:t>
      </w:r>
      <w:r w:rsidR="00401800">
        <w:rPr>
          <w:rFonts w:eastAsia="Times New Roman" w:cs="Arial"/>
          <w:szCs w:val="22"/>
          <w:shd w:val="clear" w:color="auto" w:fill="FFFFFF"/>
          <w:lang w:val="en-NZ"/>
        </w:rPr>
        <w:t>their</w:t>
      </w:r>
      <w:r w:rsidR="000D1689" w:rsidRPr="000D1689">
        <w:rPr>
          <w:rFonts w:eastAsia="Times New Roman" w:cs="Arial"/>
          <w:szCs w:val="22"/>
          <w:shd w:val="clear" w:color="auto" w:fill="FFFFFF"/>
          <w:lang w:val="en-NZ"/>
        </w:rPr>
        <w:t xml:space="preserve"> voting rights and engaging with companies to improve their ESG policies and practices.  However because the ESG framework is </w:t>
      </w:r>
      <w:r w:rsidR="000D1689">
        <w:rPr>
          <w:rFonts w:eastAsia="Times New Roman" w:cs="Arial"/>
          <w:szCs w:val="22"/>
          <w:shd w:val="clear" w:color="auto" w:fill="FFFFFF"/>
          <w:lang w:val="en-NZ"/>
        </w:rPr>
        <w:t xml:space="preserve">so </w:t>
      </w:r>
      <w:r w:rsidR="000D1689" w:rsidRPr="000D1689">
        <w:rPr>
          <w:rFonts w:eastAsia="Times New Roman" w:cs="Arial"/>
          <w:szCs w:val="22"/>
          <w:shd w:val="clear" w:color="auto" w:fill="FFFFFF"/>
          <w:lang w:val="en-NZ"/>
        </w:rPr>
        <w:t>inadequate</w:t>
      </w:r>
      <w:r w:rsidR="000D1689">
        <w:rPr>
          <w:rFonts w:eastAsia="Times New Roman" w:cs="Arial"/>
          <w:szCs w:val="22"/>
          <w:shd w:val="clear" w:color="auto" w:fill="FFFFFF"/>
          <w:lang w:val="en-NZ"/>
        </w:rPr>
        <w:t xml:space="preserve">, it is unlikely this engagement </w:t>
      </w:r>
      <w:r w:rsidR="00401800">
        <w:rPr>
          <w:rFonts w:eastAsia="Times New Roman" w:cs="Arial"/>
          <w:szCs w:val="22"/>
          <w:shd w:val="clear" w:color="auto" w:fill="FFFFFF"/>
          <w:lang w:val="en-NZ"/>
        </w:rPr>
        <w:t>is</w:t>
      </w:r>
      <w:r w:rsidR="000D1689">
        <w:rPr>
          <w:rFonts w:eastAsia="Times New Roman" w:cs="Arial"/>
          <w:szCs w:val="22"/>
          <w:shd w:val="clear" w:color="auto" w:fill="FFFFFF"/>
          <w:lang w:val="en-NZ"/>
        </w:rPr>
        <w:t xml:space="preserve"> effective.</w:t>
      </w:r>
      <w:r w:rsidR="000C5BB6">
        <w:rPr>
          <w:rFonts w:eastAsia="Times New Roman" w:cs="Arial"/>
          <w:szCs w:val="22"/>
          <w:shd w:val="clear" w:color="auto" w:fill="FFFFFF"/>
          <w:lang w:val="en-NZ"/>
        </w:rPr>
        <w:t xml:space="preserve">  The Fund has recognised the strategic risk of climate warming (see below) and </w:t>
      </w:r>
      <w:r w:rsidR="000D695E">
        <w:rPr>
          <w:rFonts w:eastAsia="Times New Roman" w:cs="Arial"/>
          <w:szCs w:val="22"/>
          <w:shd w:val="clear" w:color="auto" w:fill="FFFFFF"/>
          <w:lang w:val="en-NZ"/>
        </w:rPr>
        <w:t>expects its advisors and asset managers to take that into account.  However, in its 2012 response to the Institutional Investors Group on Climate Change survey, it states that around 10% of the Fund is invested in the energy sector.</w:t>
      </w:r>
    </w:p>
    <w:p w14:paraId="479AD611" w14:textId="77777777" w:rsidR="00401800" w:rsidRDefault="00401800" w:rsidP="004A15D5">
      <w:pPr>
        <w:rPr>
          <w:rFonts w:eastAsia="Times New Roman" w:cs="Arial"/>
          <w:szCs w:val="22"/>
          <w:shd w:val="clear" w:color="auto" w:fill="FFFFFF"/>
          <w:lang w:val="en-NZ"/>
        </w:rPr>
      </w:pPr>
    </w:p>
    <w:p w14:paraId="3459877C" w14:textId="2C24A962" w:rsidR="000C5BB6" w:rsidRDefault="000D1689" w:rsidP="006772DB">
      <w:pPr>
        <w:rPr>
          <w:rFonts w:cs="Arial"/>
          <w:szCs w:val="22"/>
          <w:lang w:val="en-GB"/>
        </w:rPr>
      </w:pPr>
      <w:r>
        <w:rPr>
          <w:rFonts w:eastAsia="Times New Roman" w:cs="Times New Roman"/>
          <w:szCs w:val="22"/>
          <w:lang w:val="en-NZ"/>
        </w:rPr>
        <w:t xml:space="preserve">The Global Sustainable Investment Alliance has estimated that </w:t>
      </w:r>
      <w:r w:rsidR="00401800">
        <w:rPr>
          <w:rFonts w:eastAsia="Times New Roman" w:cs="Times New Roman"/>
          <w:szCs w:val="22"/>
          <w:lang w:val="en-NZ"/>
        </w:rPr>
        <w:t>$21.4 or 30.2% of professionally managed funds worldwide are socially responsible</w:t>
      </w:r>
      <w:r w:rsidR="009D6E6E">
        <w:rPr>
          <w:rFonts w:eastAsia="Times New Roman" w:cs="Times New Roman"/>
          <w:szCs w:val="22"/>
          <w:lang w:val="en-NZ"/>
        </w:rPr>
        <w:t xml:space="preserve"> </w:t>
      </w:r>
      <w:r w:rsidR="009D6E6E" w:rsidRPr="009E13A2">
        <w:rPr>
          <w:rFonts w:eastAsia="Times New Roman" w:cs="Times New Roman"/>
          <w:szCs w:val="22"/>
          <w:lang w:val="en-NZ"/>
        </w:rPr>
        <w:t>(Global Sustainable Investment Alliance)</w:t>
      </w:r>
      <w:r w:rsidR="009D6E6E">
        <w:rPr>
          <w:rFonts w:eastAsia="Times New Roman" w:cs="Times New Roman"/>
          <w:szCs w:val="22"/>
          <w:lang w:val="en-NZ"/>
        </w:rPr>
        <w:t xml:space="preserve">. </w:t>
      </w:r>
      <w:r w:rsidR="00401800">
        <w:rPr>
          <w:rFonts w:eastAsia="Times New Roman" w:cs="Times New Roman"/>
          <w:szCs w:val="22"/>
          <w:lang w:val="en-NZ"/>
        </w:rPr>
        <w:t xml:space="preserve">  This is a very wide definition </w:t>
      </w:r>
      <w:r w:rsidR="00B82D39" w:rsidRPr="009E13A2">
        <w:rPr>
          <w:rFonts w:eastAsia="Times New Roman" w:cs="Times New Roman"/>
          <w:szCs w:val="22"/>
          <w:lang w:val="en-NZ"/>
        </w:rPr>
        <w:t>of “socially responsible</w:t>
      </w:r>
      <w:r w:rsidR="000C5BB6">
        <w:rPr>
          <w:rFonts w:eastAsia="Times New Roman" w:cs="Times New Roman"/>
          <w:szCs w:val="22"/>
          <w:lang w:val="en-NZ"/>
        </w:rPr>
        <w:t>”</w:t>
      </w:r>
      <w:r w:rsidR="009D6E6E">
        <w:rPr>
          <w:rFonts w:eastAsia="Times New Roman" w:cs="Times New Roman"/>
          <w:szCs w:val="22"/>
          <w:lang w:val="en-NZ"/>
        </w:rPr>
        <w:t>.</w:t>
      </w:r>
      <w:r w:rsidR="00CA3524" w:rsidRPr="009E13A2">
        <w:rPr>
          <w:rFonts w:eastAsia="Times New Roman" w:cs="Times New Roman"/>
          <w:szCs w:val="22"/>
          <w:lang w:val="en-NZ"/>
        </w:rPr>
        <w:t xml:space="preserve"> </w:t>
      </w:r>
      <w:r w:rsidR="006772DB">
        <w:rPr>
          <w:rFonts w:eastAsia="Times New Roman" w:cs="Times New Roman"/>
          <w:szCs w:val="22"/>
          <w:lang w:val="en-NZ"/>
        </w:rPr>
        <w:t xml:space="preserve">It includes single-purpose exclusion </w:t>
      </w:r>
      <w:r w:rsidR="006772DB" w:rsidRPr="006772DB">
        <w:rPr>
          <w:rFonts w:eastAsia="Times New Roman" w:cs="Times New Roman"/>
          <w:szCs w:val="22"/>
          <w:lang w:val="en-NZ"/>
        </w:rPr>
        <w:t>where a minimum of one exclusionary criterion is deployed on a wide range of assets within a firm</w:t>
      </w:r>
      <w:r w:rsidR="006772DB">
        <w:rPr>
          <w:rFonts w:eastAsia="Times New Roman" w:cs="Times New Roman"/>
          <w:szCs w:val="22"/>
          <w:lang w:val="en-NZ"/>
        </w:rPr>
        <w:t xml:space="preserve"> </w:t>
      </w:r>
      <w:r w:rsidR="006772DB" w:rsidRPr="006772DB">
        <w:rPr>
          <w:rFonts w:eastAsia="Times New Roman" w:cs="Times New Roman"/>
          <w:szCs w:val="22"/>
          <w:lang w:val="en-NZ"/>
        </w:rPr>
        <w:t>(typically controversial weapons or tobacco).</w:t>
      </w:r>
      <w:r w:rsidR="006772DB">
        <w:rPr>
          <w:rFonts w:eastAsia="Times New Roman" w:cs="Times New Roman"/>
          <w:szCs w:val="22"/>
          <w:lang w:val="en-NZ"/>
        </w:rPr>
        <w:t xml:space="preserve">  The term is used in many ways such </w:t>
      </w:r>
      <w:r w:rsidR="006772DB">
        <w:rPr>
          <w:rFonts w:eastAsia="Times New Roman" w:cs="Arial"/>
          <w:szCs w:val="22"/>
          <w:lang w:val="en-NZ"/>
        </w:rPr>
        <w:t>t</w:t>
      </w:r>
      <w:r w:rsidR="006772DB" w:rsidRPr="006772DB">
        <w:rPr>
          <w:rFonts w:eastAsia="Times New Roman" w:cs="Arial"/>
          <w:szCs w:val="22"/>
          <w:lang w:val="en-NZ"/>
        </w:rPr>
        <w:t>here is no single European definition for sustainable investing.</w:t>
      </w:r>
      <w:r w:rsidR="006772DB">
        <w:rPr>
          <w:rFonts w:eastAsia="Times New Roman" w:cs="Arial"/>
          <w:szCs w:val="22"/>
          <w:lang w:val="en-NZ"/>
        </w:rPr>
        <w:t xml:space="preserve">  If the criterion is used based on </w:t>
      </w:r>
      <w:r w:rsidR="006772DB">
        <w:rPr>
          <w:rFonts w:cs="Arial"/>
          <w:szCs w:val="22"/>
          <w:lang w:val="en-GB"/>
        </w:rPr>
        <w:t>caring</w:t>
      </w:r>
      <w:r w:rsidR="006772DB" w:rsidRPr="009E13A2">
        <w:rPr>
          <w:rFonts w:cs="Arial"/>
          <w:szCs w:val="22"/>
          <w:lang w:val="en-GB"/>
        </w:rPr>
        <w:t xml:space="preserve"> for the ecological systems that support life here on our planet and </w:t>
      </w:r>
      <w:r w:rsidR="000C5BB6">
        <w:rPr>
          <w:rFonts w:cs="Arial"/>
          <w:szCs w:val="22"/>
          <w:lang w:val="en-GB"/>
        </w:rPr>
        <w:t>treating all stakeholders fairly, the 30% figure would likely be reduced to a single figure percentage.</w:t>
      </w:r>
    </w:p>
    <w:p w14:paraId="0B1A9431" w14:textId="77777777" w:rsidR="000C5BB6" w:rsidRDefault="000C5BB6" w:rsidP="006772DB">
      <w:pPr>
        <w:rPr>
          <w:rFonts w:cs="Arial"/>
          <w:szCs w:val="22"/>
          <w:lang w:val="en-GB"/>
        </w:rPr>
      </w:pPr>
    </w:p>
    <w:p w14:paraId="6BC4FA28" w14:textId="43AA1C0F" w:rsidR="005A35B0" w:rsidRPr="000C5BB6" w:rsidRDefault="000C5BB6" w:rsidP="004A15D5">
      <w:pPr>
        <w:rPr>
          <w:rFonts w:eastAsia="Times New Roman" w:cs="Times New Roman"/>
          <w:szCs w:val="22"/>
          <w:lang w:val="en-NZ"/>
        </w:rPr>
      </w:pPr>
      <w:r>
        <w:rPr>
          <w:rFonts w:cs="Arial"/>
          <w:szCs w:val="22"/>
          <w:lang w:val="en-GB"/>
        </w:rPr>
        <w:t>If however we take this 30% pattern and make the not unreasonable assumption that it applies also to the companies that the New Zealand Super Fund has selected for investment, and apply it to the 6029 that the Fund does not actively engage with, t</w:t>
      </w:r>
      <w:r>
        <w:rPr>
          <w:rFonts w:eastAsia="Times New Roman" w:cs="Times New Roman"/>
          <w:szCs w:val="22"/>
          <w:lang w:val="en-NZ"/>
        </w:rPr>
        <w:t xml:space="preserve">hat </w:t>
      </w:r>
      <w:r w:rsidR="00B82D39" w:rsidRPr="009E13A2">
        <w:rPr>
          <w:rFonts w:eastAsia="Times New Roman" w:cs="Times New Roman"/>
          <w:szCs w:val="22"/>
          <w:lang w:val="en-NZ"/>
        </w:rPr>
        <w:t xml:space="preserve">leaves over 4000 companies that </w:t>
      </w:r>
      <w:r>
        <w:rPr>
          <w:rFonts w:eastAsia="Times New Roman" w:cs="Times New Roman"/>
          <w:szCs w:val="22"/>
          <w:lang w:val="en-NZ"/>
        </w:rPr>
        <w:t xml:space="preserve">Fund </w:t>
      </w:r>
      <w:r w:rsidR="00B82D39" w:rsidRPr="009E13A2">
        <w:rPr>
          <w:rFonts w:eastAsia="Times New Roman" w:cs="Times New Roman"/>
          <w:szCs w:val="22"/>
          <w:lang w:val="en-NZ"/>
        </w:rPr>
        <w:t>the invests in but does engage with over their “socially irresponsible” behaviour.</w:t>
      </w:r>
    </w:p>
    <w:p w14:paraId="1691E406" w14:textId="77777777" w:rsidR="00DF0CB2" w:rsidRPr="009E13A2" w:rsidRDefault="00DF0CB2" w:rsidP="00DF0CB2">
      <w:pPr>
        <w:rPr>
          <w:rFonts w:ascii="Times" w:eastAsia="Times New Roman" w:hAnsi="Times" w:cs="Times New Roman"/>
          <w:sz w:val="20"/>
          <w:szCs w:val="20"/>
          <w:lang w:val="en-NZ"/>
        </w:rPr>
      </w:pPr>
    </w:p>
    <w:p w14:paraId="14297379" w14:textId="4066BE50" w:rsidR="00183A55" w:rsidRDefault="001415BB" w:rsidP="001415BB">
      <w:pPr>
        <w:shd w:val="clear" w:color="auto" w:fill="FFFFFF"/>
        <w:rPr>
          <w:rFonts w:eastAsia="Times New Roman" w:cs="Times New Roman"/>
          <w:szCs w:val="22"/>
          <w:lang w:val="en-NZ"/>
        </w:rPr>
      </w:pPr>
      <w:r w:rsidRPr="009E13A2">
        <w:rPr>
          <w:rFonts w:eastAsia="Times New Roman" w:cs="Times New Roman"/>
          <w:szCs w:val="22"/>
          <w:lang w:val="en-NZ"/>
        </w:rPr>
        <w:t xml:space="preserve">The </w:t>
      </w:r>
      <w:r w:rsidR="002102F9" w:rsidRPr="009E13A2">
        <w:rPr>
          <w:rFonts w:eastAsia="Times New Roman" w:cs="Times New Roman"/>
          <w:szCs w:val="22"/>
          <w:lang w:val="en-NZ"/>
        </w:rPr>
        <w:t xml:space="preserve">Fund’s </w:t>
      </w:r>
      <w:r w:rsidRPr="009E13A2">
        <w:rPr>
          <w:rFonts w:eastAsia="Times New Roman" w:cs="Times New Roman"/>
          <w:szCs w:val="22"/>
          <w:lang w:val="en-NZ"/>
        </w:rPr>
        <w:t xml:space="preserve">Annual Report (page 67) states that the Fund engaged with 100% of the equity portfolio on climate change.  </w:t>
      </w:r>
      <w:r w:rsidR="007869B3" w:rsidRPr="009E13A2">
        <w:rPr>
          <w:rFonts w:eastAsia="Times New Roman" w:cs="Times New Roman"/>
          <w:szCs w:val="22"/>
          <w:lang w:val="en-NZ"/>
        </w:rPr>
        <w:t>This is done</w:t>
      </w:r>
      <w:r w:rsidRPr="009E13A2">
        <w:rPr>
          <w:rFonts w:eastAsia="Times New Roman" w:cs="Times New Roman"/>
          <w:szCs w:val="22"/>
          <w:lang w:val="en-NZ"/>
        </w:rPr>
        <w:t xml:space="preserve"> as a signatory of the CDP's </w:t>
      </w:r>
      <w:r w:rsidR="007869B3" w:rsidRPr="009E13A2">
        <w:rPr>
          <w:rFonts w:eastAsia="Times New Roman" w:cs="Times New Roman"/>
          <w:szCs w:val="22"/>
          <w:lang w:val="en-NZ"/>
        </w:rPr>
        <w:t xml:space="preserve">investor climate change programme.  However, this is engagement only in the sense of </w:t>
      </w:r>
      <w:r w:rsidR="00337590">
        <w:rPr>
          <w:rFonts w:eastAsia="Times New Roman" w:cs="Times New Roman"/>
          <w:szCs w:val="22"/>
          <w:lang w:val="en-NZ"/>
        </w:rPr>
        <w:t xml:space="preserve">being one of </w:t>
      </w:r>
      <w:r w:rsidR="00745DA7">
        <w:rPr>
          <w:rFonts w:eastAsia="Times New Roman" w:cs="Times New Roman"/>
          <w:szCs w:val="22"/>
          <w:lang w:val="en-NZ"/>
        </w:rPr>
        <w:t>822 signatories of the Project that e</w:t>
      </w:r>
      <w:r w:rsidR="007869B3" w:rsidRPr="009E13A2">
        <w:rPr>
          <w:rFonts w:eastAsia="Times New Roman" w:cs="Times New Roman"/>
          <w:szCs w:val="22"/>
          <w:lang w:val="en-NZ"/>
        </w:rPr>
        <w:t>ncourag</w:t>
      </w:r>
      <w:r w:rsidR="00745DA7">
        <w:rPr>
          <w:rFonts w:eastAsia="Times New Roman" w:cs="Times New Roman"/>
          <w:szCs w:val="22"/>
          <w:lang w:val="en-NZ"/>
        </w:rPr>
        <w:t xml:space="preserve">es </w:t>
      </w:r>
      <w:r w:rsidR="00705907">
        <w:rPr>
          <w:rFonts w:eastAsia="Times New Roman" w:cs="Times New Roman"/>
          <w:szCs w:val="22"/>
          <w:lang w:val="en-NZ"/>
        </w:rPr>
        <w:t>companies to disclos</w:t>
      </w:r>
      <w:r w:rsidR="007869B3" w:rsidRPr="009E13A2">
        <w:rPr>
          <w:rFonts w:eastAsia="Times New Roman" w:cs="Times New Roman"/>
          <w:szCs w:val="22"/>
          <w:lang w:val="en-NZ"/>
        </w:rPr>
        <w:t>e their carbon emissions.  A more active role to play is to engage with those companies to significantly reduce their carbon impact</w:t>
      </w:r>
      <w:r w:rsidR="00183A55">
        <w:rPr>
          <w:rFonts w:eastAsia="Times New Roman" w:cs="Times New Roman"/>
          <w:szCs w:val="22"/>
          <w:lang w:val="en-NZ"/>
        </w:rPr>
        <w:t>.</w:t>
      </w:r>
    </w:p>
    <w:p w14:paraId="0A0229B9" w14:textId="77777777" w:rsidR="001415BB" w:rsidRPr="009E13A2" w:rsidRDefault="001415BB" w:rsidP="00DF0CB2">
      <w:pPr>
        <w:rPr>
          <w:rFonts w:ascii="Times" w:eastAsia="Times New Roman" w:hAnsi="Times" w:cs="Times New Roman"/>
          <w:sz w:val="20"/>
          <w:szCs w:val="20"/>
          <w:lang w:val="en-NZ"/>
        </w:rPr>
      </w:pPr>
    </w:p>
    <w:p w14:paraId="4FCB38ED" w14:textId="75743103" w:rsidR="00C96928" w:rsidRPr="009E13A2" w:rsidRDefault="00C96928" w:rsidP="00C96928">
      <w:r w:rsidRPr="009E13A2">
        <w:t xml:space="preserve">The Annual Report 2015 (page 69) gives an overall picture of The Fund’s engagement during the year.  It is too brief to be able to assess how effective </w:t>
      </w:r>
      <w:r w:rsidR="00C567CA">
        <w:t>their engagement is.  Although t</w:t>
      </w:r>
      <w:r w:rsidRPr="009E13A2">
        <w:t xml:space="preserve">he Fund is very transparent in most of its activities, this is an area where improvement is necessary. </w:t>
      </w:r>
      <w:r w:rsidR="00B647FC" w:rsidRPr="009E13A2">
        <w:t xml:space="preserve">  The Annual Report also states that the appointment of </w:t>
      </w:r>
      <w:r w:rsidR="00C64422">
        <w:t xml:space="preserve">the company, </w:t>
      </w:r>
      <w:r w:rsidR="00B647FC" w:rsidRPr="009E13A2">
        <w:t>BMO</w:t>
      </w:r>
      <w:r w:rsidR="00C64422">
        <w:t>,</w:t>
      </w:r>
      <w:r w:rsidR="00B647FC" w:rsidRPr="009E13A2">
        <w:t xml:space="preserve"> will expand their engagement in the future, but it remains to be seen </w:t>
      </w:r>
      <w:r w:rsidR="00C64422">
        <w:t xml:space="preserve">whether this will lead to more transparency, </w:t>
      </w:r>
      <w:r w:rsidR="00D706C6" w:rsidRPr="009E13A2">
        <w:t>effectiveness</w:t>
      </w:r>
      <w:r w:rsidR="00C64422">
        <w:t>, or</w:t>
      </w:r>
      <w:r w:rsidR="00D706C6" w:rsidRPr="009E13A2">
        <w:t xml:space="preserve"> </w:t>
      </w:r>
      <w:r w:rsidR="00B647FC" w:rsidRPr="009E13A2">
        <w:t>range and depth of this future work.</w:t>
      </w:r>
      <w:r w:rsidR="003061C1">
        <w:t xml:space="preserve">  Consideration should also be given to membership of active engagement groups such as the ICCR or the ACCR.</w:t>
      </w:r>
    </w:p>
    <w:p w14:paraId="4E8053B3" w14:textId="77777777" w:rsidR="005A35B0" w:rsidRPr="009E13A2" w:rsidRDefault="005A35B0"/>
    <w:p w14:paraId="12FB13E8" w14:textId="4663D7B6" w:rsidR="006946D6" w:rsidRPr="009E13A2" w:rsidRDefault="006946D6">
      <w:r w:rsidRPr="009E13A2">
        <w:t xml:space="preserve">Because of the minimal number of exclusions and the limited number of engagements, the Fund needs to rethink its strategy and exclude more, invest in </w:t>
      </w:r>
      <w:r w:rsidR="00C87DBC">
        <w:t>fewer</w:t>
      </w:r>
      <w:r w:rsidRPr="009E13A2">
        <w:t xml:space="preserve"> </w:t>
      </w:r>
      <w:r w:rsidR="00E54FB8">
        <w:t>companies</w:t>
      </w:r>
      <w:r w:rsidRPr="009E13A2">
        <w:t>, and engage more.</w:t>
      </w:r>
    </w:p>
    <w:p w14:paraId="18D46F7D" w14:textId="77777777" w:rsidR="00695755" w:rsidRPr="009E13A2" w:rsidRDefault="00695755">
      <w:pPr>
        <w:rPr>
          <w:b/>
        </w:rPr>
      </w:pPr>
    </w:p>
    <w:p w14:paraId="50309F18" w14:textId="6DF306D2" w:rsidR="00DC7879" w:rsidRPr="009E13A2" w:rsidRDefault="006946D6">
      <w:pPr>
        <w:rPr>
          <w:b/>
        </w:rPr>
      </w:pPr>
      <w:r w:rsidRPr="009E13A2">
        <w:rPr>
          <w:b/>
        </w:rPr>
        <w:t>Risk and Climate Warming</w:t>
      </w:r>
    </w:p>
    <w:p w14:paraId="1CF519EF" w14:textId="77777777" w:rsidR="006946D6" w:rsidRPr="009E13A2" w:rsidRDefault="006946D6"/>
    <w:p w14:paraId="5C7F349C" w14:textId="7E1DE76F" w:rsidR="00816705" w:rsidRPr="009E13A2" w:rsidRDefault="00695755">
      <w:pPr>
        <w:rPr>
          <w:rFonts w:cs="Arial"/>
          <w:szCs w:val="22"/>
          <w:lang w:val="en-NZ"/>
        </w:rPr>
      </w:pPr>
      <w:r w:rsidRPr="009E13A2">
        <w:rPr>
          <w:rFonts w:cs="Arial"/>
          <w:szCs w:val="22"/>
          <w:lang w:val="en-NZ"/>
        </w:rPr>
        <w:t xml:space="preserve">In 2008 </w:t>
      </w:r>
      <w:r w:rsidR="00C567CA">
        <w:rPr>
          <w:rFonts w:cs="Arial"/>
          <w:szCs w:val="22"/>
          <w:lang w:val="en-NZ"/>
        </w:rPr>
        <w:t>t</w:t>
      </w:r>
      <w:r w:rsidR="002774C9" w:rsidRPr="009E13A2">
        <w:rPr>
          <w:rFonts w:cs="Arial"/>
          <w:szCs w:val="22"/>
          <w:lang w:val="en-NZ"/>
        </w:rPr>
        <w:t>he Fund</w:t>
      </w:r>
      <w:r w:rsidRPr="009E13A2">
        <w:rPr>
          <w:rFonts w:cs="Arial"/>
          <w:szCs w:val="22"/>
          <w:lang w:val="en-NZ"/>
        </w:rPr>
        <w:t xml:space="preserve"> joined the Investor</w:t>
      </w:r>
      <w:r w:rsidR="003733C5" w:rsidRPr="009E13A2">
        <w:rPr>
          <w:rFonts w:cs="Arial"/>
          <w:szCs w:val="22"/>
          <w:lang w:val="en-NZ"/>
        </w:rPr>
        <w:t xml:space="preserve"> Group on Climate Change (IGCC)</w:t>
      </w:r>
      <w:r w:rsidRPr="009E13A2">
        <w:rPr>
          <w:rFonts w:cs="Arial"/>
          <w:szCs w:val="22"/>
          <w:lang w:val="en-NZ"/>
        </w:rPr>
        <w:t xml:space="preserve"> and </w:t>
      </w:r>
      <w:r w:rsidR="00A33FB3" w:rsidRPr="009E13A2">
        <w:rPr>
          <w:rFonts w:cs="Arial"/>
          <w:szCs w:val="22"/>
          <w:lang w:val="en-NZ"/>
        </w:rPr>
        <w:t>began reporting against</w:t>
      </w:r>
      <w:r w:rsidRPr="009E13A2">
        <w:rPr>
          <w:rFonts w:cs="Arial"/>
          <w:szCs w:val="22"/>
          <w:lang w:val="en-NZ"/>
        </w:rPr>
        <w:t xml:space="preserve"> the Carbon Disclosure Project (CDP)</w:t>
      </w:r>
      <w:r w:rsidR="00A33FB3" w:rsidRPr="009E13A2">
        <w:rPr>
          <w:rFonts w:cs="Arial"/>
          <w:szCs w:val="22"/>
          <w:lang w:val="en-NZ"/>
        </w:rPr>
        <w:t xml:space="preserve"> in 2012</w:t>
      </w:r>
      <w:r w:rsidRPr="009E13A2">
        <w:rPr>
          <w:rFonts w:cs="Arial"/>
          <w:szCs w:val="22"/>
          <w:lang w:val="en-NZ"/>
        </w:rPr>
        <w:t xml:space="preserve">.  </w:t>
      </w:r>
      <w:r w:rsidR="00D57C7C" w:rsidRPr="009E13A2">
        <w:rPr>
          <w:rFonts w:cs="Arial"/>
          <w:szCs w:val="22"/>
          <w:lang w:val="en-NZ"/>
        </w:rPr>
        <w:t>For a fund that has an investment horizon of 2080, it is the prudent thing to take climate warming seriously.  Nevertheless because of the current New Zealand Government’s lack of concern about the seriousness of the threat, the action of the Fu</w:t>
      </w:r>
      <w:r w:rsidR="00E138B4" w:rsidRPr="009E13A2">
        <w:rPr>
          <w:rFonts w:cs="Arial"/>
          <w:szCs w:val="22"/>
          <w:lang w:val="en-NZ"/>
        </w:rPr>
        <w:t xml:space="preserve">nd needs public commendation.  </w:t>
      </w:r>
      <w:r w:rsidR="009057EA" w:rsidRPr="009E13A2">
        <w:rPr>
          <w:rFonts w:cs="Arial"/>
          <w:szCs w:val="22"/>
          <w:lang w:val="en-NZ"/>
        </w:rPr>
        <w:t xml:space="preserve">It is perhaps ironic </w:t>
      </w:r>
      <w:r w:rsidR="004F4D2E" w:rsidRPr="009E13A2">
        <w:rPr>
          <w:rFonts w:cs="Arial"/>
          <w:szCs w:val="22"/>
          <w:lang w:val="en-NZ"/>
        </w:rPr>
        <w:t xml:space="preserve">because of my criticism above about the international reputation criteria, that </w:t>
      </w:r>
      <w:r w:rsidR="009057EA" w:rsidRPr="009E13A2">
        <w:rPr>
          <w:rFonts w:cs="Arial"/>
          <w:szCs w:val="22"/>
          <w:lang w:val="en-NZ"/>
        </w:rPr>
        <w:t>t</w:t>
      </w:r>
      <w:r w:rsidR="00D57C7C" w:rsidRPr="009E13A2">
        <w:rPr>
          <w:rFonts w:cs="Arial"/>
          <w:szCs w:val="22"/>
          <w:lang w:val="en-NZ"/>
        </w:rPr>
        <w:t xml:space="preserve">he recent </w:t>
      </w:r>
      <w:r w:rsidR="009057EA" w:rsidRPr="009E13A2">
        <w:rPr>
          <w:rFonts w:cs="Arial"/>
          <w:szCs w:val="22"/>
          <w:lang w:val="en-NZ"/>
        </w:rPr>
        <w:t>2030 targets by the New Zealand Government for the Pari</w:t>
      </w:r>
      <w:r w:rsidR="00E138B4" w:rsidRPr="009E13A2">
        <w:rPr>
          <w:rFonts w:cs="Arial"/>
          <w:szCs w:val="22"/>
          <w:lang w:val="en-NZ"/>
        </w:rPr>
        <w:t>s Conference have been described,</w:t>
      </w:r>
      <w:r w:rsidR="009057EA" w:rsidRPr="009E13A2">
        <w:rPr>
          <w:rFonts w:cs="Arial"/>
          <w:szCs w:val="22"/>
          <w:lang w:val="en-NZ"/>
        </w:rPr>
        <w:t xml:space="preserve"> by Carbon Tracker </w:t>
      </w:r>
      <w:r w:rsidR="00E138B4" w:rsidRPr="009E13A2">
        <w:rPr>
          <w:rFonts w:cs="Arial"/>
          <w:szCs w:val="22"/>
          <w:lang w:val="en-NZ"/>
        </w:rPr>
        <w:t xml:space="preserve">(Carbon Tracker (a)) </w:t>
      </w:r>
      <w:r w:rsidR="009057EA" w:rsidRPr="009E13A2">
        <w:rPr>
          <w:rFonts w:cs="Arial"/>
          <w:szCs w:val="22"/>
          <w:lang w:val="en-NZ"/>
        </w:rPr>
        <w:t>as being inade</w:t>
      </w:r>
      <w:r w:rsidR="004F4D2E" w:rsidRPr="009E13A2">
        <w:rPr>
          <w:rFonts w:cs="Arial"/>
          <w:szCs w:val="22"/>
          <w:lang w:val="en-NZ"/>
        </w:rPr>
        <w:t>quate</w:t>
      </w:r>
      <w:r w:rsidR="00E138B4" w:rsidRPr="009E13A2">
        <w:rPr>
          <w:rFonts w:cs="Arial"/>
          <w:szCs w:val="22"/>
          <w:lang w:val="en-NZ"/>
        </w:rPr>
        <w:t>.  Hence</w:t>
      </w:r>
      <w:r w:rsidR="00816705" w:rsidRPr="009E13A2">
        <w:rPr>
          <w:rFonts w:cs="Arial"/>
          <w:szCs w:val="22"/>
          <w:lang w:val="en-NZ"/>
        </w:rPr>
        <w:t xml:space="preserve"> </w:t>
      </w:r>
      <w:r w:rsidR="00E138B4" w:rsidRPr="009E13A2">
        <w:rPr>
          <w:rFonts w:cs="Arial"/>
          <w:szCs w:val="22"/>
          <w:lang w:val="en-NZ"/>
        </w:rPr>
        <w:t xml:space="preserve">on the grounds of </w:t>
      </w:r>
      <w:r w:rsidR="00816705" w:rsidRPr="009E13A2">
        <w:rPr>
          <w:rFonts w:cs="Arial"/>
          <w:szCs w:val="22"/>
          <w:lang w:val="en-NZ"/>
        </w:rPr>
        <w:t xml:space="preserve">not doing anything to prejudice </w:t>
      </w:r>
      <w:r w:rsidR="00E138B4" w:rsidRPr="009E13A2">
        <w:rPr>
          <w:rFonts w:cs="Arial"/>
          <w:szCs w:val="22"/>
          <w:lang w:val="en-NZ"/>
        </w:rPr>
        <w:t>New Zealand’s reputation as a responsible member of the world community</w:t>
      </w:r>
      <w:r w:rsidR="00816705" w:rsidRPr="009E13A2">
        <w:rPr>
          <w:rFonts w:cs="Arial"/>
          <w:szCs w:val="22"/>
          <w:lang w:val="en-NZ"/>
        </w:rPr>
        <w:t>, there is more than enough justification for the Fund to take action on climate warming.</w:t>
      </w:r>
      <w:r w:rsidR="00E138B4" w:rsidRPr="009E13A2">
        <w:rPr>
          <w:rFonts w:cs="Arial"/>
          <w:szCs w:val="22"/>
          <w:lang w:val="en-NZ"/>
        </w:rPr>
        <w:t xml:space="preserve"> </w:t>
      </w:r>
    </w:p>
    <w:p w14:paraId="1D93F822" w14:textId="77777777" w:rsidR="002774C9" w:rsidRPr="009E13A2" w:rsidRDefault="002774C9">
      <w:pPr>
        <w:rPr>
          <w:rFonts w:cs="Arial"/>
          <w:szCs w:val="22"/>
          <w:lang w:val="en-NZ"/>
        </w:rPr>
      </w:pPr>
    </w:p>
    <w:p w14:paraId="004D7140" w14:textId="01F2EFC8" w:rsidR="005B0355" w:rsidRPr="009E13A2" w:rsidRDefault="005B0355" w:rsidP="005B0355">
      <w:r w:rsidRPr="009E13A2">
        <w:t>There i</w:t>
      </w:r>
      <w:r w:rsidR="00183A55">
        <w:t xml:space="preserve">s plenty of </w:t>
      </w:r>
      <w:r w:rsidRPr="009E13A2">
        <w:t xml:space="preserve">scientific evidence contained in such reports as the Intergovernmental Panel on Climate Change </w:t>
      </w:r>
      <w:r w:rsidR="00D14860" w:rsidRPr="009E13A2">
        <w:t>(Intergovernmental Panel on Climate Change)</w:t>
      </w:r>
      <w:r w:rsidRPr="009E13A2">
        <w:t>, about the severe threat to human life on earth through greenhouse gas emissions, and that this is significantly in part because of human activity, and in particular, the fossil fuel industry.   If the world is to keep below the 2</w:t>
      </w:r>
      <w:r w:rsidRPr="009E13A2">
        <w:rPr>
          <w:vertAlign w:val="superscript"/>
        </w:rPr>
        <w:t>0</w:t>
      </w:r>
      <w:r w:rsidRPr="009E13A2">
        <w:t>C threshold</w:t>
      </w:r>
      <w:r w:rsidR="00D14860" w:rsidRPr="009E13A2">
        <w:t xml:space="preserve">, </w:t>
      </w:r>
      <w:r w:rsidR="00183A55">
        <w:t>(</w:t>
      </w:r>
      <w:r w:rsidRPr="009E13A2">
        <w:t>and 2</w:t>
      </w:r>
      <w:r w:rsidRPr="009E13A2">
        <w:rPr>
          <w:vertAlign w:val="superscript"/>
        </w:rPr>
        <w:t>0</w:t>
      </w:r>
      <w:r w:rsidRPr="009E13A2">
        <w:t xml:space="preserve">C warming will have numerous </w:t>
      </w:r>
      <w:r w:rsidR="003061C1">
        <w:t>harmful</w:t>
      </w:r>
      <w:r w:rsidRPr="009E13A2">
        <w:t xml:space="preserve"> effects</w:t>
      </w:r>
      <w:r w:rsidR="00D14860" w:rsidRPr="009E13A2">
        <w:t xml:space="preserve"> (Lynas</w:t>
      </w:r>
      <w:r w:rsidR="00183A55">
        <w:t>)),</w:t>
      </w:r>
      <w:r w:rsidRPr="009E13A2">
        <w:t xml:space="preserve"> we can only use 20% of the known coal, oil and gas reserves that fossil fuel companies already have on their books.  The other 80% needs to stay in the ground </w:t>
      </w:r>
      <w:r w:rsidR="00D14860" w:rsidRPr="009E13A2">
        <w:t>(Carbon Tracker</w:t>
      </w:r>
      <w:r w:rsidR="00CA3524" w:rsidRPr="009E13A2">
        <w:t xml:space="preserve"> (b)</w:t>
      </w:r>
      <w:r w:rsidR="00D14860" w:rsidRPr="009E13A2">
        <w:t>)</w:t>
      </w:r>
      <w:r w:rsidRPr="009E13A2">
        <w:t>.</w:t>
      </w:r>
      <w:r w:rsidR="00D14860" w:rsidRPr="009E13A2">
        <w:t xml:space="preserve"> </w:t>
      </w:r>
      <w:r w:rsidR="00D14860" w:rsidRPr="009E13A2">
        <w:rPr>
          <w:rFonts w:eastAsia="Times New Roman" w:cs="Times New Roman"/>
          <w:szCs w:val="22"/>
          <w:lang w:val="en-NZ"/>
        </w:rPr>
        <w:t xml:space="preserve">Mark Carney, Bank of England Governor and Chair of the Financial Stability Board, describes climate change as the biggest future threat to economies, concludes that the majority of fossil fuel reserves must be deemed unburnable, and voices concerns about the risk </w:t>
      </w:r>
      <w:r w:rsidR="00C64422">
        <w:rPr>
          <w:rFonts w:eastAsia="Times New Roman" w:cs="Times New Roman"/>
          <w:szCs w:val="22"/>
          <w:lang w:val="en-NZ"/>
        </w:rPr>
        <w:t>that</w:t>
      </w:r>
      <w:r w:rsidR="00D14860" w:rsidRPr="009E13A2">
        <w:rPr>
          <w:rFonts w:eastAsia="Times New Roman" w:cs="Times New Roman"/>
          <w:szCs w:val="22"/>
          <w:lang w:val="en-NZ"/>
        </w:rPr>
        <w:t xml:space="preserve"> stranded assets might destabilise markets </w:t>
      </w:r>
      <w:r w:rsidR="003733C5" w:rsidRPr="009E13A2">
        <w:rPr>
          <w:rFonts w:eastAsia="Times New Roman" w:cs="Times New Roman"/>
          <w:szCs w:val="22"/>
          <w:lang w:val="en-NZ"/>
        </w:rPr>
        <w:t>(Elliott).</w:t>
      </w:r>
    </w:p>
    <w:p w14:paraId="098357A4" w14:textId="77777777" w:rsidR="005B0355" w:rsidRPr="009E13A2" w:rsidRDefault="005B0355" w:rsidP="005B0355"/>
    <w:p w14:paraId="53FE2B39" w14:textId="55F37DD4" w:rsidR="005570F0" w:rsidRPr="009E13A2" w:rsidRDefault="003733C5" w:rsidP="005570F0">
      <w:r w:rsidRPr="009E13A2">
        <w:t xml:space="preserve">The Fund has been supportive of a recent study </w:t>
      </w:r>
      <w:r w:rsidRPr="009E13A2">
        <w:rPr>
          <w:i/>
        </w:rPr>
        <w:t>Investing in a Time of Climate Change</w:t>
      </w:r>
      <w:r w:rsidRPr="009E13A2">
        <w:t xml:space="preserve"> (Mercer).</w:t>
      </w:r>
      <w:r w:rsidR="00816705" w:rsidRPr="009E13A2">
        <w:t xml:space="preserve">  The study describes four climate scenarios and four climate risk factors to estimate the impact on returns for portfolios, asset classes, and industry sectors between 2015 and 2050.   D</w:t>
      </w:r>
      <w:r w:rsidR="005570F0" w:rsidRPr="009E13A2">
        <w:t>epending</w:t>
      </w:r>
      <w:r w:rsidR="00816705" w:rsidRPr="009E13A2">
        <w:t xml:space="preserve"> </w:t>
      </w:r>
      <w:r w:rsidR="005570F0" w:rsidRPr="009E13A2">
        <w:t>on the climate scenario which plays out,</w:t>
      </w:r>
      <w:r w:rsidR="00816705" w:rsidRPr="009E13A2">
        <w:t xml:space="preserve"> </w:t>
      </w:r>
      <w:r w:rsidR="005570F0" w:rsidRPr="009E13A2">
        <w:t>the average annual returns from the</w:t>
      </w:r>
      <w:r w:rsidR="00816705" w:rsidRPr="009E13A2">
        <w:t xml:space="preserve"> </w:t>
      </w:r>
      <w:r w:rsidR="005570F0" w:rsidRPr="009E13A2">
        <w:t>coal sub-sector could fall by anywhere</w:t>
      </w:r>
    </w:p>
    <w:p w14:paraId="4F525DE6" w14:textId="1F91A899" w:rsidR="005570F0" w:rsidRPr="009E13A2" w:rsidRDefault="005570F0" w:rsidP="005570F0">
      <w:r w:rsidRPr="009E13A2">
        <w:t>between 18% and 74% over the next 35</w:t>
      </w:r>
      <w:r w:rsidR="00816705" w:rsidRPr="009E13A2">
        <w:t xml:space="preserve"> </w:t>
      </w:r>
      <w:r w:rsidRPr="009E13A2">
        <w:t>years, with effects more pronounced</w:t>
      </w:r>
    </w:p>
    <w:p w14:paraId="134E816E" w14:textId="77777777" w:rsidR="00B87C2A" w:rsidRPr="009E13A2" w:rsidRDefault="005570F0" w:rsidP="00816705">
      <w:r w:rsidRPr="009E13A2">
        <w:t>over the coming decade (eroding between</w:t>
      </w:r>
      <w:r w:rsidR="00816705" w:rsidRPr="009E13A2">
        <w:t xml:space="preserve"> </w:t>
      </w:r>
      <w:r w:rsidRPr="009E13A2">
        <w:t>26% and 138% of average annual returns).</w:t>
      </w:r>
      <w:r w:rsidR="00816705" w:rsidRPr="009E13A2">
        <w:t xml:space="preserve">  </w:t>
      </w:r>
      <w:r w:rsidRPr="009E13A2">
        <w:t>Conversely, the renewables sub-sector</w:t>
      </w:r>
      <w:r w:rsidR="00816705" w:rsidRPr="009E13A2">
        <w:t xml:space="preserve"> </w:t>
      </w:r>
      <w:r w:rsidRPr="009E13A2">
        <w:t>could see average annual returns increase</w:t>
      </w:r>
      <w:r w:rsidR="00816705" w:rsidRPr="009E13A2">
        <w:t xml:space="preserve"> </w:t>
      </w:r>
      <w:r w:rsidRPr="009E13A2">
        <w:t>by between 6% and 54% over a 35 year</w:t>
      </w:r>
      <w:r w:rsidR="00816705" w:rsidRPr="009E13A2">
        <w:t xml:space="preserve"> </w:t>
      </w:r>
      <w:r w:rsidRPr="009E13A2">
        <w:t>time horizon (or between 4% and 97%</w:t>
      </w:r>
      <w:r w:rsidR="00816705" w:rsidRPr="009E13A2">
        <w:t xml:space="preserve"> </w:t>
      </w:r>
      <w:r w:rsidRPr="009E13A2">
        <w:t>over a 10-year period).</w:t>
      </w:r>
      <w:r w:rsidR="00816705" w:rsidRPr="009E13A2">
        <w:t xml:space="preserve"> </w:t>
      </w:r>
    </w:p>
    <w:p w14:paraId="27437660" w14:textId="77777777" w:rsidR="00B87C2A" w:rsidRPr="009E13A2" w:rsidRDefault="00B87C2A" w:rsidP="00816705"/>
    <w:p w14:paraId="184B6EBA" w14:textId="5C448E0D" w:rsidR="00816705" w:rsidRPr="009E13A2" w:rsidRDefault="00816705" w:rsidP="00816705">
      <w:pPr>
        <w:rPr>
          <w:rFonts w:eastAsia="Times New Roman" w:cs="Arial"/>
          <w:szCs w:val="22"/>
          <w:lang w:val="en-NZ"/>
        </w:rPr>
      </w:pPr>
      <w:r w:rsidRPr="009E13A2">
        <w:rPr>
          <w:rFonts w:cs="Arial"/>
          <w:szCs w:val="22"/>
        </w:rPr>
        <w:t xml:space="preserve">The </w:t>
      </w:r>
      <w:r w:rsidR="002102F9" w:rsidRPr="009E13A2">
        <w:rPr>
          <w:rFonts w:cs="Arial"/>
          <w:szCs w:val="22"/>
        </w:rPr>
        <w:t xml:space="preserve">Mercer </w:t>
      </w:r>
      <w:r w:rsidRPr="009E13A2">
        <w:rPr>
          <w:rFonts w:cs="Arial"/>
          <w:szCs w:val="22"/>
        </w:rPr>
        <w:t xml:space="preserve">Study concludes that </w:t>
      </w:r>
      <w:r w:rsidR="00B87C2A" w:rsidRPr="009E13A2">
        <w:rPr>
          <w:rFonts w:eastAsia="Times New Roman" w:cs="Arial"/>
          <w:szCs w:val="22"/>
          <w:lang w:val="en-NZ"/>
        </w:rPr>
        <w:t>i</w:t>
      </w:r>
      <w:r w:rsidRPr="009E13A2">
        <w:rPr>
          <w:rFonts w:eastAsia="Times New Roman" w:cs="Arial"/>
          <w:szCs w:val="22"/>
          <w:lang w:val="en-NZ"/>
        </w:rPr>
        <w:t>nvesting to adapt now is widely argued to present a more attractive economic outcome than relying on the concept of greater wealth in the future to provide solutions. Although many of the worst projected climate impacts could still be avoided by holding warming below 2°C, this would require substantial policy, technology, economic, institutional, and behavioural change. For investors, the key question</w:t>
      </w:r>
      <w:r w:rsidR="003061C1">
        <w:rPr>
          <w:rFonts w:eastAsia="Times New Roman" w:cs="Arial"/>
          <w:szCs w:val="22"/>
          <w:lang w:val="en-NZ"/>
        </w:rPr>
        <w:t xml:space="preserve"> the Study poses</w:t>
      </w:r>
      <w:r w:rsidRPr="009E13A2">
        <w:rPr>
          <w:rFonts w:eastAsia="Times New Roman" w:cs="Arial"/>
          <w:szCs w:val="22"/>
          <w:lang w:val="en-NZ"/>
        </w:rPr>
        <w:t xml:space="preserve"> is whether they will actively take a role in encouraging </w:t>
      </w:r>
      <w:r w:rsidR="00C567CA">
        <w:rPr>
          <w:rFonts w:eastAsia="Times New Roman" w:cs="Arial"/>
          <w:szCs w:val="22"/>
          <w:lang w:val="en-NZ"/>
        </w:rPr>
        <w:t xml:space="preserve">limiting </w:t>
      </w:r>
      <w:r w:rsidRPr="009E13A2">
        <w:rPr>
          <w:rFonts w:eastAsia="Times New Roman" w:cs="Arial"/>
          <w:szCs w:val="22"/>
          <w:lang w:val="en-NZ"/>
        </w:rPr>
        <w:t xml:space="preserve">a 2°C outcome in line with </w:t>
      </w:r>
      <w:r w:rsidR="00DA0933" w:rsidRPr="009E13A2">
        <w:rPr>
          <w:rFonts w:eastAsia="Times New Roman" w:cs="Arial"/>
          <w:szCs w:val="22"/>
          <w:lang w:val="en-NZ"/>
        </w:rPr>
        <w:t>the Mercer Transformation S</w:t>
      </w:r>
      <w:r w:rsidRPr="009E13A2">
        <w:rPr>
          <w:rFonts w:eastAsia="Times New Roman" w:cs="Arial"/>
          <w:szCs w:val="22"/>
          <w:lang w:val="en-NZ"/>
        </w:rPr>
        <w:t xml:space="preserve">cenario. </w:t>
      </w:r>
    </w:p>
    <w:p w14:paraId="35D1E9DC" w14:textId="77777777" w:rsidR="00845F61" w:rsidRPr="009E13A2" w:rsidRDefault="00845F61" w:rsidP="00816705">
      <w:pPr>
        <w:rPr>
          <w:rFonts w:eastAsia="Times New Roman" w:cs="Arial"/>
          <w:szCs w:val="22"/>
          <w:lang w:val="en-NZ"/>
        </w:rPr>
      </w:pPr>
    </w:p>
    <w:p w14:paraId="3B48E6AC" w14:textId="04C090B5" w:rsidR="00845F61" w:rsidRPr="009E13A2" w:rsidRDefault="00845F61" w:rsidP="00845F61">
      <w:pPr>
        <w:shd w:val="clear" w:color="auto" w:fill="FFFFFF"/>
        <w:rPr>
          <w:szCs w:val="22"/>
        </w:rPr>
      </w:pPr>
      <w:r w:rsidRPr="009E13A2">
        <w:rPr>
          <w:szCs w:val="22"/>
          <w:lang w:val="en-US"/>
        </w:rPr>
        <w:t xml:space="preserve">Should a responsible investor retain any investments they have in fossil fuels, or divest?  Frynas, an experienced consultant in corporate social responsibility and strategic management with a particular focus on the oil and gas industry, claims that such hope is unrealistic and they should be closed down </w:t>
      </w:r>
      <w:r w:rsidR="00AD23CB" w:rsidRPr="009E13A2">
        <w:rPr>
          <w:szCs w:val="22"/>
          <w:lang w:val="en-US"/>
        </w:rPr>
        <w:t>(Frynas)</w:t>
      </w:r>
      <w:r w:rsidRPr="009E13A2">
        <w:rPr>
          <w:szCs w:val="22"/>
          <w:lang w:val="en-US"/>
        </w:rPr>
        <w:t xml:space="preserve">.  </w:t>
      </w:r>
      <w:r w:rsidRPr="009E13A2">
        <w:rPr>
          <w:szCs w:val="22"/>
        </w:rPr>
        <w:t xml:space="preserve">He </w:t>
      </w:r>
      <w:r w:rsidRPr="009E13A2">
        <w:rPr>
          <w:szCs w:val="22"/>
          <w:lang w:val="en-US"/>
        </w:rPr>
        <w:t>reviews the behaviour of the major privately owned oil and gas companies and the drivers that influence them. He shows that</w:t>
      </w:r>
      <w:r w:rsidRPr="009E13A2">
        <w:rPr>
          <w:szCs w:val="22"/>
        </w:rPr>
        <w:t xml:space="preserve"> </w:t>
      </w:r>
      <w:r w:rsidRPr="009E13A2">
        <w:rPr>
          <w:szCs w:val="22"/>
          <w:lang w:val="en-US"/>
        </w:rPr>
        <w:t>Shell and BP have been shown to be amenable to public criticism and protest. Exxon has not been amenable to public concerns in the same way.  Exxon has been intractable about climate change.  They have disputed the scientific findings of environmental groups and chose to combat its critics rather than to engage with them.  They have funded think tanks and lobbyists to oppose attempts to reduce emissions.  They assisted th</w:t>
      </w:r>
      <w:r w:rsidR="00AD23CB" w:rsidRPr="009E13A2">
        <w:rPr>
          <w:szCs w:val="22"/>
          <w:lang w:val="en-US"/>
        </w:rPr>
        <w:t>e Global Climate Coalition</w:t>
      </w:r>
      <w:r w:rsidRPr="009E13A2">
        <w:rPr>
          <w:szCs w:val="22"/>
          <w:lang w:val="en-US"/>
        </w:rPr>
        <w:t xml:space="preserve">, a corporate lobby group that spent tens of millions of dollars trying to undermine the international climate negotiations.  The 2001 boycott campaign against Exxon </w:t>
      </w:r>
      <w:r w:rsidR="00C64422">
        <w:rPr>
          <w:szCs w:val="22"/>
          <w:lang w:val="en-US"/>
        </w:rPr>
        <w:t>had</w:t>
      </w:r>
      <w:r w:rsidRPr="009E13A2">
        <w:rPr>
          <w:szCs w:val="22"/>
          <w:lang w:val="en-US"/>
        </w:rPr>
        <w:t xml:space="preserve"> little impact on the company’s strategy, despite shareholder resolutions and media publicity. </w:t>
      </w:r>
    </w:p>
    <w:p w14:paraId="76C62BB3" w14:textId="77777777" w:rsidR="00845F61" w:rsidRPr="009E13A2" w:rsidRDefault="00845F61" w:rsidP="00845F61">
      <w:pPr>
        <w:shd w:val="clear" w:color="auto" w:fill="FFFFFF"/>
        <w:rPr>
          <w:szCs w:val="22"/>
        </w:rPr>
      </w:pPr>
      <w:r w:rsidRPr="009E13A2">
        <w:rPr>
          <w:szCs w:val="22"/>
          <w:lang w:val="en-US"/>
        </w:rPr>
        <w:t> </w:t>
      </w:r>
    </w:p>
    <w:p w14:paraId="0863A0E3" w14:textId="79EB6D75" w:rsidR="005408AB" w:rsidRDefault="00845F61" w:rsidP="005408AB">
      <w:pPr>
        <w:rPr>
          <w:szCs w:val="22"/>
          <w:lang w:val="en-US"/>
        </w:rPr>
      </w:pPr>
      <w:r w:rsidRPr="009E13A2">
        <w:rPr>
          <w:szCs w:val="22"/>
          <w:lang w:val="en-US"/>
        </w:rPr>
        <w:t xml:space="preserve">According to Frynas, multinational companies often do not recognise the full extent of their interactions with society and politics, and they do not accept responsibility for issues concerning the society-wide impact of their industry. While companies clearly exercise political influence, they tend to reject the notion that they could play a constructive role in helping to address governance failures.  This conclusion is supported by Leggett where he found that the carbon fuel bosses agreed to the reality of global warming, but claim that governments need to provide the leadership on the matter </w:t>
      </w:r>
      <w:r w:rsidR="00AD23CB" w:rsidRPr="009E13A2">
        <w:rPr>
          <w:szCs w:val="22"/>
          <w:lang w:val="en-US"/>
        </w:rPr>
        <w:t>(Legget</w:t>
      </w:r>
      <w:r w:rsidR="00EC3234" w:rsidRPr="009E13A2">
        <w:rPr>
          <w:szCs w:val="22"/>
          <w:lang w:val="en-US"/>
        </w:rPr>
        <w:t>t</w:t>
      </w:r>
      <w:r w:rsidR="00AD23CB" w:rsidRPr="009E13A2">
        <w:rPr>
          <w:szCs w:val="22"/>
          <w:lang w:val="en-US"/>
        </w:rPr>
        <w:t>)</w:t>
      </w:r>
      <w:r w:rsidRPr="009E13A2">
        <w:rPr>
          <w:szCs w:val="22"/>
          <w:lang w:val="en-US"/>
        </w:rPr>
        <w:t>.   </w:t>
      </w:r>
      <w:r w:rsidR="00EC3234" w:rsidRPr="009E13A2">
        <w:rPr>
          <w:szCs w:val="22"/>
          <w:lang w:val="en-US"/>
        </w:rPr>
        <w:t>A recent call by six oil and gas groups to support a tax on carbon</w:t>
      </w:r>
      <w:r w:rsidR="005408AB" w:rsidRPr="009E13A2">
        <w:rPr>
          <w:szCs w:val="22"/>
          <w:lang w:val="en-US"/>
        </w:rPr>
        <w:t xml:space="preserve"> is self-serving: Eur</w:t>
      </w:r>
      <w:r w:rsidR="00D706C6" w:rsidRPr="009E13A2">
        <w:rPr>
          <w:szCs w:val="22"/>
          <w:lang w:val="en-US"/>
        </w:rPr>
        <w:t>op</w:t>
      </w:r>
      <w:r w:rsidR="005408AB" w:rsidRPr="009E13A2">
        <w:rPr>
          <w:szCs w:val="22"/>
          <w:lang w:val="en-US"/>
        </w:rPr>
        <w:t>e’s oil giants know that climate policy is moving ahead</w:t>
      </w:r>
      <w:r w:rsidR="00D706C6" w:rsidRPr="009E13A2">
        <w:rPr>
          <w:szCs w:val="22"/>
          <w:lang w:val="en-US"/>
        </w:rPr>
        <w:t xml:space="preserve"> with or without them, and they</w:t>
      </w:r>
      <w:r w:rsidR="005408AB" w:rsidRPr="009E13A2">
        <w:rPr>
          <w:szCs w:val="22"/>
          <w:lang w:val="en-US"/>
        </w:rPr>
        <w:t xml:space="preserve"> prefer to have some influence over how that </w:t>
      </w:r>
      <w:r w:rsidR="00D706C6" w:rsidRPr="009E13A2">
        <w:rPr>
          <w:szCs w:val="22"/>
          <w:lang w:val="en-US"/>
        </w:rPr>
        <w:t>process plays out (Roberts).</w:t>
      </w:r>
    </w:p>
    <w:p w14:paraId="1B09FEB4" w14:textId="77777777" w:rsidR="00943DF0" w:rsidRDefault="00943DF0" w:rsidP="005408AB">
      <w:pPr>
        <w:rPr>
          <w:szCs w:val="22"/>
          <w:lang w:val="en-US"/>
        </w:rPr>
      </w:pPr>
    </w:p>
    <w:p w14:paraId="6F435F75" w14:textId="7CC99FD7" w:rsidR="008B1586" w:rsidRPr="00943DF0" w:rsidRDefault="008B1586" w:rsidP="00943DF0">
      <w:r w:rsidRPr="009E13A2">
        <w:rPr>
          <w:szCs w:val="22"/>
        </w:rPr>
        <w:t>It is now time for the New Zealand Superannuation Fund to divest from the fossil fuel industry.</w:t>
      </w:r>
    </w:p>
    <w:p w14:paraId="0D1BA63C" w14:textId="77777777" w:rsidR="00816705" w:rsidRPr="009E13A2" w:rsidRDefault="00816705" w:rsidP="00816705">
      <w:pPr>
        <w:rPr>
          <w:rFonts w:eastAsia="Times New Roman" w:cs="Arial"/>
          <w:szCs w:val="22"/>
          <w:lang w:val="en-NZ"/>
        </w:rPr>
      </w:pPr>
    </w:p>
    <w:p w14:paraId="656FD8D1" w14:textId="57D30F6C" w:rsidR="00E95F9A" w:rsidRPr="009E13A2" w:rsidRDefault="00841C4F" w:rsidP="005570F0">
      <w:pPr>
        <w:rPr>
          <w:b/>
        </w:rPr>
      </w:pPr>
      <w:r w:rsidRPr="009E13A2">
        <w:rPr>
          <w:b/>
        </w:rPr>
        <w:t>Other Strategic Risk</w:t>
      </w:r>
      <w:r w:rsidR="00D706C6" w:rsidRPr="009E13A2">
        <w:rPr>
          <w:b/>
        </w:rPr>
        <w:t>s</w:t>
      </w:r>
    </w:p>
    <w:p w14:paraId="6629943F" w14:textId="77777777" w:rsidR="00EF3E45" w:rsidRPr="009E13A2" w:rsidRDefault="00EF3E45" w:rsidP="00EF3E45">
      <w:pPr>
        <w:rPr>
          <w:szCs w:val="22"/>
        </w:rPr>
      </w:pPr>
    </w:p>
    <w:p w14:paraId="2F3A28CA" w14:textId="7B0E5E17" w:rsidR="00EF3E45" w:rsidRPr="009E13A2" w:rsidRDefault="00EF3E45" w:rsidP="00EF3E45">
      <w:pPr>
        <w:rPr>
          <w:szCs w:val="22"/>
        </w:rPr>
      </w:pPr>
      <w:r w:rsidRPr="009E13A2">
        <w:rPr>
          <w:szCs w:val="22"/>
        </w:rPr>
        <w:t xml:space="preserve">It is commendable that the New Zealand Super Fund has identified climate warming as a strategic threat.  But there are other threats that are just as significant if not more so.  Lester Brown from Worldwatch Institute writes that </w:t>
      </w:r>
    </w:p>
    <w:p w14:paraId="2000069D" w14:textId="71DE9AFE" w:rsidR="00EF3E45" w:rsidRPr="009E13A2" w:rsidRDefault="00EF3E45" w:rsidP="00EF3E45">
      <w:pPr>
        <w:ind w:left="720"/>
        <w:rPr>
          <w:i/>
          <w:szCs w:val="22"/>
        </w:rPr>
      </w:pPr>
      <w:r w:rsidRPr="009E13A2">
        <w:rPr>
          <w:i/>
          <w:szCs w:val="22"/>
          <w:lang w:val="en-US"/>
        </w:rPr>
        <w:t>Water tables are falling and wells are going dry in around 20 countries, including China, India and the USA, who produce half of the world’s grain.</w:t>
      </w:r>
      <w:r w:rsidRPr="009E13A2">
        <w:rPr>
          <w:i/>
          <w:szCs w:val="22"/>
        </w:rPr>
        <w:t xml:space="preserve">  </w:t>
      </w:r>
      <w:r w:rsidRPr="009E13A2">
        <w:rPr>
          <w:i/>
          <w:szCs w:val="22"/>
          <w:lang w:val="en-US"/>
        </w:rPr>
        <w:t>A major concern is with fossil aquifers (aquifers that do not</w:t>
      </w:r>
      <w:r w:rsidRPr="009E13A2">
        <w:rPr>
          <w:i/>
          <w:szCs w:val="22"/>
        </w:rPr>
        <w:t xml:space="preserve"> </w:t>
      </w:r>
      <w:r w:rsidRPr="009E13A2">
        <w:rPr>
          <w:i/>
          <w:szCs w:val="22"/>
          <w:lang w:val="en-US"/>
        </w:rPr>
        <w:t xml:space="preserve">recharge) in the USA (Ogallala), China and Saudi Arabia </w:t>
      </w:r>
      <w:r w:rsidRPr="009E13A2">
        <w:rPr>
          <w:szCs w:val="22"/>
          <w:lang w:val="en-US"/>
        </w:rPr>
        <w:t>(Brown).</w:t>
      </w:r>
      <w:r w:rsidRPr="009E13A2">
        <w:rPr>
          <w:i/>
          <w:szCs w:val="22"/>
          <w:lang w:val="en-US"/>
        </w:rPr>
        <w:t xml:space="preserve"> </w:t>
      </w:r>
      <w:r w:rsidRPr="009E13A2">
        <w:rPr>
          <w:i/>
          <w:szCs w:val="22"/>
        </w:rPr>
        <w:t xml:space="preserve"> </w:t>
      </w:r>
    </w:p>
    <w:p w14:paraId="23F3BDF7" w14:textId="65E77207" w:rsidR="00EF3E45" w:rsidRPr="009E13A2" w:rsidRDefault="00EF3E45" w:rsidP="00EF3E45">
      <w:pPr>
        <w:rPr>
          <w:i/>
          <w:szCs w:val="22"/>
        </w:rPr>
      </w:pPr>
      <w:r w:rsidRPr="009E13A2">
        <w:rPr>
          <w:rFonts w:cs="ArialMT"/>
          <w:bCs/>
          <w:szCs w:val="26"/>
          <w:lang w:val="en-US" w:bidi="en-US"/>
        </w:rPr>
        <w:t xml:space="preserve">Roughly 20% of US grain comes from irrigated land.  The USA is now dependent on nonrenewable groundwater for 50% of its water.  In China, 80% of its grain comes from irrigated land.  Overpumping in the North China Plain of its fossil aquifer is a major concern. One third of the corn and half of China’s wheat come from this area.  It is estimated that 130 million Chinese are dependent on unsustainable water.  In India 60% of its grain is dependent on irrigation.  A World Bank study in 2005 stated that grain for 175 million Indians was produced by overpumping water.  Water levels in water tables and going down and wells are drying up.   </w:t>
      </w:r>
      <w:r w:rsidRPr="009E13A2">
        <w:rPr>
          <w:rFonts w:eastAsia="Times New Roman" w:cs="Arial"/>
          <w:szCs w:val="22"/>
          <w:shd w:val="clear" w:color="auto" w:fill="FFFFFF"/>
          <w:lang w:val="en-US"/>
        </w:rPr>
        <w:t xml:space="preserve">In a 2013 article in the Economist, the problems of energy and water were graphically illustrated with China: Wen Jiabao, a former prime minister, said water shortages “threaten the very survival of the Chinese nation”.  </w:t>
      </w:r>
      <w:r w:rsidRPr="009E13A2">
        <w:rPr>
          <w:szCs w:val="22"/>
        </w:rPr>
        <w:t xml:space="preserve">For Brown </w:t>
      </w:r>
      <w:r w:rsidRPr="009E13A2">
        <w:rPr>
          <w:szCs w:val="22"/>
          <w:lang w:val="en-US"/>
        </w:rPr>
        <w:t>the real threat to our future is peak water.</w:t>
      </w:r>
    </w:p>
    <w:p w14:paraId="5B44E745" w14:textId="25DCD568" w:rsidR="00EF3E45" w:rsidRPr="009E13A2" w:rsidRDefault="00EF3E45" w:rsidP="00EF3E45">
      <w:pPr>
        <w:widowControl w:val="0"/>
        <w:autoSpaceDE w:val="0"/>
        <w:autoSpaceDN w:val="0"/>
        <w:adjustRightInd w:val="0"/>
        <w:rPr>
          <w:rFonts w:cs="ArialMT"/>
          <w:bCs/>
          <w:szCs w:val="26"/>
          <w:lang w:val="en-US" w:bidi="en-US"/>
        </w:rPr>
      </w:pPr>
    </w:p>
    <w:p w14:paraId="00182630" w14:textId="07964E0F" w:rsidR="006D0D5B" w:rsidRPr="009E13A2" w:rsidRDefault="00D706C6" w:rsidP="006D0D5B">
      <w:pPr>
        <w:tabs>
          <w:tab w:val="num" w:pos="720"/>
          <w:tab w:val="num" w:pos="1440"/>
        </w:tabs>
      </w:pPr>
      <w:r w:rsidRPr="009E13A2">
        <w:t>Another threat is the cu</w:t>
      </w:r>
      <w:r w:rsidR="006D0D5B" w:rsidRPr="009E13A2">
        <w:t>rrent financial and banking sys</w:t>
      </w:r>
      <w:r w:rsidRPr="009E13A2">
        <w:t>tem</w:t>
      </w:r>
      <w:r w:rsidR="006D0D5B" w:rsidRPr="009E13A2">
        <w:t>.  This has recently been described by Martin Wolf, associate editor and chief economics commentator at the Financial Times.  He is widely considered to be one of the world’s most influential writers on economics, being regarded as “staggeringly well connected” within elite financial elite circles.  As a young man he supported Keynesian economics, but gradually became disillusioned and moved to become an influential advocate of globalisation and the free market.  This changed after reflecting on the 2008 meltdown.  He stated that he was guilty of working with a mental model of the economy that did not allow for the possibility of another great depression.  He states that the economic, financial, intellectual and political elites misunderstood the consequences of headlong financial liberalisation.  Policy making elites failed to appreciate the risks of systemic breakdown.  Intellectual elites failed to anticipate crisis and agree on what to do.  Political elites were discredited by their willingness to finance the rescue.</w:t>
      </w:r>
    </w:p>
    <w:p w14:paraId="2C3D4182" w14:textId="77777777" w:rsidR="006D0D5B" w:rsidRPr="009E13A2" w:rsidRDefault="006D0D5B" w:rsidP="006D0D5B"/>
    <w:p w14:paraId="76D00D60" w14:textId="4EE213E3" w:rsidR="006D0D5B" w:rsidRPr="00C64422" w:rsidRDefault="006D0D5B" w:rsidP="00C64422">
      <w:pPr>
        <w:rPr>
          <w:rFonts w:ascii="Times" w:eastAsia="Times New Roman" w:hAnsi="Times" w:cs="Times New Roman"/>
          <w:sz w:val="20"/>
          <w:szCs w:val="20"/>
          <w:lang w:val="en-NZ"/>
        </w:rPr>
      </w:pPr>
      <w:r w:rsidRPr="009E13A2">
        <w:t>Wolf describes the role of private banking in money creation (97% in UK) and that fractional banking is very destabilising</w:t>
      </w:r>
      <w:r w:rsidRPr="00C64422">
        <w:rPr>
          <w:szCs w:val="22"/>
        </w:rPr>
        <w:t xml:space="preserve">. </w:t>
      </w:r>
      <w:r w:rsidR="00C64422" w:rsidRPr="00C64422">
        <w:rPr>
          <w:szCs w:val="22"/>
        </w:rPr>
        <w:t xml:space="preserve">(Fractional banking </w:t>
      </w:r>
      <w:r w:rsidR="00C64422" w:rsidRPr="00C64422">
        <w:rPr>
          <w:rFonts w:eastAsia="Times New Roman" w:cs="Arial"/>
          <w:color w:val="222222"/>
          <w:szCs w:val="22"/>
          <w:shd w:val="clear" w:color="auto" w:fill="FFFFFF"/>
          <w:lang w:val="en-NZ"/>
        </w:rPr>
        <w:t>is the practice whereby a bank accepts deposits, and holds reserves that are a fraction of the amount of its deposit liabilities. Reserves are held at the bank as currency, or as deposits in the bank's accounts at the central bank.)</w:t>
      </w:r>
      <w:r w:rsidR="00C64422">
        <w:rPr>
          <w:rFonts w:ascii="Times" w:eastAsia="Times New Roman" w:hAnsi="Times" w:cs="Times New Roman"/>
          <w:sz w:val="20"/>
          <w:szCs w:val="20"/>
          <w:lang w:val="en-NZ"/>
        </w:rPr>
        <w:t xml:space="preserve">  </w:t>
      </w:r>
      <w:r w:rsidR="00C64422">
        <w:t>Wolf</w:t>
      </w:r>
      <w:r w:rsidRPr="009E13A2">
        <w:t xml:space="preserve"> recommends at a minimum to tighten regulation and increase the reserve ratio.</w:t>
      </w:r>
      <w:r w:rsidRPr="009E13A2">
        <w:rPr>
          <w:lang w:val="en-NZ"/>
        </w:rPr>
        <w:t xml:space="preserve">  At the maxi</w:t>
      </w:r>
      <w:r w:rsidRPr="009E13A2">
        <w:t>mum he says that governments should have the responsibility to create money as per Fisher in 1930’s, the IMF 2012 study, Kotlikoff of Boston Univ</w:t>
      </w:r>
      <w:r w:rsidR="002948F5">
        <w:t>ersity,</w:t>
      </w:r>
      <w:r w:rsidRPr="009E13A2">
        <w:t xml:space="preserve"> and Dyson in Modernising Money (Howell).</w:t>
      </w:r>
      <w:r w:rsidRPr="009E13A2">
        <w:rPr>
          <w:lang w:val="en-NZ"/>
        </w:rPr>
        <w:t xml:space="preserve">  He </w:t>
      </w:r>
      <w:r w:rsidRPr="009E13A2">
        <w:t xml:space="preserve">does not agree that </w:t>
      </w:r>
      <w:r w:rsidR="00C567CA">
        <w:t xml:space="preserve">the </w:t>
      </w:r>
      <w:r w:rsidRPr="009E13A2">
        <w:t>economy would die for lack of credit because about 10% of UK bank</w:t>
      </w:r>
      <w:r w:rsidR="00C567CA">
        <w:t xml:space="preserve"> finance is invested in</w:t>
      </w:r>
      <w:r w:rsidRPr="009E13A2">
        <w:t xml:space="preserve"> sectors other than property.</w:t>
      </w:r>
      <w:r w:rsidRPr="009E13A2">
        <w:rPr>
          <w:lang w:val="en-NZ"/>
        </w:rPr>
        <w:t xml:space="preserve">  He can</w:t>
      </w:r>
      <w:r w:rsidRPr="009E13A2">
        <w:t>not see the current system continuing because it is too unstable.  Broadly he sees two outcomes: less globalised finance or more globalised regulation.</w:t>
      </w:r>
    </w:p>
    <w:p w14:paraId="184C65CF" w14:textId="77777777" w:rsidR="006D0D5B" w:rsidRPr="009E13A2" w:rsidRDefault="006D0D5B" w:rsidP="006D0D5B">
      <w:pPr>
        <w:tabs>
          <w:tab w:val="num" w:pos="720"/>
          <w:tab w:val="num" w:pos="1440"/>
        </w:tabs>
      </w:pPr>
    </w:p>
    <w:p w14:paraId="45EA87DF" w14:textId="6A7C25A0" w:rsidR="006D0D5B" w:rsidRPr="009E13A2" w:rsidRDefault="006D0D5B" w:rsidP="006D0D5B">
      <w:pPr>
        <w:tabs>
          <w:tab w:val="num" w:pos="720"/>
          <w:tab w:val="num" w:pos="1440"/>
        </w:tabs>
      </w:pPr>
      <w:r w:rsidRPr="009E13A2">
        <w:t>With a</w:t>
      </w:r>
      <w:r w:rsidR="008B1586" w:rsidRPr="009E13A2">
        <w:t xml:space="preserve"> </w:t>
      </w:r>
      <w:r w:rsidRPr="009E13A2">
        <w:t>planning perspective of 2</w:t>
      </w:r>
      <w:r w:rsidR="00034486" w:rsidRPr="009E13A2">
        <w:t>080, these and other strategic risks need to be dealt with by the NZ Super Fund.</w:t>
      </w:r>
      <w:r w:rsidR="00530E1C" w:rsidRPr="009E13A2">
        <w:t xml:space="preserve">  The current Risk Management Policy of the Fund needs to be expanded to identify a great</w:t>
      </w:r>
      <w:r w:rsidR="003061C1">
        <w:t>er</w:t>
      </w:r>
      <w:r w:rsidR="00530E1C" w:rsidRPr="009E13A2">
        <w:t xml:space="preserve"> variety of strategic risk</w:t>
      </w:r>
      <w:r w:rsidR="00C64422">
        <w:t>s</w:t>
      </w:r>
      <w:r w:rsidR="00530E1C" w:rsidRPr="009E13A2">
        <w:t>.</w:t>
      </w:r>
    </w:p>
    <w:p w14:paraId="3D76B4EB" w14:textId="77777777" w:rsidR="00841C4F" w:rsidRPr="009E13A2" w:rsidRDefault="00841C4F" w:rsidP="005570F0"/>
    <w:p w14:paraId="775E11BD" w14:textId="71D9E03D" w:rsidR="008B1586" w:rsidRPr="009E13A2" w:rsidRDefault="008B1586" w:rsidP="005570F0">
      <w:pPr>
        <w:rPr>
          <w:b/>
        </w:rPr>
      </w:pPr>
      <w:r w:rsidRPr="009E13A2">
        <w:rPr>
          <w:b/>
        </w:rPr>
        <w:t>Conclusion</w:t>
      </w:r>
    </w:p>
    <w:p w14:paraId="6EDB65B6" w14:textId="77777777" w:rsidR="008B1586" w:rsidRDefault="008B1586" w:rsidP="005570F0"/>
    <w:p w14:paraId="6DEF4DC2" w14:textId="531E3C6A" w:rsidR="009D6E6E" w:rsidRPr="009D6E6E" w:rsidRDefault="009D6E6E" w:rsidP="005570F0">
      <w:pPr>
        <w:rPr>
          <w:szCs w:val="22"/>
        </w:rPr>
      </w:pPr>
      <w:r w:rsidRPr="009E13A2">
        <w:rPr>
          <w:szCs w:val="22"/>
        </w:rPr>
        <w:t xml:space="preserve">The New Zealand Superannuation Fund is not a responsible investor because it </w:t>
      </w:r>
      <w:r>
        <w:t xml:space="preserve">invests in companies that are destroying the ecological systems essential for human life, or </w:t>
      </w:r>
      <w:r w:rsidR="00183A55">
        <w:t xml:space="preserve">companies that </w:t>
      </w:r>
      <w:r>
        <w:t xml:space="preserve">do not treat their stakeholders fairly.  </w:t>
      </w:r>
      <w:r>
        <w:rPr>
          <w:szCs w:val="22"/>
        </w:rPr>
        <w:t>Examples include Rio Tinto</w:t>
      </w:r>
      <w:r w:rsidRPr="009E13A2">
        <w:rPr>
          <w:szCs w:val="22"/>
        </w:rPr>
        <w:t xml:space="preserve"> </w:t>
      </w:r>
      <w:r>
        <w:rPr>
          <w:szCs w:val="22"/>
        </w:rPr>
        <w:t xml:space="preserve">and Exxon Mobil.  </w:t>
      </w:r>
      <w:r>
        <w:t xml:space="preserve">It </w:t>
      </w:r>
      <w:r w:rsidRPr="009E13A2">
        <w:rPr>
          <w:szCs w:val="22"/>
        </w:rPr>
        <w:t xml:space="preserve">invests in too many companies with poor environmental </w:t>
      </w:r>
      <w:r w:rsidR="00183A55">
        <w:rPr>
          <w:szCs w:val="22"/>
        </w:rPr>
        <w:t>or</w:t>
      </w:r>
      <w:r w:rsidRPr="009E13A2">
        <w:rPr>
          <w:szCs w:val="22"/>
        </w:rPr>
        <w:t xml:space="preserve"> human rights </w:t>
      </w:r>
      <w:r>
        <w:rPr>
          <w:szCs w:val="22"/>
        </w:rPr>
        <w:t>behaviour</w:t>
      </w:r>
      <w:r w:rsidRPr="009E13A2">
        <w:rPr>
          <w:szCs w:val="22"/>
        </w:rPr>
        <w:t xml:space="preserve">, and does not actively engage with those companies to change their behaviour. </w:t>
      </w:r>
      <w:r w:rsidRPr="009E13A2">
        <w:t xml:space="preserve">The Fund needs to exclude more (and in particular fossil fuel investments), invest in </w:t>
      </w:r>
      <w:r w:rsidR="00E54FB8">
        <w:t>fewer</w:t>
      </w:r>
      <w:r w:rsidRPr="009E13A2">
        <w:t xml:space="preserve"> numbers of companies, and engage more.  </w:t>
      </w:r>
      <w:r w:rsidRPr="009E13A2">
        <w:rPr>
          <w:szCs w:val="22"/>
        </w:rPr>
        <w:t xml:space="preserve">There are a number of reasons why </w:t>
      </w:r>
      <w:r>
        <w:rPr>
          <w:szCs w:val="22"/>
        </w:rPr>
        <w:t>the Fund finds itself in this situation</w:t>
      </w:r>
      <w:r w:rsidRPr="009E13A2">
        <w:rPr>
          <w:szCs w:val="22"/>
        </w:rPr>
        <w:t xml:space="preserve">.  These include a very weak legislative mandate, the adoption of invalid codes of conduct, a narrow definition of risk, and an inconsistent application of what principles and strategies it has adopted to use.  While it has publicly reported on many aspects of its activity, there are gaps in its public accountability </w:t>
      </w:r>
      <w:r w:rsidR="00E8756B">
        <w:rPr>
          <w:szCs w:val="22"/>
        </w:rPr>
        <w:t xml:space="preserve">and auditing </w:t>
      </w:r>
      <w:r w:rsidRPr="009E13A2">
        <w:rPr>
          <w:szCs w:val="22"/>
        </w:rPr>
        <w:t xml:space="preserve">over its engagement activities.   </w:t>
      </w:r>
    </w:p>
    <w:p w14:paraId="1087010B" w14:textId="77777777" w:rsidR="009D6E6E" w:rsidRDefault="009D6E6E" w:rsidP="005570F0"/>
    <w:p w14:paraId="15952E6B" w14:textId="4A8F44C0" w:rsidR="00B17805" w:rsidRDefault="00601618" w:rsidP="005570F0">
      <w:r>
        <w:t xml:space="preserve">The </w:t>
      </w:r>
      <w:r w:rsidR="00B17805">
        <w:t xml:space="preserve">legislation for the </w:t>
      </w:r>
      <w:r>
        <w:t>Norw</w:t>
      </w:r>
      <w:r w:rsidR="00B17805">
        <w:t>e</w:t>
      </w:r>
      <w:r>
        <w:t xml:space="preserve">gian </w:t>
      </w:r>
      <w:r w:rsidR="00B17805">
        <w:t xml:space="preserve">Government Pension Fund Global that describes human rights, environmental damage and corruption criteria, with the establishment of an Ethical Council that provides the moral assessment of companies for the Norges Bank to implement, is a model </w:t>
      </w:r>
      <w:r w:rsidR="002641E2">
        <w:t xml:space="preserve">(with some amendments) </w:t>
      </w:r>
      <w:r w:rsidR="00B17805">
        <w:t>that is worth consideration.</w:t>
      </w:r>
      <w:r w:rsidR="009D6E6E">
        <w:t xml:space="preserve">  </w:t>
      </w:r>
      <w:r w:rsidR="003061C1">
        <w:t xml:space="preserve">Consideration should also be given to supporting active engagement groups such as the ICCR or the ACCR.  </w:t>
      </w:r>
      <w:r w:rsidR="00B17805">
        <w:t xml:space="preserve">In </w:t>
      </w:r>
      <w:r w:rsidR="009D6E6E">
        <w:t>the</w:t>
      </w:r>
      <w:r w:rsidR="00B17805">
        <w:t xml:space="preserve"> latest Annual Report </w:t>
      </w:r>
      <w:r w:rsidR="009D6E6E">
        <w:t xml:space="preserve">of the Fund </w:t>
      </w:r>
      <w:r w:rsidR="00B17805">
        <w:t xml:space="preserve">it indicates a more active future engagement programme, but unless it changes its inadequate publication of its engagement efforts, it will not be possible to know </w:t>
      </w:r>
      <w:r w:rsidR="00DB1117">
        <w:t xml:space="preserve">whether or not </w:t>
      </w:r>
      <w:r w:rsidR="00B17805">
        <w:t>future eng</w:t>
      </w:r>
      <w:r w:rsidR="00183A55">
        <w:t>agement is really ef</w:t>
      </w:r>
      <w:r w:rsidR="00DB1117">
        <w:t>fective</w:t>
      </w:r>
      <w:r w:rsidR="00183A55">
        <w:t xml:space="preserve">.   </w:t>
      </w:r>
      <w:r w:rsidR="00B17805">
        <w:t xml:space="preserve">CBIS </w:t>
      </w:r>
      <w:r w:rsidR="009D6E6E">
        <w:t>and Triodos Bank are</w:t>
      </w:r>
      <w:r w:rsidR="00B17805">
        <w:t xml:space="preserve"> example</w:t>
      </w:r>
      <w:r w:rsidR="009D6E6E">
        <w:t>s</w:t>
      </w:r>
      <w:r w:rsidR="00B17805">
        <w:t xml:space="preserve"> of best practice that the Fund should study.</w:t>
      </w:r>
    </w:p>
    <w:p w14:paraId="4DF7CE4A" w14:textId="77777777" w:rsidR="00B17805" w:rsidRDefault="00B17805" w:rsidP="005570F0"/>
    <w:p w14:paraId="36B1D423" w14:textId="2E8100B8" w:rsidR="00B17805" w:rsidRPr="009E13A2" w:rsidRDefault="00B17805" w:rsidP="005570F0">
      <w:r>
        <w:t xml:space="preserve">The next few decades will be very turbulent due </w:t>
      </w:r>
      <w:r w:rsidR="0081381F">
        <w:t xml:space="preserve">to such factors as continuing ecological degradation, price increases in energy, banking and financial system collapses, </w:t>
      </w:r>
      <w:r w:rsidR="00DB1117">
        <w:t xml:space="preserve">and </w:t>
      </w:r>
      <w:r w:rsidR="0081381F">
        <w:t xml:space="preserve">food </w:t>
      </w:r>
      <w:r w:rsidR="00DB1117">
        <w:t xml:space="preserve">and water </w:t>
      </w:r>
      <w:r w:rsidR="0081381F">
        <w:t xml:space="preserve">shortages.  The Mercer study is correct in stating that investment needs to now move to preparing humankind to adapt to a very different future that will require substantial policy, technology, economic, institutional and behavioural change if a </w:t>
      </w:r>
      <w:r w:rsidR="0081381F" w:rsidRPr="009E13A2">
        <w:rPr>
          <w:rFonts w:eastAsia="Times New Roman" w:cs="Arial"/>
          <w:szCs w:val="22"/>
          <w:lang w:val="en-NZ"/>
        </w:rPr>
        <w:t>2°C</w:t>
      </w:r>
      <w:r w:rsidR="0081381F">
        <w:rPr>
          <w:rFonts w:eastAsia="Times New Roman" w:cs="Arial"/>
          <w:szCs w:val="22"/>
          <w:lang w:val="en-NZ"/>
        </w:rPr>
        <w:t xml:space="preserve"> or more climate warming scenario is to be avoided.  </w:t>
      </w:r>
      <w:r w:rsidR="00183A55" w:rsidRPr="009E13A2">
        <w:rPr>
          <w:rFonts w:eastAsia="Times New Roman" w:cs="Arial"/>
          <w:szCs w:val="22"/>
          <w:lang w:val="en-NZ"/>
        </w:rPr>
        <w:t xml:space="preserve">It is now time for the Fund to take up this role, and to also recognise other major strategic risks such as </w:t>
      </w:r>
      <w:r w:rsidR="00DB1117">
        <w:rPr>
          <w:rFonts w:eastAsia="Times New Roman" w:cs="Arial"/>
          <w:szCs w:val="22"/>
          <w:lang w:val="en-NZ"/>
        </w:rPr>
        <w:t xml:space="preserve">food, </w:t>
      </w:r>
      <w:r w:rsidR="00183A55" w:rsidRPr="009E13A2">
        <w:rPr>
          <w:rFonts w:eastAsia="Times New Roman" w:cs="Arial"/>
          <w:szCs w:val="22"/>
          <w:lang w:val="en-NZ"/>
        </w:rPr>
        <w:t>water</w:t>
      </w:r>
      <w:r w:rsidR="00DB1117">
        <w:rPr>
          <w:rFonts w:eastAsia="Times New Roman" w:cs="Arial"/>
          <w:szCs w:val="22"/>
          <w:lang w:val="en-NZ"/>
        </w:rPr>
        <w:t>,</w:t>
      </w:r>
      <w:r w:rsidR="00183A55" w:rsidRPr="009E13A2">
        <w:rPr>
          <w:rFonts w:eastAsia="Times New Roman" w:cs="Arial"/>
          <w:szCs w:val="22"/>
          <w:lang w:val="en-NZ"/>
        </w:rPr>
        <w:t xml:space="preserve"> and banking and financial system collapse.</w:t>
      </w:r>
      <w:r w:rsidR="00183A55">
        <w:rPr>
          <w:rFonts w:eastAsia="Times New Roman" w:cs="Arial"/>
          <w:szCs w:val="22"/>
          <w:lang w:val="en-NZ"/>
        </w:rPr>
        <w:t xml:space="preserve"> </w:t>
      </w:r>
      <w:r w:rsidR="0081381F">
        <w:rPr>
          <w:rFonts w:eastAsia="Times New Roman" w:cs="Arial"/>
          <w:szCs w:val="22"/>
          <w:lang w:val="en-NZ"/>
        </w:rPr>
        <w:t>The Fund’s recognition of the strategic significance of climate warming to its future returns is to be welcomed, as is the signing up to the Carbon Disclosure Project. But it is now time for the Fund to divest its fossil fuel investments and take a more active engagement role.</w:t>
      </w:r>
    </w:p>
    <w:p w14:paraId="520BFCF8" w14:textId="77777777" w:rsidR="00816705" w:rsidRPr="009E13A2" w:rsidRDefault="00816705" w:rsidP="005570F0"/>
    <w:p w14:paraId="61844263" w14:textId="77777777" w:rsidR="00A075D8" w:rsidRPr="009E13A2" w:rsidRDefault="006946D6" w:rsidP="006946D6">
      <w:pPr>
        <w:rPr>
          <w:b/>
        </w:rPr>
      </w:pPr>
      <w:r w:rsidRPr="009E13A2">
        <w:rPr>
          <w:b/>
        </w:rPr>
        <w:t>References</w:t>
      </w:r>
    </w:p>
    <w:p w14:paraId="23C1533F" w14:textId="77777777" w:rsidR="00EC3234" w:rsidRDefault="00EC3234" w:rsidP="006946D6">
      <w:pPr>
        <w:rPr>
          <w:rFonts w:cs="Arial"/>
          <w:sz w:val="20"/>
          <w:szCs w:val="20"/>
        </w:rPr>
      </w:pPr>
    </w:p>
    <w:p w14:paraId="561A08E4" w14:textId="186C3D87" w:rsidR="000078B2" w:rsidRPr="000078B2" w:rsidRDefault="000078B2" w:rsidP="006946D6">
      <w:pPr>
        <w:rPr>
          <w:rFonts w:cs="Arial"/>
          <w:sz w:val="20"/>
          <w:szCs w:val="20"/>
        </w:rPr>
      </w:pPr>
      <w:r w:rsidRPr="000078B2">
        <w:rPr>
          <w:rFonts w:cs="Arial"/>
          <w:sz w:val="20"/>
          <w:szCs w:val="20"/>
          <w:lang w:val="en-NZ"/>
        </w:rPr>
        <w:t>Australasian Centre for Corporate Responsibility.</w:t>
      </w:r>
      <w:r>
        <w:rPr>
          <w:rFonts w:cs="Arial"/>
          <w:sz w:val="20"/>
          <w:szCs w:val="20"/>
          <w:lang w:val="en-NZ"/>
        </w:rPr>
        <w:t xml:space="preserve"> </w:t>
      </w:r>
      <w:r w:rsidR="00825AB8">
        <w:rPr>
          <w:rFonts w:cs="Arial"/>
          <w:sz w:val="20"/>
          <w:szCs w:val="20"/>
          <w:lang w:val="en-NZ"/>
        </w:rPr>
        <w:t xml:space="preserve">Retrieved from </w:t>
      </w:r>
      <w:r w:rsidRPr="000078B2">
        <w:rPr>
          <w:rFonts w:cs="Arial"/>
          <w:sz w:val="20"/>
          <w:szCs w:val="20"/>
          <w:lang w:val="en-NZ"/>
        </w:rPr>
        <w:t>http://www.accr.org.au/</w:t>
      </w:r>
    </w:p>
    <w:p w14:paraId="3FD40060" w14:textId="77777777" w:rsidR="000078B2" w:rsidRPr="009E13A2" w:rsidRDefault="000078B2" w:rsidP="006946D6">
      <w:pPr>
        <w:rPr>
          <w:rFonts w:cs="Arial"/>
          <w:sz w:val="20"/>
          <w:szCs w:val="20"/>
        </w:rPr>
      </w:pPr>
    </w:p>
    <w:p w14:paraId="131C16ED" w14:textId="6FF4A7D8" w:rsidR="00D14860" w:rsidRPr="009E13A2" w:rsidRDefault="00EF3E45" w:rsidP="006946D6">
      <w:pPr>
        <w:rPr>
          <w:b/>
          <w:sz w:val="20"/>
          <w:szCs w:val="20"/>
        </w:rPr>
      </w:pPr>
      <w:r w:rsidRPr="009E13A2">
        <w:rPr>
          <w:rFonts w:cs="Arial"/>
          <w:sz w:val="20"/>
          <w:szCs w:val="20"/>
        </w:rPr>
        <w:t xml:space="preserve">Brown, L.  2012.  </w:t>
      </w:r>
      <w:r w:rsidRPr="009E13A2">
        <w:rPr>
          <w:rFonts w:eastAsia="Times New Roman" w:cs="Arial"/>
          <w:sz w:val="20"/>
          <w:szCs w:val="20"/>
        </w:rPr>
        <w:t>Full Planet, Empty Plates: The New Geopolitics of Food Scarcity. NY: W W Norton.</w:t>
      </w:r>
    </w:p>
    <w:p w14:paraId="2CF0ACD4" w14:textId="77777777" w:rsidR="0077658A" w:rsidRPr="009E13A2" w:rsidRDefault="0077658A" w:rsidP="006946D6">
      <w:pPr>
        <w:rPr>
          <w:rStyle w:val="Hyperlink"/>
          <w:color w:val="auto"/>
          <w:sz w:val="20"/>
          <w:szCs w:val="20"/>
          <w:u w:val="none"/>
        </w:rPr>
      </w:pPr>
    </w:p>
    <w:p w14:paraId="143C023E" w14:textId="2F35AC5A" w:rsidR="00D14860" w:rsidRPr="009E13A2" w:rsidRDefault="00D14860" w:rsidP="006946D6">
      <w:pPr>
        <w:rPr>
          <w:rStyle w:val="Hyperlink"/>
          <w:color w:val="auto"/>
          <w:sz w:val="20"/>
          <w:szCs w:val="20"/>
          <w:u w:val="none"/>
        </w:rPr>
      </w:pPr>
      <w:r w:rsidRPr="009E13A2">
        <w:rPr>
          <w:rStyle w:val="Hyperlink"/>
          <w:color w:val="auto"/>
          <w:sz w:val="20"/>
          <w:szCs w:val="20"/>
          <w:u w:val="none"/>
        </w:rPr>
        <w:t xml:space="preserve">Carbon Tracker </w:t>
      </w:r>
      <w:r w:rsidR="00E138B4" w:rsidRPr="009E13A2">
        <w:rPr>
          <w:rStyle w:val="Hyperlink"/>
          <w:color w:val="auto"/>
          <w:sz w:val="20"/>
          <w:szCs w:val="20"/>
          <w:u w:val="none"/>
        </w:rPr>
        <w:t>(a)</w:t>
      </w:r>
      <w:r w:rsidR="00825AB8">
        <w:rPr>
          <w:rStyle w:val="Hyperlink"/>
          <w:color w:val="auto"/>
          <w:sz w:val="20"/>
          <w:szCs w:val="20"/>
          <w:u w:val="none"/>
        </w:rPr>
        <w:t xml:space="preserve">.  </w:t>
      </w:r>
      <w:r w:rsidR="00825AB8">
        <w:rPr>
          <w:rFonts w:cs="Arial"/>
          <w:sz w:val="20"/>
          <w:szCs w:val="20"/>
          <w:lang w:val="en-NZ"/>
        </w:rPr>
        <w:t>Retrieved from</w:t>
      </w:r>
      <w:r w:rsidR="00E138B4" w:rsidRPr="009E13A2">
        <w:rPr>
          <w:rStyle w:val="Hyperlink"/>
          <w:color w:val="auto"/>
          <w:sz w:val="20"/>
          <w:szCs w:val="20"/>
          <w:u w:val="none"/>
        </w:rPr>
        <w:t xml:space="preserve"> </w:t>
      </w:r>
      <w:hyperlink r:id="rId9" w:history="1">
        <w:r w:rsidRPr="009E13A2">
          <w:rPr>
            <w:rStyle w:val="Hyperlink"/>
            <w:color w:val="auto"/>
            <w:sz w:val="20"/>
            <w:szCs w:val="20"/>
            <w:u w:val="none"/>
          </w:rPr>
          <w:t>http://climateactiontracker.org/countries/newzealand.html</w:t>
        </w:r>
      </w:hyperlink>
    </w:p>
    <w:p w14:paraId="2823092C" w14:textId="77777777" w:rsidR="0077658A" w:rsidRPr="009E13A2" w:rsidRDefault="0077658A" w:rsidP="00CA3524">
      <w:pPr>
        <w:rPr>
          <w:sz w:val="20"/>
          <w:szCs w:val="20"/>
        </w:rPr>
      </w:pPr>
    </w:p>
    <w:p w14:paraId="514EDE4B" w14:textId="4069284B" w:rsidR="00CA3524" w:rsidRPr="009E13A2" w:rsidRDefault="00CA3524" w:rsidP="00CA3524">
      <w:pPr>
        <w:rPr>
          <w:rStyle w:val="Hyperlink"/>
          <w:color w:val="auto"/>
          <w:sz w:val="20"/>
          <w:szCs w:val="20"/>
          <w:u w:val="none"/>
        </w:rPr>
      </w:pPr>
      <w:r w:rsidRPr="009E13A2">
        <w:rPr>
          <w:sz w:val="20"/>
          <w:szCs w:val="20"/>
        </w:rPr>
        <w:t>Carbon Tracker (b)</w:t>
      </w:r>
      <w:r w:rsidR="00825AB8">
        <w:rPr>
          <w:sz w:val="20"/>
          <w:szCs w:val="20"/>
        </w:rPr>
        <w:t xml:space="preserve">.  </w:t>
      </w:r>
      <w:r w:rsidR="00825AB8">
        <w:rPr>
          <w:rFonts w:cs="Arial"/>
          <w:sz w:val="20"/>
          <w:szCs w:val="20"/>
          <w:lang w:val="en-NZ"/>
        </w:rPr>
        <w:t>Retrieved from</w:t>
      </w:r>
      <w:r w:rsidRPr="009E13A2">
        <w:rPr>
          <w:b/>
          <w:sz w:val="20"/>
          <w:szCs w:val="20"/>
        </w:rPr>
        <w:t xml:space="preserve"> </w:t>
      </w:r>
      <w:hyperlink r:id="rId10" w:history="1">
        <w:r w:rsidRPr="009E13A2">
          <w:rPr>
            <w:rStyle w:val="Hyperlink"/>
            <w:color w:val="auto"/>
            <w:sz w:val="20"/>
            <w:szCs w:val="20"/>
            <w:u w:val="none"/>
          </w:rPr>
          <w:t>www.carbontracker.org/report/carbon-bubble</w:t>
        </w:r>
      </w:hyperlink>
    </w:p>
    <w:p w14:paraId="6323B3C0" w14:textId="77777777" w:rsidR="0077658A" w:rsidRPr="009E13A2" w:rsidRDefault="0077658A" w:rsidP="006946D6">
      <w:pPr>
        <w:rPr>
          <w:sz w:val="20"/>
          <w:szCs w:val="20"/>
        </w:rPr>
      </w:pPr>
    </w:p>
    <w:p w14:paraId="083D1819" w14:textId="1D3BA7A1" w:rsidR="006946D6" w:rsidRPr="009E13A2" w:rsidRDefault="00A075D8" w:rsidP="006946D6">
      <w:pPr>
        <w:rPr>
          <w:sz w:val="20"/>
          <w:szCs w:val="20"/>
        </w:rPr>
      </w:pPr>
      <w:r w:rsidRPr="009E13A2">
        <w:rPr>
          <w:sz w:val="20"/>
          <w:szCs w:val="20"/>
        </w:rPr>
        <w:t xml:space="preserve">Christian Brothers Investment Service.  </w:t>
      </w:r>
      <w:r w:rsidR="00825AB8">
        <w:rPr>
          <w:rFonts w:cs="Arial"/>
          <w:sz w:val="20"/>
          <w:szCs w:val="20"/>
          <w:lang w:val="en-NZ"/>
        </w:rPr>
        <w:t xml:space="preserve">Retrieved from </w:t>
      </w:r>
      <w:hyperlink r:id="rId11" w:history="1">
        <w:r w:rsidR="00CA3524" w:rsidRPr="009E13A2">
          <w:rPr>
            <w:rStyle w:val="Hyperlink"/>
            <w:color w:val="auto"/>
            <w:sz w:val="20"/>
            <w:szCs w:val="20"/>
            <w:u w:val="none"/>
          </w:rPr>
          <w:t>http://www.cbisonline.com/page.asp?=575</w:t>
        </w:r>
      </w:hyperlink>
    </w:p>
    <w:p w14:paraId="6BB3B3A0" w14:textId="77777777" w:rsidR="0077658A" w:rsidRPr="009E13A2" w:rsidRDefault="0077658A" w:rsidP="006946D6">
      <w:pPr>
        <w:rPr>
          <w:sz w:val="20"/>
          <w:szCs w:val="20"/>
        </w:rPr>
      </w:pPr>
    </w:p>
    <w:p w14:paraId="31C61F3C" w14:textId="16269829" w:rsidR="00CA3524" w:rsidRPr="009E13A2" w:rsidRDefault="00EF3E45" w:rsidP="006946D6">
      <w:pPr>
        <w:rPr>
          <w:sz w:val="20"/>
          <w:szCs w:val="20"/>
        </w:rPr>
      </w:pPr>
      <w:r w:rsidRPr="009E13A2">
        <w:rPr>
          <w:sz w:val="20"/>
          <w:szCs w:val="20"/>
        </w:rPr>
        <w:t>Economist</w:t>
      </w:r>
      <w:r w:rsidR="0077658A" w:rsidRPr="009E13A2">
        <w:rPr>
          <w:sz w:val="20"/>
          <w:szCs w:val="20"/>
        </w:rPr>
        <w:t>.</w:t>
      </w:r>
      <w:r w:rsidRPr="009E13A2">
        <w:rPr>
          <w:sz w:val="20"/>
          <w:szCs w:val="20"/>
        </w:rPr>
        <w:t xml:space="preserve"> </w:t>
      </w:r>
      <w:r w:rsidRPr="009E13A2">
        <w:rPr>
          <w:rFonts w:cs="Arial"/>
          <w:sz w:val="20"/>
          <w:szCs w:val="20"/>
          <w:lang w:val="en-US"/>
        </w:rPr>
        <w:t>August 10 2013</w:t>
      </w:r>
      <w:r w:rsidR="0077658A" w:rsidRPr="009E13A2">
        <w:rPr>
          <w:rFonts w:cs="Arial"/>
          <w:sz w:val="20"/>
          <w:szCs w:val="20"/>
          <w:lang w:val="en-US"/>
        </w:rPr>
        <w:t>. The East is Grey.</w:t>
      </w:r>
    </w:p>
    <w:p w14:paraId="67FEEA06" w14:textId="77777777" w:rsidR="0077658A" w:rsidRPr="009E13A2" w:rsidRDefault="0077658A" w:rsidP="00CA3524">
      <w:pPr>
        <w:rPr>
          <w:sz w:val="20"/>
          <w:szCs w:val="20"/>
        </w:rPr>
      </w:pPr>
    </w:p>
    <w:p w14:paraId="68573BC2" w14:textId="149A91ED" w:rsidR="0077658A" w:rsidRPr="009E13A2" w:rsidRDefault="0077658A" w:rsidP="00CA3524">
      <w:pPr>
        <w:rPr>
          <w:sz w:val="20"/>
          <w:szCs w:val="20"/>
        </w:rPr>
      </w:pPr>
      <w:r w:rsidRPr="009E13A2">
        <w:rPr>
          <w:sz w:val="20"/>
          <w:szCs w:val="20"/>
        </w:rPr>
        <w:t xml:space="preserve">Elliott, L. 29 Sept 2015.  Carney warns of risks from climate change ‘tragedy of the horizon’.  Guardian.  </w:t>
      </w:r>
      <w:r w:rsidR="00825AB8">
        <w:rPr>
          <w:rFonts w:cs="Arial"/>
          <w:sz w:val="20"/>
          <w:szCs w:val="20"/>
          <w:lang w:val="en-NZ"/>
        </w:rPr>
        <w:t xml:space="preserve">Retrieved from </w:t>
      </w:r>
      <w:hyperlink r:id="rId12" w:history="1">
        <w:r w:rsidRPr="009E13A2">
          <w:rPr>
            <w:rStyle w:val="Hyperlink"/>
            <w:color w:val="auto"/>
            <w:sz w:val="20"/>
            <w:szCs w:val="20"/>
            <w:u w:val="none"/>
          </w:rPr>
          <w:t>http://www.theguardian.com/environment/2015/sep/29/carney-warns-of-risks-from-climate-change-tragedy-of-the-horizon</w:t>
        </w:r>
      </w:hyperlink>
    </w:p>
    <w:p w14:paraId="3964CD69" w14:textId="77777777" w:rsidR="0077658A" w:rsidRPr="009E13A2" w:rsidRDefault="0077658A" w:rsidP="0077658A">
      <w:pPr>
        <w:rPr>
          <w:sz w:val="20"/>
          <w:szCs w:val="20"/>
        </w:rPr>
      </w:pPr>
    </w:p>
    <w:p w14:paraId="72C62D93" w14:textId="77777777" w:rsidR="0077658A" w:rsidRPr="009E13A2" w:rsidRDefault="0077658A" w:rsidP="0077658A">
      <w:pPr>
        <w:rPr>
          <w:sz w:val="20"/>
          <w:szCs w:val="20"/>
        </w:rPr>
      </w:pPr>
      <w:r w:rsidRPr="009E13A2">
        <w:rPr>
          <w:sz w:val="20"/>
          <w:szCs w:val="20"/>
        </w:rPr>
        <w:t>Frynas J G. 2009 Beyond Corporate Social Responsibility.  Cambridge: Cambridge University Press.</w:t>
      </w:r>
    </w:p>
    <w:p w14:paraId="6B28F7D4" w14:textId="77777777" w:rsidR="0077658A" w:rsidRPr="009E13A2" w:rsidRDefault="0077658A" w:rsidP="00CA3524">
      <w:pPr>
        <w:rPr>
          <w:sz w:val="20"/>
          <w:szCs w:val="20"/>
        </w:rPr>
      </w:pPr>
    </w:p>
    <w:p w14:paraId="3463C696" w14:textId="08DCDAB0" w:rsidR="0077658A" w:rsidRPr="009E13A2" w:rsidRDefault="0077658A" w:rsidP="00CA3524">
      <w:pPr>
        <w:rPr>
          <w:sz w:val="20"/>
          <w:szCs w:val="20"/>
        </w:rPr>
      </w:pPr>
      <w:r w:rsidRPr="009E13A2">
        <w:rPr>
          <w:sz w:val="20"/>
          <w:szCs w:val="20"/>
        </w:rPr>
        <w:t xml:space="preserve">Global Sustainable Investment Alliance. </w:t>
      </w:r>
      <w:r w:rsidR="00825AB8">
        <w:rPr>
          <w:rFonts w:cs="Arial"/>
          <w:sz w:val="20"/>
          <w:szCs w:val="20"/>
          <w:lang w:val="en-NZ"/>
        </w:rPr>
        <w:t>Retrieved from</w:t>
      </w:r>
      <w:r w:rsidRPr="009E13A2">
        <w:rPr>
          <w:sz w:val="20"/>
          <w:szCs w:val="20"/>
        </w:rPr>
        <w:t xml:space="preserve"> </w:t>
      </w:r>
      <w:hyperlink r:id="rId13" w:history="1">
        <w:r w:rsidRPr="009E13A2">
          <w:rPr>
            <w:rStyle w:val="Hyperlink"/>
            <w:color w:val="auto"/>
            <w:sz w:val="20"/>
            <w:szCs w:val="20"/>
            <w:u w:val="none"/>
          </w:rPr>
          <w:t>http://www.gsi-alliance.org/wp-content/uploads/2015/02/GSIA_Review_download.pdf</w:t>
        </w:r>
      </w:hyperlink>
    </w:p>
    <w:p w14:paraId="1DB8732F" w14:textId="77777777" w:rsidR="0077658A" w:rsidRPr="009E13A2" w:rsidRDefault="0077658A" w:rsidP="0077658A">
      <w:pPr>
        <w:rPr>
          <w:sz w:val="20"/>
          <w:szCs w:val="20"/>
        </w:rPr>
      </w:pPr>
    </w:p>
    <w:p w14:paraId="5278BDCB" w14:textId="2AE02FB5" w:rsidR="0077658A" w:rsidRPr="009E13A2" w:rsidRDefault="0077658A" w:rsidP="0077658A">
      <w:pPr>
        <w:rPr>
          <w:sz w:val="20"/>
          <w:szCs w:val="20"/>
        </w:rPr>
      </w:pPr>
      <w:r w:rsidRPr="009E13A2">
        <w:rPr>
          <w:sz w:val="20"/>
          <w:szCs w:val="20"/>
        </w:rPr>
        <w:t xml:space="preserve">Highwater Global Fund.  </w:t>
      </w:r>
      <w:r w:rsidR="00825AB8">
        <w:rPr>
          <w:rFonts w:cs="Arial"/>
          <w:sz w:val="20"/>
          <w:szCs w:val="20"/>
          <w:lang w:val="en-NZ"/>
        </w:rPr>
        <w:t xml:space="preserve">Retrieved from </w:t>
      </w:r>
      <w:r w:rsidR="00825AB8">
        <w:rPr>
          <w:sz w:val="20"/>
          <w:szCs w:val="20"/>
        </w:rPr>
        <w:t>h</w:t>
      </w:r>
      <w:r w:rsidRPr="009E13A2">
        <w:rPr>
          <w:sz w:val="20"/>
          <w:szCs w:val="20"/>
        </w:rPr>
        <w:t>ttp://www.baldwinbrothersinc.com.sites/default/files/HWG_White Paper.pdf.</w:t>
      </w:r>
    </w:p>
    <w:p w14:paraId="48278C98" w14:textId="77777777" w:rsidR="0077658A" w:rsidRPr="009E13A2" w:rsidRDefault="0077658A" w:rsidP="0077658A">
      <w:pPr>
        <w:rPr>
          <w:sz w:val="20"/>
          <w:szCs w:val="20"/>
        </w:rPr>
      </w:pPr>
    </w:p>
    <w:p w14:paraId="7D15F793" w14:textId="75930300" w:rsidR="0077658A" w:rsidRPr="009E13A2" w:rsidRDefault="0077658A" w:rsidP="0077658A">
      <w:pPr>
        <w:rPr>
          <w:sz w:val="20"/>
          <w:szCs w:val="20"/>
        </w:rPr>
      </w:pPr>
      <w:r w:rsidRPr="009E13A2">
        <w:rPr>
          <w:sz w:val="20"/>
          <w:szCs w:val="20"/>
        </w:rPr>
        <w:t xml:space="preserve">Howell, R. 2013.  United Nations Principles of Responsible Investment (UNPRI) and the Four Australian Banks.   </w:t>
      </w:r>
      <w:r w:rsidR="00825AB8">
        <w:rPr>
          <w:rFonts w:cs="Arial"/>
          <w:sz w:val="20"/>
          <w:szCs w:val="20"/>
          <w:lang w:val="en-NZ"/>
        </w:rPr>
        <w:t xml:space="preserve">Retrieved from </w:t>
      </w:r>
      <w:hyperlink r:id="rId14" w:history="1">
        <w:r w:rsidRPr="009E13A2">
          <w:rPr>
            <w:rStyle w:val="Hyperlink"/>
            <w:color w:val="auto"/>
            <w:sz w:val="20"/>
            <w:szCs w:val="20"/>
            <w:u w:val="none"/>
          </w:rPr>
          <w:t>http://www.arrcc.org.au/socially-responsible-investment-and-the-big-four-australian-banks</w:t>
        </w:r>
      </w:hyperlink>
    </w:p>
    <w:p w14:paraId="304977BD" w14:textId="77777777" w:rsidR="0077658A" w:rsidRPr="009E13A2" w:rsidRDefault="0077658A" w:rsidP="0077658A">
      <w:pPr>
        <w:rPr>
          <w:sz w:val="20"/>
          <w:szCs w:val="20"/>
        </w:rPr>
      </w:pPr>
    </w:p>
    <w:p w14:paraId="4EC7B2A5" w14:textId="6C3BCE18" w:rsidR="0077658A" w:rsidRPr="009E13A2" w:rsidRDefault="0077658A" w:rsidP="0077658A">
      <w:pPr>
        <w:rPr>
          <w:sz w:val="20"/>
          <w:szCs w:val="20"/>
        </w:rPr>
      </w:pPr>
      <w:r w:rsidRPr="009E13A2">
        <w:rPr>
          <w:sz w:val="20"/>
          <w:szCs w:val="20"/>
        </w:rPr>
        <w:t>Howell, R. 2015</w:t>
      </w:r>
      <w:r w:rsidR="00CA0587">
        <w:rPr>
          <w:sz w:val="20"/>
          <w:szCs w:val="20"/>
        </w:rPr>
        <w:t xml:space="preserve"> (a)</w:t>
      </w:r>
      <w:r w:rsidRPr="009E13A2">
        <w:rPr>
          <w:sz w:val="20"/>
          <w:szCs w:val="20"/>
        </w:rPr>
        <w:t xml:space="preserve">.  An Incoherent Financial and Banking System. </w:t>
      </w:r>
      <w:r w:rsidR="00825AB8">
        <w:rPr>
          <w:rFonts w:cs="Arial"/>
          <w:sz w:val="20"/>
          <w:szCs w:val="20"/>
          <w:lang w:val="en-NZ"/>
        </w:rPr>
        <w:t xml:space="preserve">Retrieved from </w:t>
      </w:r>
      <w:r w:rsidRPr="009E13A2">
        <w:rPr>
          <w:sz w:val="20"/>
          <w:szCs w:val="20"/>
        </w:rPr>
        <w:t>https://dl.dropboxusercontent.com/u/11111592/2015-09-Howell-FinancialSystem.pdf</w:t>
      </w:r>
    </w:p>
    <w:p w14:paraId="2B85D6AD" w14:textId="77777777" w:rsidR="00CA0587" w:rsidRDefault="00CA0587" w:rsidP="006946D6">
      <w:pPr>
        <w:rPr>
          <w:sz w:val="20"/>
          <w:szCs w:val="20"/>
        </w:rPr>
      </w:pPr>
    </w:p>
    <w:p w14:paraId="48896B36" w14:textId="4D5E68ED" w:rsidR="00CA0587" w:rsidRPr="00CA0587" w:rsidRDefault="00CA0587" w:rsidP="00CA0587">
      <w:pPr>
        <w:rPr>
          <w:sz w:val="20"/>
          <w:szCs w:val="20"/>
        </w:rPr>
      </w:pPr>
      <w:r w:rsidRPr="00CA0587">
        <w:rPr>
          <w:sz w:val="20"/>
          <w:szCs w:val="20"/>
        </w:rPr>
        <w:t xml:space="preserve">Howell, R. 2015 (b).  How are we to live?  </w:t>
      </w:r>
      <w:r w:rsidRPr="00CA0587">
        <w:rPr>
          <w:rFonts w:cs="Arial"/>
          <w:sz w:val="20"/>
          <w:szCs w:val="20"/>
          <w:lang w:val="en-NZ"/>
        </w:rPr>
        <w:t xml:space="preserve">Retrieved from </w:t>
      </w:r>
      <w:hyperlink r:id="rId15" w:history="1">
        <w:r w:rsidRPr="00AF436B">
          <w:rPr>
            <w:rStyle w:val="Hyperlink"/>
            <w:color w:val="auto"/>
            <w:sz w:val="20"/>
            <w:szCs w:val="20"/>
            <w:u w:val="none"/>
          </w:rPr>
          <w:t>https://dl.dropboxusercontent.com/u/11111592/RH%20How%20are%20we%20to%20live%200315.pdf</w:t>
        </w:r>
      </w:hyperlink>
    </w:p>
    <w:p w14:paraId="200F7C57" w14:textId="77777777" w:rsidR="008B5489" w:rsidRDefault="008B5489" w:rsidP="006946D6">
      <w:pPr>
        <w:rPr>
          <w:sz w:val="20"/>
          <w:szCs w:val="20"/>
        </w:rPr>
      </w:pPr>
    </w:p>
    <w:p w14:paraId="0D21C902" w14:textId="0F50147A" w:rsidR="008B5489" w:rsidRDefault="008B5489" w:rsidP="006946D6">
      <w:pPr>
        <w:rPr>
          <w:sz w:val="20"/>
          <w:szCs w:val="20"/>
        </w:rPr>
      </w:pPr>
      <w:r>
        <w:rPr>
          <w:sz w:val="20"/>
          <w:szCs w:val="20"/>
        </w:rPr>
        <w:t xml:space="preserve">ICCR.  </w:t>
      </w:r>
      <w:r w:rsidRPr="008B5489">
        <w:rPr>
          <w:sz w:val="20"/>
          <w:szCs w:val="20"/>
        </w:rPr>
        <w:t>http://www.iccr.org/</w:t>
      </w:r>
    </w:p>
    <w:p w14:paraId="64291C6E" w14:textId="77777777" w:rsidR="008B5489" w:rsidRDefault="008B5489" w:rsidP="006946D6">
      <w:pPr>
        <w:rPr>
          <w:sz w:val="20"/>
          <w:szCs w:val="20"/>
        </w:rPr>
      </w:pPr>
    </w:p>
    <w:p w14:paraId="5C8D99B1" w14:textId="70C8B65C" w:rsidR="00D14860" w:rsidRDefault="00CA3524" w:rsidP="006946D6">
      <w:pPr>
        <w:rPr>
          <w:rStyle w:val="Hyperlink"/>
          <w:color w:val="auto"/>
          <w:sz w:val="20"/>
          <w:szCs w:val="20"/>
          <w:u w:val="none"/>
        </w:rPr>
      </w:pPr>
      <w:r w:rsidRPr="009E13A2">
        <w:rPr>
          <w:sz w:val="20"/>
          <w:szCs w:val="20"/>
        </w:rPr>
        <w:t xml:space="preserve">Intergovernmental Panel on Climate Change. </w:t>
      </w:r>
      <w:r w:rsidR="00825AB8">
        <w:rPr>
          <w:rFonts w:cs="Arial"/>
          <w:sz w:val="20"/>
          <w:szCs w:val="20"/>
          <w:lang w:val="en-NZ"/>
        </w:rPr>
        <w:t>Retrieved from</w:t>
      </w:r>
      <w:r w:rsidRPr="009E13A2">
        <w:rPr>
          <w:sz w:val="20"/>
          <w:szCs w:val="20"/>
        </w:rPr>
        <w:t xml:space="preserve"> </w:t>
      </w:r>
      <w:hyperlink r:id="rId16" w:history="1">
        <w:r w:rsidRPr="009E13A2">
          <w:rPr>
            <w:rStyle w:val="Hyperlink"/>
            <w:color w:val="auto"/>
            <w:sz w:val="20"/>
            <w:szCs w:val="20"/>
            <w:u w:val="none"/>
          </w:rPr>
          <w:t>http://www.ipcc.ch/</w:t>
        </w:r>
      </w:hyperlink>
    </w:p>
    <w:p w14:paraId="29576E13" w14:textId="77777777" w:rsidR="000D695E" w:rsidRDefault="000D695E" w:rsidP="006946D6">
      <w:pPr>
        <w:rPr>
          <w:rStyle w:val="Hyperlink"/>
          <w:color w:val="auto"/>
          <w:sz w:val="20"/>
          <w:szCs w:val="20"/>
          <w:u w:val="none"/>
        </w:rPr>
      </w:pPr>
    </w:p>
    <w:p w14:paraId="0485726B" w14:textId="77C58FEE" w:rsidR="0077658A" w:rsidRPr="000D695E" w:rsidRDefault="000D695E" w:rsidP="006946D6">
      <w:pPr>
        <w:rPr>
          <w:rFonts w:eastAsia="Times New Roman" w:cs="Arial"/>
          <w:sz w:val="20"/>
          <w:szCs w:val="20"/>
          <w:shd w:val="clear" w:color="auto" w:fill="FFFFFF"/>
          <w:lang w:val="en-NZ"/>
        </w:rPr>
      </w:pPr>
      <w:r w:rsidRPr="000D695E">
        <w:rPr>
          <w:rFonts w:eastAsia="Times New Roman" w:cs="Arial"/>
          <w:sz w:val="20"/>
          <w:szCs w:val="20"/>
          <w:shd w:val="clear" w:color="auto" w:fill="FFFFFF"/>
          <w:lang w:val="en-NZ"/>
        </w:rPr>
        <w:t>Institutional Investors Group on Climate Change 2012 Survey. http://www.iigcc.org/</w:t>
      </w:r>
    </w:p>
    <w:p w14:paraId="73DC94D0" w14:textId="77777777" w:rsidR="000D695E" w:rsidRPr="009E13A2" w:rsidRDefault="000D695E" w:rsidP="006946D6">
      <w:pPr>
        <w:rPr>
          <w:sz w:val="20"/>
          <w:szCs w:val="20"/>
        </w:rPr>
      </w:pPr>
    </w:p>
    <w:p w14:paraId="5BF41CED" w14:textId="7D16BD9E" w:rsidR="0077658A" w:rsidRPr="009E13A2" w:rsidRDefault="0077658A" w:rsidP="006946D6">
      <w:pPr>
        <w:rPr>
          <w:sz w:val="20"/>
          <w:szCs w:val="20"/>
        </w:rPr>
      </w:pPr>
      <w:r w:rsidRPr="009E13A2">
        <w:rPr>
          <w:sz w:val="20"/>
          <w:szCs w:val="20"/>
        </w:rPr>
        <w:t>Joly, C. 2012. Reality and Potential of Responsible Investment, in Responsible Investment in Times of Turmoil. Ed Vandekerckove, W et al.  Dordrecht: Springer</w:t>
      </w:r>
    </w:p>
    <w:p w14:paraId="0E832680" w14:textId="77777777" w:rsidR="0077658A" w:rsidRPr="009E13A2" w:rsidRDefault="0077658A" w:rsidP="006946D6">
      <w:pPr>
        <w:rPr>
          <w:sz w:val="20"/>
          <w:szCs w:val="20"/>
          <w:lang w:val="en-US"/>
        </w:rPr>
      </w:pPr>
    </w:p>
    <w:p w14:paraId="27C7F8AB" w14:textId="15A87AA3" w:rsidR="0077658A" w:rsidRPr="009E13A2" w:rsidRDefault="0077658A" w:rsidP="006946D6">
      <w:pPr>
        <w:rPr>
          <w:sz w:val="20"/>
          <w:szCs w:val="20"/>
        </w:rPr>
      </w:pPr>
      <w:r w:rsidRPr="009E13A2">
        <w:rPr>
          <w:sz w:val="20"/>
          <w:szCs w:val="20"/>
          <w:lang w:val="en-US"/>
        </w:rPr>
        <w:t>Leggett, J.  2014.  The Energy of Nations.  London: Routledge</w:t>
      </w:r>
    </w:p>
    <w:p w14:paraId="5868B5BE" w14:textId="77777777" w:rsidR="0077658A" w:rsidRPr="009E13A2" w:rsidRDefault="0077658A" w:rsidP="006946D6">
      <w:pPr>
        <w:rPr>
          <w:sz w:val="20"/>
          <w:szCs w:val="20"/>
          <w:lang w:val="en-US"/>
        </w:rPr>
      </w:pPr>
    </w:p>
    <w:p w14:paraId="08816725" w14:textId="029E789A" w:rsidR="006946D6" w:rsidRPr="009E13A2" w:rsidRDefault="00D14860" w:rsidP="006946D6">
      <w:pPr>
        <w:rPr>
          <w:sz w:val="20"/>
          <w:szCs w:val="20"/>
          <w:lang w:val="en-US"/>
        </w:rPr>
      </w:pPr>
      <w:r w:rsidRPr="009E13A2">
        <w:rPr>
          <w:sz w:val="20"/>
          <w:szCs w:val="20"/>
          <w:lang w:val="en-US"/>
        </w:rPr>
        <w:t>Lynas, M.  2007.  Six Degrees. Fourth Estate.</w:t>
      </w:r>
    </w:p>
    <w:p w14:paraId="44113189" w14:textId="77777777" w:rsidR="0077658A" w:rsidRPr="009E13A2" w:rsidRDefault="0077658A" w:rsidP="0077658A">
      <w:pPr>
        <w:rPr>
          <w:sz w:val="20"/>
          <w:szCs w:val="20"/>
        </w:rPr>
      </w:pPr>
    </w:p>
    <w:p w14:paraId="31DF60A7" w14:textId="7293E37D" w:rsidR="0077658A" w:rsidRPr="009E13A2" w:rsidRDefault="0077658A" w:rsidP="0077658A">
      <w:pPr>
        <w:rPr>
          <w:sz w:val="20"/>
          <w:szCs w:val="20"/>
        </w:rPr>
      </w:pPr>
      <w:r w:rsidRPr="009E13A2">
        <w:rPr>
          <w:sz w:val="20"/>
          <w:szCs w:val="20"/>
        </w:rPr>
        <w:t>Kanzer, A.  Fighting Slavery in Brazil: Strengthening Local Solutions.</w:t>
      </w:r>
      <w:r w:rsidR="00825AB8">
        <w:rPr>
          <w:sz w:val="20"/>
          <w:szCs w:val="20"/>
        </w:rPr>
        <w:t xml:space="preserve">  </w:t>
      </w:r>
      <w:r w:rsidR="00825AB8">
        <w:rPr>
          <w:rFonts w:cs="Arial"/>
          <w:sz w:val="20"/>
          <w:szCs w:val="20"/>
          <w:lang w:val="en-NZ"/>
        </w:rPr>
        <w:t>Retrieved from</w:t>
      </w:r>
    </w:p>
    <w:p w14:paraId="17270ABE" w14:textId="51BBCE93" w:rsidR="00845F61" w:rsidRPr="009E13A2" w:rsidRDefault="00F85583" w:rsidP="006946D6">
      <w:pPr>
        <w:rPr>
          <w:rFonts w:cs="ArialMT"/>
          <w:sz w:val="20"/>
          <w:szCs w:val="20"/>
          <w:lang w:val="en-US" w:bidi="en-US"/>
        </w:rPr>
      </w:pPr>
      <w:hyperlink r:id="rId17" w:history="1">
        <w:r w:rsidR="0077658A" w:rsidRPr="009E13A2">
          <w:rPr>
            <w:rStyle w:val="Hyperlink"/>
            <w:rFonts w:cs="ArialMT"/>
            <w:color w:val="auto"/>
            <w:sz w:val="20"/>
            <w:szCs w:val="20"/>
            <w:u w:val="none"/>
            <w:lang w:val="en-US" w:bidi="en-US"/>
          </w:rPr>
          <w:t>http://www.domini.com/sites/default/files/fighting_slavery_v1.pdf</w:t>
        </w:r>
      </w:hyperlink>
    </w:p>
    <w:p w14:paraId="62A623BE" w14:textId="77777777" w:rsidR="0077658A" w:rsidRPr="009E13A2" w:rsidRDefault="0077658A" w:rsidP="006946D6">
      <w:pPr>
        <w:rPr>
          <w:sz w:val="20"/>
          <w:szCs w:val="20"/>
        </w:rPr>
      </w:pPr>
    </w:p>
    <w:p w14:paraId="0068AD28" w14:textId="2BD131FD" w:rsidR="00CA3524" w:rsidRPr="009E13A2" w:rsidRDefault="0077658A" w:rsidP="006946D6">
      <w:pPr>
        <w:rPr>
          <w:sz w:val="20"/>
          <w:szCs w:val="20"/>
        </w:rPr>
      </w:pPr>
      <w:r w:rsidRPr="009E13A2">
        <w:rPr>
          <w:sz w:val="20"/>
          <w:szCs w:val="20"/>
        </w:rPr>
        <w:t xml:space="preserve">Mercer. 2015.  Investing in a Time of Climate Change. </w:t>
      </w:r>
      <w:r w:rsidR="00825AB8">
        <w:rPr>
          <w:sz w:val="20"/>
          <w:szCs w:val="20"/>
        </w:rPr>
        <w:t xml:space="preserve"> </w:t>
      </w:r>
      <w:r w:rsidR="00825AB8">
        <w:rPr>
          <w:rFonts w:cs="Arial"/>
          <w:sz w:val="20"/>
          <w:szCs w:val="20"/>
          <w:lang w:val="en-NZ"/>
        </w:rPr>
        <w:t xml:space="preserve">Retrieved from </w:t>
      </w:r>
      <w:hyperlink r:id="rId18" w:history="1">
        <w:r w:rsidRPr="009E13A2">
          <w:rPr>
            <w:rStyle w:val="Hyperlink"/>
            <w:color w:val="auto"/>
            <w:sz w:val="20"/>
            <w:szCs w:val="20"/>
            <w:u w:val="none"/>
          </w:rPr>
          <w:t>http://www.mercer.com/content/dam/mercer/attachments/global/investments/mercer-climate-change-report-2015.pdf</w:t>
        </w:r>
      </w:hyperlink>
    </w:p>
    <w:p w14:paraId="1AB61B19" w14:textId="77777777" w:rsidR="0077658A" w:rsidRPr="009E13A2" w:rsidRDefault="0077658A" w:rsidP="005570F0">
      <w:pPr>
        <w:rPr>
          <w:sz w:val="20"/>
          <w:szCs w:val="20"/>
        </w:rPr>
      </w:pPr>
    </w:p>
    <w:p w14:paraId="4DD51E1F" w14:textId="13778DAE" w:rsidR="006946D6" w:rsidRPr="009E13A2" w:rsidRDefault="00FD614C" w:rsidP="005570F0">
      <w:pPr>
        <w:rPr>
          <w:sz w:val="20"/>
          <w:szCs w:val="20"/>
        </w:rPr>
      </w:pPr>
      <w:r w:rsidRPr="009E13A2">
        <w:rPr>
          <w:sz w:val="20"/>
          <w:szCs w:val="20"/>
        </w:rPr>
        <w:t xml:space="preserve">Milne, R.  Oct 13 2015.  Oil-rich Norway in Vanguard of fossil fuel divestment argument.  </w:t>
      </w:r>
      <w:r w:rsidR="00825AB8">
        <w:rPr>
          <w:rFonts w:cs="Arial"/>
          <w:sz w:val="20"/>
          <w:szCs w:val="20"/>
          <w:lang w:val="en-NZ"/>
        </w:rPr>
        <w:t xml:space="preserve">Retrieved from </w:t>
      </w:r>
      <w:hyperlink r:id="rId19" w:anchor="axzz3oxe1zet9" w:history="1">
        <w:r w:rsidRPr="009E13A2">
          <w:rPr>
            <w:rStyle w:val="Hyperlink"/>
            <w:color w:val="auto"/>
            <w:sz w:val="20"/>
            <w:szCs w:val="20"/>
            <w:u w:val="none"/>
          </w:rPr>
          <w:t>http://www.ft.com/intl/cms/s/0/0b0b33cc-68f9-11e5-a57f-21b88f7d973f.html#axzz3oxe1zet9</w:t>
        </w:r>
      </w:hyperlink>
    </w:p>
    <w:p w14:paraId="573A5736" w14:textId="77777777" w:rsidR="0077658A" w:rsidRDefault="0077658A" w:rsidP="005570F0">
      <w:pPr>
        <w:rPr>
          <w:sz w:val="20"/>
          <w:szCs w:val="20"/>
          <w:lang w:val="en-US"/>
        </w:rPr>
      </w:pPr>
    </w:p>
    <w:p w14:paraId="36DBD54D" w14:textId="6C830CB9" w:rsidR="009D3822" w:rsidRDefault="009D3822" w:rsidP="005570F0">
      <w:pPr>
        <w:rPr>
          <w:sz w:val="20"/>
          <w:szCs w:val="20"/>
          <w:lang w:val="en-US"/>
        </w:rPr>
      </w:pPr>
      <w:r>
        <w:rPr>
          <w:rFonts w:cs="Arial"/>
          <w:szCs w:val="22"/>
          <w:lang w:val="en-NZ"/>
        </w:rPr>
        <w:t xml:space="preserve">Norwegian Ethical Council.  </w:t>
      </w:r>
      <w:r w:rsidR="00825AB8">
        <w:rPr>
          <w:rFonts w:cs="Arial"/>
          <w:sz w:val="20"/>
          <w:szCs w:val="20"/>
          <w:lang w:val="en-NZ"/>
        </w:rPr>
        <w:t xml:space="preserve">Retrieved from </w:t>
      </w:r>
      <w:r w:rsidRPr="009D3822">
        <w:rPr>
          <w:rFonts w:cs="Arial"/>
          <w:szCs w:val="22"/>
          <w:lang w:val="en-NZ"/>
        </w:rPr>
        <w:t>https://www.regjeringen.no/globalassets/upload/fin/statens-pensjonsfond/guidelines-for-observation-and-exclusion-14-april-2015.pdf</w:t>
      </w:r>
    </w:p>
    <w:p w14:paraId="247EFDD0" w14:textId="77777777" w:rsidR="009D3822" w:rsidRPr="009E13A2" w:rsidRDefault="009D3822" w:rsidP="005570F0">
      <w:pPr>
        <w:rPr>
          <w:sz w:val="20"/>
          <w:szCs w:val="20"/>
          <w:lang w:val="en-US"/>
        </w:rPr>
      </w:pPr>
    </w:p>
    <w:p w14:paraId="251D5B2F" w14:textId="67A03709" w:rsidR="00CA3524" w:rsidRPr="009E13A2" w:rsidRDefault="005408AB" w:rsidP="005570F0">
      <w:pPr>
        <w:rPr>
          <w:sz w:val="20"/>
          <w:szCs w:val="20"/>
          <w:lang w:val="en-US"/>
        </w:rPr>
      </w:pPr>
      <w:r w:rsidRPr="009E13A2">
        <w:rPr>
          <w:sz w:val="20"/>
          <w:szCs w:val="20"/>
          <w:lang w:val="en-US"/>
        </w:rPr>
        <w:t xml:space="preserve">Roberts, D.  June 2015. Big Oil wants a price on carbon.  That’s not as weird as it sounds.  Vox Explainers. </w:t>
      </w:r>
      <w:r w:rsidR="00825AB8">
        <w:rPr>
          <w:rFonts w:cs="Arial"/>
          <w:sz w:val="20"/>
          <w:szCs w:val="20"/>
          <w:lang w:val="en-NZ"/>
        </w:rPr>
        <w:t>Retrieved from</w:t>
      </w:r>
      <w:r w:rsidR="00825AB8">
        <w:rPr>
          <w:sz w:val="20"/>
          <w:szCs w:val="20"/>
          <w:lang w:val="en-US"/>
        </w:rPr>
        <w:t xml:space="preserve"> </w:t>
      </w:r>
      <w:hyperlink r:id="rId20" w:history="1">
        <w:r w:rsidR="0077658A" w:rsidRPr="009E13A2">
          <w:rPr>
            <w:rStyle w:val="Hyperlink"/>
            <w:color w:val="auto"/>
            <w:sz w:val="20"/>
            <w:szCs w:val="20"/>
            <w:u w:val="none"/>
            <w:lang w:val="en-US"/>
          </w:rPr>
          <w:t>http://www.vox.com/2015/6/5/8733601/big-oil-carbon-price</w:t>
        </w:r>
      </w:hyperlink>
    </w:p>
    <w:p w14:paraId="7430973E" w14:textId="77777777" w:rsidR="0077658A" w:rsidRPr="009E13A2" w:rsidRDefault="0077658A" w:rsidP="0077658A">
      <w:pPr>
        <w:rPr>
          <w:sz w:val="20"/>
          <w:szCs w:val="20"/>
        </w:rPr>
      </w:pPr>
    </w:p>
    <w:p w14:paraId="691C1344" w14:textId="086C3D66" w:rsidR="0077658A" w:rsidRPr="009E13A2" w:rsidRDefault="0077658A" w:rsidP="0077658A">
      <w:pPr>
        <w:rPr>
          <w:sz w:val="20"/>
          <w:szCs w:val="20"/>
        </w:rPr>
      </w:pPr>
      <w:r w:rsidRPr="009E13A2">
        <w:rPr>
          <w:sz w:val="20"/>
          <w:szCs w:val="20"/>
        </w:rPr>
        <w:t xml:space="preserve">Trillium Mutual Funds. </w:t>
      </w:r>
      <w:r w:rsidR="00825AB8">
        <w:rPr>
          <w:rFonts w:cs="Arial"/>
          <w:sz w:val="20"/>
          <w:szCs w:val="20"/>
          <w:lang w:val="en-NZ"/>
        </w:rPr>
        <w:t xml:space="preserve">Retrieved from </w:t>
      </w:r>
      <w:hyperlink r:id="rId21" w:history="1">
        <w:r w:rsidRPr="009E13A2">
          <w:rPr>
            <w:rStyle w:val="Hyperlink"/>
            <w:color w:val="auto"/>
            <w:sz w:val="20"/>
            <w:szCs w:val="20"/>
            <w:u w:val="none"/>
          </w:rPr>
          <w:t>http://trilliummutualfunds.com/mutual-funds/portfolio21-global-equity-fund/</w:t>
        </w:r>
      </w:hyperlink>
    </w:p>
    <w:p w14:paraId="0727238E" w14:textId="77777777" w:rsidR="0077658A" w:rsidRDefault="0077658A" w:rsidP="0077658A">
      <w:pPr>
        <w:rPr>
          <w:sz w:val="20"/>
          <w:szCs w:val="20"/>
        </w:rPr>
      </w:pPr>
    </w:p>
    <w:p w14:paraId="0AF3FCED" w14:textId="77777777" w:rsidR="00A0257C" w:rsidRPr="009642CD" w:rsidRDefault="00A0257C" w:rsidP="00A0257C">
      <w:pPr>
        <w:rPr>
          <w:rFonts w:cs="Arial"/>
          <w:sz w:val="20"/>
          <w:szCs w:val="20"/>
        </w:rPr>
      </w:pPr>
      <w:r w:rsidRPr="009642CD">
        <w:rPr>
          <w:rFonts w:cs="Arial"/>
          <w:sz w:val="20"/>
          <w:szCs w:val="20"/>
        </w:rPr>
        <w:t xml:space="preserve">Triodos Company Engagement Report 2014. </w:t>
      </w:r>
      <w:r w:rsidRPr="009642CD">
        <w:rPr>
          <w:rFonts w:cs="Arial"/>
          <w:sz w:val="20"/>
          <w:szCs w:val="20"/>
          <w:lang w:val="en-NZ"/>
        </w:rPr>
        <w:t xml:space="preserve">Retrieved from </w:t>
      </w:r>
      <w:r w:rsidRPr="009642CD">
        <w:rPr>
          <w:rFonts w:cs="Arial"/>
          <w:sz w:val="20"/>
          <w:szCs w:val="20"/>
        </w:rPr>
        <w:t>https://www.triodos.com/downloads/investment-management/research/company-engagement-report-2014.pdf</w:t>
      </w:r>
    </w:p>
    <w:p w14:paraId="65ECCE06" w14:textId="77777777" w:rsidR="00A0257C" w:rsidRDefault="00A0257C" w:rsidP="0077658A">
      <w:pPr>
        <w:rPr>
          <w:sz w:val="20"/>
          <w:szCs w:val="20"/>
        </w:rPr>
      </w:pPr>
    </w:p>
    <w:p w14:paraId="61D5CAFD" w14:textId="3576C50C" w:rsidR="00AF436B" w:rsidRDefault="00AF436B" w:rsidP="0077658A">
      <w:pPr>
        <w:rPr>
          <w:sz w:val="20"/>
          <w:szCs w:val="20"/>
        </w:rPr>
      </w:pPr>
      <w:r>
        <w:rPr>
          <w:sz w:val="20"/>
          <w:szCs w:val="20"/>
        </w:rPr>
        <w:t>U</w:t>
      </w:r>
      <w:r w:rsidR="001D4823">
        <w:rPr>
          <w:sz w:val="20"/>
          <w:szCs w:val="20"/>
        </w:rPr>
        <w:t>N</w:t>
      </w:r>
      <w:r>
        <w:rPr>
          <w:sz w:val="20"/>
          <w:szCs w:val="20"/>
        </w:rPr>
        <w:t xml:space="preserve"> Global Compact. </w:t>
      </w:r>
      <w:r>
        <w:rPr>
          <w:rFonts w:cs="Arial"/>
          <w:sz w:val="20"/>
          <w:szCs w:val="20"/>
          <w:lang w:val="en-NZ"/>
        </w:rPr>
        <w:t xml:space="preserve">Retrieved from </w:t>
      </w:r>
      <w:r w:rsidRPr="00AF436B">
        <w:rPr>
          <w:sz w:val="20"/>
          <w:szCs w:val="20"/>
        </w:rPr>
        <w:t>www.unglobalcompact.org</w:t>
      </w:r>
    </w:p>
    <w:p w14:paraId="61D94392" w14:textId="77777777" w:rsidR="00AF436B" w:rsidRDefault="00AF436B" w:rsidP="0077658A">
      <w:pPr>
        <w:rPr>
          <w:sz w:val="20"/>
          <w:szCs w:val="20"/>
        </w:rPr>
      </w:pPr>
    </w:p>
    <w:p w14:paraId="49747090" w14:textId="1EF2C0A9" w:rsidR="00AF436B" w:rsidRDefault="00AF436B" w:rsidP="0077658A">
      <w:pPr>
        <w:rPr>
          <w:sz w:val="20"/>
          <w:szCs w:val="20"/>
        </w:rPr>
      </w:pPr>
      <w:r>
        <w:rPr>
          <w:sz w:val="20"/>
          <w:szCs w:val="20"/>
        </w:rPr>
        <w:t xml:space="preserve">UN Principles of Responsible Investment. </w:t>
      </w:r>
      <w:r>
        <w:rPr>
          <w:rFonts w:cs="Arial"/>
          <w:sz w:val="20"/>
          <w:szCs w:val="20"/>
          <w:lang w:val="en-NZ"/>
        </w:rPr>
        <w:t>Retrieved from</w:t>
      </w:r>
      <w:r>
        <w:rPr>
          <w:sz w:val="20"/>
          <w:szCs w:val="20"/>
        </w:rPr>
        <w:t xml:space="preserve"> </w:t>
      </w:r>
      <w:r w:rsidRPr="00AF436B">
        <w:rPr>
          <w:sz w:val="20"/>
          <w:szCs w:val="20"/>
        </w:rPr>
        <w:t>http://www.unpri.org/</w:t>
      </w:r>
    </w:p>
    <w:p w14:paraId="130F219A" w14:textId="77777777" w:rsidR="00AF436B" w:rsidRPr="009E13A2" w:rsidRDefault="00AF436B" w:rsidP="0077658A">
      <w:pPr>
        <w:rPr>
          <w:sz w:val="20"/>
          <w:szCs w:val="20"/>
        </w:rPr>
      </w:pPr>
    </w:p>
    <w:p w14:paraId="4D0847EB" w14:textId="77777777" w:rsidR="0077658A" w:rsidRPr="009E13A2" w:rsidRDefault="0077658A" w:rsidP="0077658A">
      <w:pPr>
        <w:rPr>
          <w:sz w:val="20"/>
          <w:szCs w:val="20"/>
        </w:rPr>
      </w:pPr>
      <w:r w:rsidRPr="009E13A2">
        <w:rPr>
          <w:sz w:val="20"/>
          <w:szCs w:val="20"/>
        </w:rPr>
        <w:t>Wolf, M.  2014. The Shifts and Shocks. Penguin.</w:t>
      </w:r>
    </w:p>
    <w:p w14:paraId="6C124911" w14:textId="77777777" w:rsidR="0077658A" w:rsidRDefault="0077658A" w:rsidP="005570F0">
      <w:pPr>
        <w:rPr>
          <w:sz w:val="20"/>
          <w:szCs w:val="20"/>
        </w:rPr>
      </w:pPr>
    </w:p>
    <w:p w14:paraId="55223D7F" w14:textId="77777777" w:rsidR="00E3766D" w:rsidRPr="009E13A2" w:rsidRDefault="00E3766D" w:rsidP="00E3766D">
      <w:pPr>
        <w:rPr>
          <w:szCs w:val="22"/>
        </w:rPr>
      </w:pPr>
    </w:p>
    <w:p w14:paraId="0F43C871" w14:textId="77777777" w:rsidR="00E3766D" w:rsidRDefault="00E3766D" w:rsidP="005570F0">
      <w:pPr>
        <w:rPr>
          <w:sz w:val="20"/>
          <w:szCs w:val="20"/>
        </w:rPr>
      </w:pPr>
    </w:p>
    <w:p w14:paraId="366D498E" w14:textId="77777777" w:rsidR="00E3766D" w:rsidRPr="009E13A2" w:rsidRDefault="00E3766D" w:rsidP="005570F0">
      <w:pPr>
        <w:rPr>
          <w:sz w:val="20"/>
          <w:szCs w:val="20"/>
        </w:rPr>
      </w:pPr>
    </w:p>
    <w:sectPr w:rsidR="00E3766D" w:rsidRPr="009E13A2" w:rsidSect="008B1586">
      <w:footerReference w:type="even" r:id="rId22"/>
      <w:footerReference w:type="defaul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74018" w14:textId="77777777" w:rsidR="00C567CA" w:rsidRDefault="00C567CA" w:rsidP="00BC504A">
      <w:r>
        <w:separator/>
      </w:r>
    </w:p>
  </w:endnote>
  <w:endnote w:type="continuationSeparator" w:id="0">
    <w:p w14:paraId="25B03535" w14:textId="77777777" w:rsidR="00C567CA" w:rsidRDefault="00C567CA" w:rsidP="00BC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26B8" w14:textId="77777777" w:rsidR="00C567CA" w:rsidRDefault="00C567CA" w:rsidP="00D23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2FD66" w14:textId="77777777" w:rsidR="00C567CA" w:rsidRDefault="00C567CA" w:rsidP="008B15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F18E" w14:textId="77777777" w:rsidR="00C567CA" w:rsidRDefault="00C567CA" w:rsidP="00D23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583">
      <w:rPr>
        <w:rStyle w:val="PageNumber"/>
        <w:noProof/>
      </w:rPr>
      <w:t>5</w:t>
    </w:r>
    <w:r>
      <w:rPr>
        <w:rStyle w:val="PageNumber"/>
      </w:rPr>
      <w:fldChar w:fldCharType="end"/>
    </w:r>
  </w:p>
  <w:p w14:paraId="43FBE967" w14:textId="77777777" w:rsidR="00C567CA" w:rsidRDefault="00C567CA" w:rsidP="008B15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2D3A" w14:textId="77777777" w:rsidR="00C567CA" w:rsidRDefault="00C567CA" w:rsidP="00BC504A">
      <w:r>
        <w:separator/>
      </w:r>
    </w:p>
  </w:footnote>
  <w:footnote w:type="continuationSeparator" w:id="0">
    <w:p w14:paraId="5497C369" w14:textId="77777777" w:rsidR="00C567CA" w:rsidRDefault="00C567CA" w:rsidP="00BC5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098"/>
    <w:multiLevelType w:val="hybridMultilevel"/>
    <w:tmpl w:val="565A2802"/>
    <w:lvl w:ilvl="0" w:tplc="49D03078">
      <w:start w:val="1"/>
      <w:numFmt w:val="bullet"/>
      <w:lvlText w:val=""/>
      <w:lvlJc w:val="left"/>
      <w:pPr>
        <w:tabs>
          <w:tab w:val="num" w:pos="720"/>
        </w:tabs>
        <w:ind w:left="720" w:hanging="360"/>
      </w:pPr>
      <w:rPr>
        <w:rFonts w:ascii="Wingdings" w:hAnsi="Wingdings" w:hint="default"/>
      </w:rPr>
    </w:lvl>
    <w:lvl w:ilvl="1" w:tplc="C66241C4">
      <w:numFmt w:val="bullet"/>
      <w:lvlText w:val=""/>
      <w:lvlJc w:val="left"/>
      <w:pPr>
        <w:tabs>
          <w:tab w:val="num" w:pos="1440"/>
        </w:tabs>
        <w:ind w:left="1440" w:hanging="360"/>
      </w:pPr>
      <w:rPr>
        <w:rFonts w:ascii="Wingdings" w:hAnsi="Wingdings" w:hint="default"/>
      </w:rPr>
    </w:lvl>
    <w:lvl w:ilvl="2" w:tplc="87AE8D7C" w:tentative="1">
      <w:start w:val="1"/>
      <w:numFmt w:val="bullet"/>
      <w:lvlText w:val=""/>
      <w:lvlJc w:val="left"/>
      <w:pPr>
        <w:tabs>
          <w:tab w:val="num" w:pos="2160"/>
        </w:tabs>
        <w:ind w:left="2160" w:hanging="360"/>
      </w:pPr>
      <w:rPr>
        <w:rFonts w:ascii="Wingdings" w:hAnsi="Wingdings" w:hint="default"/>
      </w:rPr>
    </w:lvl>
    <w:lvl w:ilvl="3" w:tplc="36023680" w:tentative="1">
      <w:start w:val="1"/>
      <w:numFmt w:val="bullet"/>
      <w:lvlText w:val=""/>
      <w:lvlJc w:val="left"/>
      <w:pPr>
        <w:tabs>
          <w:tab w:val="num" w:pos="2880"/>
        </w:tabs>
        <w:ind w:left="2880" w:hanging="360"/>
      </w:pPr>
      <w:rPr>
        <w:rFonts w:ascii="Wingdings" w:hAnsi="Wingdings" w:hint="default"/>
      </w:rPr>
    </w:lvl>
    <w:lvl w:ilvl="4" w:tplc="2E922096" w:tentative="1">
      <w:start w:val="1"/>
      <w:numFmt w:val="bullet"/>
      <w:lvlText w:val=""/>
      <w:lvlJc w:val="left"/>
      <w:pPr>
        <w:tabs>
          <w:tab w:val="num" w:pos="3600"/>
        </w:tabs>
        <w:ind w:left="3600" w:hanging="360"/>
      </w:pPr>
      <w:rPr>
        <w:rFonts w:ascii="Wingdings" w:hAnsi="Wingdings" w:hint="default"/>
      </w:rPr>
    </w:lvl>
    <w:lvl w:ilvl="5" w:tplc="6A385A3A" w:tentative="1">
      <w:start w:val="1"/>
      <w:numFmt w:val="bullet"/>
      <w:lvlText w:val=""/>
      <w:lvlJc w:val="left"/>
      <w:pPr>
        <w:tabs>
          <w:tab w:val="num" w:pos="4320"/>
        </w:tabs>
        <w:ind w:left="4320" w:hanging="360"/>
      </w:pPr>
      <w:rPr>
        <w:rFonts w:ascii="Wingdings" w:hAnsi="Wingdings" w:hint="default"/>
      </w:rPr>
    </w:lvl>
    <w:lvl w:ilvl="6" w:tplc="F5DEDA3A" w:tentative="1">
      <w:start w:val="1"/>
      <w:numFmt w:val="bullet"/>
      <w:lvlText w:val=""/>
      <w:lvlJc w:val="left"/>
      <w:pPr>
        <w:tabs>
          <w:tab w:val="num" w:pos="5040"/>
        </w:tabs>
        <w:ind w:left="5040" w:hanging="360"/>
      </w:pPr>
      <w:rPr>
        <w:rFonts w:ascii="Wingdings" w:hAnsi="Wingdings" w:hint="default"/>
      </w:rPr>
    </w:lvl>
    <w:lvl w:ilvl="7" w:tplc="9050D74E" w:tentative="1">
      <w:start w:val="1"/>
      <w:numFmt w:val="bullet"/>
      <w:lvlText w:val=""/>
      <w:lvlJc w:val="left"/>
      <w:pPr>
        <w:tabs>
          <w:tab w:val="num" w:pos="5760"/>
        </w:tabs>
        <w:ind w:left="5760" w:hanging="360"/>
      </w:pPr>
      <w:rPr>
        <w:rFonts w:ascii="Wingdings" w:hAnsi="Wingdings" w:hint="default"/>
      </w:rPr>
    </w:lvl>
    <w:lvl w:ilvl="8" w:tplc="8AE4AD36" w:tentative="1">
      <w:start w:val="1"/>
      <w:numFmt w:val="bullet"/>
      <w:lvlText w:val=""/>
      <w:lvlJc w:val="left"/>
      <w:pPr>
        <w:tabs>
          <w:tab w:val="num" w:pos="6480"/>
        </w:tabs>
        <w:ind w:left="6480" w:hanging="360"/>
      </w:pPr>
      <w:rPr>
        <w:rFonts w:ascii="Wingdings" w:hAnsi="Wingdings" w:hint="default"/>
      </w:rPr>
    </w:lvl>
  </w:abstractNum>
  <w:abstractNum w:abstractNumId="1">
    <w:nsid w:val="3656398D"/>
    <w:multiLevelType w:val="hybridMultilevel"/>
    <w:tmpl w:val="4E4AEE7A"/>
    <w:lvl w:ilvl="0" w:tplc="816EFA4E">
      <w:start w:val="1"/>
      <w:numFmt w:val="bullet"/>
      <w:lvlText w:val=""/>
      <w:lvlJc w:val="left"/>
      <w:pPr>
        <w:tabs>
          <w:tab w:val="num" w:pos="720"/>
        </w:tabs>
        <w:ind w:left="720" w:hanging="360"/>
      </w:pPr>
      <w:rPr>
        <w:rFonts w:ascii="Wingdings" w:hAnsi="Wingdings" w:hint="default"/>
      </w:rPr>
    </w:lvl>
    <w:lvl w:ilvl="1" w:tplc="32185026">
      <w:numFmt w:val="bullet"/>
      <w:lvlText w:val=""/>
      <w:lvlJc w:val="left"/>
      <w:pPr>
        <w:tabs>
          <w:tab w:val="num" w:pos="1440"/>
        </w:tabs>
        <w:ind w:left="1440" w:hanging="360"/>
      </w:pPr>
      <w:rPr>
        <w:rFonts w:ascii="Wingdings" w:hAnsi="Wingdings" w:hint="default"/>
      </w:rPr>
    </w:lvl>
    <w:lvl w:ilvl="2" w:tplc="4A5C348E" w:tentative="1">
      <w:start w:val="1"/>
      <w:numFmt w:val="bullet"/>
      <w:lvlText w:val=""/>
      <w:lvlJc w:val="left"/>
      <w:pPr>
        <w:tabs>
          <w:tab w:val="num" w:pos="2160"/>
        </w:tabs>
        <w:ind w:left="2160" w:hanging="360"/>
      </w:pPr>
      <w:rPr>
        <w:rFonts w:ascii="Wingdings" w:hAnsi="Wingdings" w:hint="default"/>
      </w:rPr>
    </w:lvl>
    <w:lvl w:ilvl="3" w:tplc="989288AC" w:tentative="1">
      <w:start w:val="1"/>
      <w:numFmt w:val="bullet"/>
      <w:lvlText w:val=""/>
      <w:lvlJc w:val="left"/>
      <w:pPr>
        <w:tabs>
          <w:tab w:val="num" w:pos="2880"/>
        </w:tabs>
        <w:ind w:left="2880" w:hanging="360"/>
      </w:pPr>
      <w:rPr>
        <w:rFonts w:ascii="Wingdings" w:hAnsi="Wingdings" w:hint="default"/>
      </w:rPr>
    </w:lvl>
    <w:lvl w:ilvl="4" w:tplc="B72A7166" w:tentative="1">
      <w:start w:val="1"/>
      <w:numFmt w:val="bullet"/>
      <w:lvlText w:val=""/>
      <w:lvlJc w:val="left"/>
      <w:pPr>
        <w:tabs>
          <w:tab w:val="num" w:pos="3600"/>
        </w:tabs>
        <w:ind w:left="3600" w:hanging="360"/>
      </w:pPr>
      <w:rPr>
        <w:rFonts w:ascii="Wingdings" w:hAnsi="Wingdings" w:hint="default"/>
      </w:rPr>
    </w:lvl>
    <w:lvl w:ilvl="5" w:tplc="CC2A2674" w:tentative="1">
      <w:start w:val="1"/>
      <w:numFmt w:val="bullet"/>
      <w:lvlText w:val=""/>
      <w:lvlJc w:val="left"/>
      <w:pPr>
        <w:tabs>
          <w:tab w:val="num" w:pos="4320"/>
        </w:tabs>
        <w:ind w:left="4320" w:hanging="360"/>
      </w:pPr>
      <w:rPr>
        <w:rFonts w:ascii="Wingdings" w:hAnsi="Wingdings" w:hint="default"/>
      </w:rPr>
    </w:lvl>
    <w:lvl w:ilvl="6" w:tplc="A57869A2" w:tentative="1">
      <w:start w:val="1"/>
      <w:numFmt w:val="bullet"/>
      <w:lvlText w:val=""/>
      <w:lvlJc w:val="left"/>
      <w:pPr>
        <w:tabs>
          <w:tab w:val="num" w:pos="5040"/>
        </w:tabs>
        <w:ind w:left="5040" w:hanging="360"/>
      </w:pPr>
      <w:rPr>
        <w:rFonts w:ascii="Wingdings" w:hAnsi="Wingdings" w:hint="default"/>
      </w:rPr>
    </w:lvl>
    <w:lvl w:ilvl="7" w:tplc="D4BA9ACA" w:tentative="1">
      <w:start w:val="1"/>
      <w:numFmt w:val="bullet"/>
      <w:lvlText w:val=""/>
      <w:lvlJc w:val="left"/>
      <w:pPr>
        <w:tabs>
          <w:tab w:val="num" w:pos="5760"/>
        </w:tabs>
        <w:ind w:left="5760" w:hanging="360"/>
      </w:pPr>
      <w:rPr>
        <w:rFonts w:ascii="Wingdings" w:hAnsi="Wingdings" w:hint="default"/>
      </w:rPr>
    </w:lvl>
    <w:lvl w:ilvl="8" w:tplc="D44059A2" w:tentative="1">
      <w:start w:val="1"/>
      <w:numFmt w:val="bullet"/>
      <w:lvlText w:val=""/>
      <w:lvlJc w:val="left"/>
      <w:pPr>
        <w:tabs>
          <w:tab w:val="num" w:pos="6480"/>
        </w:tabs>
        <w:ind w:left="6480" w:hanging="360"/>
      </w:pPr>
      <w:rPr>
        <w:rFonts w:ascii="Wingdings" w:hAnsi="Wingdings" w:hint="default"/>
      </w:rPr>
    </w:lvl>
  </w:abstractNum>
  <w:abstractNum w:abstractNumId="2">
    <w:nsid w:val="71A6492C"/>
    <w:multiLevelType w:val="hybridMultilevel"/>
    <w:tmpl w:val="D210602C"/>
    <w:lvl w:ilvl="0" w:tplc="0A664C28">
      <w:start w:val="1"/>
      <w:numFmt w:val="bullet"/>
      <w:lvlText w:val=""/>
      <w:lvlJc w:val="left"/>
      <w:pPr>
        <w:tabs>
          <w:tab w:val="num" w:pos="720"/>
        </w:tabs>
        <w:ind w:left="720" w:hanging="360"/>
      </w:pPr>
      <w:rPr>
        <w:rFonts w:ascii="Wingdings" w:hAnsi="Wingdings" w:hint="default"/>
      </w:rPr>
    </w:lvl>
    <w:lvl w:ilvl="1" w:tplc="F9A85988">
      <w:numFmt w:val="bullet"/>
      <w:lvlText w:val=""/>
      <w:lvlJc w:val="left"/>
      <w:pPr>
        <w:tabs>
          <w:tab w:val="num" w:pos="1440"/>
        </w:tabs>
        <w:ind w:left="1440" w:hanging="360"/>
      </w:pPr>
      <w:rPr>
        <w:rFonts w:ascii="Wingdings" w:hAnsi="Wingdings" w:hint="default"/>
      </w:rPr>
    </w:lvl>
    <w:lvl w:ilvl="2" w:tplc="12E8BB2A">
      <w:start w:val="1"/>
      <w:numFmt w:val="bullet"/>
      <w:lvlText w:val=""/>
      <w:lvlJc w:val="left"/>
      <w:pPr>
        <w:tabs>
          <w:tab w:val="num" w:pos="2160"/>
        </w:tabs>
        <w:ind w:left="2160" w:hanging="360"/>
      </w:pPr>
      <w:rPr>
        <w:rFonts w:ascii="Wingdings" w:hAnsi="Wingdings" w:hint="default"/>
      </w:rPr>
    </w:lvl>
    <w:lvl w:ilvl="3" w:tplc="EC226C36" w:tentative="1">
      <w:start w:val="1"/>
      <w:numFmt w:val="bullet"/>
      <w:lvlText w:val=""/>
      <w:lvlJc w:val="left"/>
      <w:pPr>
        <w:tabs>
          <w:tab w:val="num" w:pos="2880"/>
        </w:tabs>
        <w:ind w:left="2880" w:hanging="360"/>
      </w:pPr>
      <w:rPr>
        <w:rFonts w:ascii="Wingdings" w:hAnsi="Wingdings" w:hint="default"/>
      </w:rPr>
    </w:lvl>
    <w:lvl w:ilvl="4" w:tplc="C0F27C74" w:tentative="1">
      <w:start w:val="1"/>
      <w:numFmt w:val="bullet"/>
      <w:lvlText w:val=""/>
      <w:lvlJc w:val="left"/>
      <w:pPr>
        <w:tabs>
          <w:tab w:val="num" w:pos="3600"/>
        </w:tabs>
        <w:ind w:left="3600" w:hanging="360"/>
      </w:pPr>
      <w:rPr>
        <w:rFonts w:ascii="Wingdings" w:hAnsi="Wingdings" w:hint="default"/>
      </w:rPr>
    </w:lvl>
    <w:lvl w:ilvl="5" w:tplc="F55A2AA2" w:tentative="1">
      <w:start w:val="1"/>
      <w:numFmt w:val="bullet"/>
      <w:lvlText w:val=""/>
      <w:lvlJc w:val="left"/>
      <w:pPr>
        <w:tabs>
          <w:tab w:val="num" w:pos="4320"/>
        </w:tabs>
        <w:ind w:left="4320" w:hanging="360"/>
      </w:pPr>
      <w:rPr>
        <w:rFonts w:ascii="Wingdings" w:hAnsi="Wingdings" w:hint="default"/>
      </w:rPr>
    </w:lvl>
    <w:lvl w:ilvl="6" w:tplc="DE1C6832" w:tentative="1">
      <w:start w:val="1"/>
      <w:numFmt w:val="bullet"/>
      <w:lvlText w:val=""/>
      <w:lvlJc w:val="left"/>
      <w:pPr>
        <w:tabs>
          <w:tab w:val="num" w:pos="5040"/>
        </w:tabs>
        <w:ind w:left="5040" w:hanging="360"/>
      </w:pPr>
      <w:rPr>
        <w:rFonts w:ascii="Wingdings" w:hAnsi="Wingdings" w:hint="default"/>
      </w:rPr>
    </w:lvl>
    <w:lvl w:ilvl="7" w:tplc="BB38DF10" w:tentative="1">
      <w:start w:val="1"/>
      <w:numFmt w:val="bullet"/>
      <w:lvlText w:val=""/>
      <w:lvlJc w:val="left"/>
      <w:pPr>
        <w:tabs>
          <w:tab w:val="num" w:pos="5760"/>
        </w:tabs>
        <w:ind w:left="5760" w:hanging="360"/>
      </w:pPr>
      <w:rPr>
        <w:rFonts w:ascii="Wingdings" w:hAnsi="Wingdings" w:hint="default"/>
      </w:rPr>
    </w:lvl>
    <w:lvl w:ilvl="8" w:tplc="1AEE66E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2F"/>
    <w:rsid w:val="0000621E"/>
    <w:rsid w:val="000078B2"/>
    <w:rsid w:val="00025E01"/>
    <w:rsid w:val="00034486"/>
    <w:rsid w:val="00095A6C"/>
    <w:rsid w:val="000C5BB6"/>
    <w:rsid w:val="000D1689"/>
    <w:rsid w:val="000D695E"/>
    <w:rsid w:val="000E1331"/>
    <w:rsid w:val="001103A9"/>
    <w:rsid w:val="001415BB"/>
    <w:rsid w:val="00164A2F"/>
    <w:rsid w:val="00183A55"/>
    <w:rsid w:val="001A3744"/>
    <w:rsid w:val="001D4823"/>
    <w:rsid w:val="002102F9"/>
    <w:rsid w:val="002175CA"/>
    <w:rsid w:val="0022481A"/>
    <w:rsid w:val="0026018F"/>
    <w:rsid w:val="002641E2"/>
    <w:rsid w:val="00267E95"/>
    <w:rsid w:val="002774C9"/>
    <w:rsid w:val="00280CD7"/>
    <w:rsid w:val="002850CD"/>
    <w:rsid w:val="002948F5"/>
    <w:rsid w:val="0029509B"/>
    <w:rsid w:val="00296B6E"/>
    <w:rsid w:val="002C2C0F"/>
    <w:rsid w:val="002D5FC7"/>
    <w:rsid w:val="003061C1"/>
    <w:rsid w:val="003240DE"/>
    <w:rsid w:val="00337590"/>
    <w:rsid w:val="003733C5"/>
    <w:rsid w:val="0037494F"/>
    <w:rsid w:val="00375786"/>
    <w:rsid w:val="003874E7"/>
    <w:rsid w:val="003C5C9F"/>
    <w:rsid w:val="00401800"/>
    <w:rsid w:val="004A15D5"/>
    <w:rsid w:val="004F4D2E"/>
    <w:rsid w:val="00512B4A"/>
    <w:rsid w:val="00521E23"/>
    <w:rsid w:val="00530E1C"/>
    <w:rsid w:val="005408AB"/>
    <w:rsid w:val="005570F0"/>
    <w:rsid w:val="005A35B0"/>
    <w:rsid w:val="005B0355"/>
    <w:rsid w:val="00601618"/>
    <w:rsid w:val="00627B32"/>
    <w:rsid w:val="0065631B"/>
    <w:rsid w:val="006772DB"/>
    <w:rsid w:val="006946D6"/>
    <w:rsid w:val="00695755"/>
    <w:rsid w:val="006D0D5B"/>
    <w:rsid w:val="006E0260"/>
    <w:rsid w:val="00705907"/>
    <w:rsid w:val="00745DA7"/>
    <w:rsid w:val="00765C64"/>
    <w:rsid w:val="0077658A"/>
    <w:rsid w:val="007869B3"/>
    <w:rsid w:val="007923E8"/>
    <w:rsid w:val="007B69FD"/>
    <w:rsid w:val="007D4C78"/>
    <w:rsid w:val="0081381F"/>
    <w:rsid w:val="00816705"/>
    <w:rsid w:val="0081706C"/>
    <w:rsid w:val="00825AB8"/>
    <w:rsid w:val="00841C4F"/>
    <w:rsid w:val="00845F61"/>
    <w:rsid w:val="00860F28"/>
    <w:rsid w:val="008B1586"/>
    <w:rsid w:val="008B5489"/>
    <w:rsid w:val="008F5746"/>
    <w:rsid w:val="009057EA"/>
    <w:rsid w:val="00943DF0"/>
    <w:rsid w:val="009B3A0C"/>
    <w:rsid w:val="009D3822"/>
    <w:rsid w:val="009D6E6E"/>
    <w:rsid w:val="009E13A2"/>
    <w:rsid w:val="00A0257C"/>
    <w:rsid w:val="00A075D8"/>
    <w:rsid w:val="00A33FB3"/>
    <w:rsid w:val="00A415F0"/>
    <w:rsid w:val="00A60F9D"/>
    <w:rsid w:val="00A76E26"/>
    <w:rsid w:val="00AC063E"/>
    <w:rsid w:val="00AD23CB"/>
    <w:rsid w:val="00AF436B"/>
    <w:rsid w:val="00B16C89"/>
    <w:rsid w:val="00B17805"/>
    <w:rsid w:val="00B206E4"/>
    <w:rsid w:val="00B306CB"/>
    <w:rsid w:val="00B647FC"/>
    <w:rsid w:val="00B67FC5"/>
    <w:rsid w:val="00B82008"/>
    <w:rsid w:val="00B82D39"/>
    <w:rsid w:val="00B87C2A"/>
    <w:rsid w:val="00B94F2E"/>
    <w:rsid w:val="00B962A9"/>
    <w:rsid w:val="00BC504A"/>
    <w:rsid w:val="00BE00B4"/>
    <w:rsid w:val="00BE450D"/>
    <w:rsid w:val="00C30B30"/>
    <w:rsid w:val="00C567CA"/>
    <w:rsid w:val="00C60245"/>
    <w:rsid w:val="00C64422"/>
    <w:rsid w:val="00C65EB6"/>
    <w:rsid w:val="00C66F15"/>
    <w:rsid w:val="00C871AB"/>
    <w:rsid w:val="00C87DBC"/>
    <w:rsid w:val="00C96928"/>
    <w:rsid w:val="00CA0587"/>
    <w:rsid w:val="00CA3524"/>
    <w:rsid w:val="00CC21C0"/>
    <w:rsid w:val="00D14860"/>
    <w:rsid w:val="00D23F2A"/>
    <w:rsid w:val="00D40253"/>
    <w:rsid w:val="00D52364"/>
    <w:rsid w:val="00D57C7C"/>
    <w:rsid w:val="00D706C6"/>
    <w:rsid w:val="00DA0933"/>
    <w:rsid w:val="00DB1117"/>
    <w:rsid w:val="00DB14A8"/>
    <w:rsid w:val="00DB7359"/>
    <w:rsid w:val="00DC7879"/>
    <w:rsid w:val="00DF0CB2"/>
    <w:rsid w:val="00E138B4"/>
    <w:rsid w:val="00E3766D"/>
    <w:rsid w:val="00E54285"/>
    <w:rsid w:val="00E54FB8"/>
    <w:rsid w:val="00E8156B"/>
    <w:rsid w:val="00E8756B"/>
    <w:rsid w:val="00E95F9A"/>
    <w:rsid w:val="00EA52E8"/>
    <w:rsid w:val="00EA6461"/>
    <w:rsid w:val="00EB08A0"/>
    <w:rsid w:val="00EC3234"/>
    <w:rsid w:val="00EC50C4"/>
    <w:rsid w:val="00EF395D"/>
    <w:rsid w:val="00EF3E45"/>
    <w:rsid w:val="00F37573"/>
    <w:rsid w:val="00F6597B"/>
    <w:rsid w:val="00F75262"/>
    <w:rsid w:val="00F85583"/>
    <w:rsid w:val="00FD61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69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D"/>
    <w:rPr>
      <w:rFonts w:ascii="Arial" w:hAnsi="Arial"/>
      <w:sz w:val="22"/>
    </w:rPr>
  </w:style>
  <w:style w:type="paragraph" w:styleId="Heading1">
    <w:name w:val="heading 1"/>
    <w:basedOn w:val="Normal"/>
    <w:link w:val="Heading1Char"/>
    <w:uiPriority w:val="9"/>
    <w:qFormat/>
    <w:rsid w:val="00FD614C"/>
    <w:pPr>
      <w:spacing w:before="100" w:beforeAutospacing="1" w:after="100" w:afterAutospacing="1"/>
      <w:outlineLvl w:val="0"/>
    </w:pPr>
    <w:rPr>
      <w:rFonts w:ascii="Times" w:hAnsi="Times"/>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04A"/>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BC504A"/>
    <w:rPr>
      <w:vertAlign w:val="superscript"/>
    </w:rPr>
  </w:style>
  <w:style w:type="character" w:styleId="Hyperlink">
    <w:name w:val="Hyperlink"/>
    <w:basedOn w:val="DefaultParagraphFont"/>
    <w:uiPriority w:val="99"/>
    <w:unhideWhenUsed/>
    <w:rsid w:val="00DC7879"/>
    <w:rPr>
      <w:color w:val="0000FF" w:themeColor="hyperlink"/>
      <w:u w:val="single"/>
    </w:rPr>
  </w:style>
  <w:style w:type="paragraph" w:styleId="EndnoteText">
    <w:name w:val="endnote text"/>
    <w:basedOn w:val="Normal"/>
    <w:link w:val="EndnoteTextChar"/>
    <w:uiPriority w:val="99"/>
    <w:unhideWhenUsed/>
    <w:rsid w:val="005B0355"/>
    <w:rPr>
      <w:sz w:val="24"/>
    </w:rPr>
  </w:style>
  <w:style w:type="character" w:customStyle="1" w:styleId="EndnoteTextChar">
    <w:name w:val="Endnote Text Char"/>
    <w:basedOn w:val="DefaultParagraphFont"/>
    <w:link w:val="EndnoteText"/>
    <w:uiPriority w:val="99"/>
    <w:rsid w:val="005B0355"/>
    <w:rPr>
      <w:rFonts w:ascii="Arial" w:hAnsi="Arial"/>
    </w:rPr>
  </w:style>
  <w:style w:type="character" w:styleId="EndnoteReference">
    <w:name w:val="endnote reference"/>
    <w:basedOn w:val="DefaultParagraphFont"/>
    <w:uiPriority w:val="99"/>
    <w:unhideWhenUsed/>
    <w:rsid w:val="005B0355"/>
    <w:rPr>
      <w:vertAlign w:val="superscript"/>
    </w:rPr>
  </w:style>
  <w:style w:type="character" w:customStyle="1" w:styleId="Heading1Char">
    <w:name w:val="Heading 1 Char"/>
    <w:basedOn w:val="DefaultParagraphFont"/>
    <w:link w:val="Heading1"/>
    <w:uiPriority w:val="9"/>
    <w:rsid w:val="00FD614C"/>
    <w:rPr>
      <w:rFonts w:ascii="Times" w:hAnsi="Times"/>
      <w:b/>
      <w:bCs/>
      <w:kern w:val="36"/>
      <w:sz w:val="48"/>
      <w:szCs w:val="48"/>
      <w:lang w:val="en-NZ"/>
    </w:rPr>
  </w:style>
  <w:style w:type="character" w:styleId="Strong">
    <w:name w:val="Strong"/>
    <w:basedOn w:val="DefaultParagraphFont"/>
    <w:uiPriority w:val="22"/>
    <w:qFormat/>
    <w:rsid w:val="00A075D8"/>
    <w:rPr>
      <w:b/>
      <w:bCs/>
    </w:rPr>
  </w:style>
  <w:style w:type="character" w:styleId="FollowedHyperlink">
    <w:name w:val="FollowedHyperlink"/>
    <w:basedOn w:val="DefaultParagraphFont"/>
    <w:uiPriority w:val="99"/>
    <w:semiHidden/>
    <w:unhideWhenUsed/>
    <w:rsid w:val="00C871AB"/>
    <w:rPr>
      <w:color w:val="800080" w:themeColor="followedHyperlink"/>
      <w:u w:val="single"/>
    </w:rPr>
  </w:style>
  <w:style w:type="paragraph" w:styleId="FootnoteText">
    <w:name w:val="footnote text"/>
    <w:basedOn w:val="Normal"/>
    <w:link w:val="FootnoteTextChar"/>
    <w:uiPriority w:val="99"/>
    <w:rsid w:val="00845F61"/>
    <w:rPr>
      <w:rFonts w:ascii="Cambria" w:eastAsia="MS ??" w:hAnsi="Cambria" w:cs="Cambria"/>
      <w:sz w:val="24"/>
    </w:rPr>
  </w:style>
  <w:style w:type="character" w:customStyle="1" w:styleId="FootnoteTextChar">
    <w:name w:val="Footnote Text Char"/>
    <w:basedOn w:val="DefaultParagraphFont"/>
    <w:link w:val="FootnoteText"/>
    <w:uiPriority w:val="99"/>
    <w:rsid w:val="00845F61"/>
    <w:rPr>
      <w:rFonts w:ascii="Cambria" w:eastAsia="MS ??" w:hAnsi="Cambria" w:cs="Cambria"/>
    </w:rPr>
  </w:style>
  <w:style w:type="character" w:customStyle="1" w:styleId="apple-converted-space">
    <w:name w:val="apple-converted-space"/>
    <w:basedOn w:val="DefaultParagraphFont"/>
    <w:rsid w:val="005408AB"/>
  </w:style>
  <w:style w:type="paragraph" w:styleId="Footer">
    <w:name w:val="footer"/>
    <w:basedOn w:val="Normal"/>
    <w:link w:val="FooterChar"/>
    <w:uiPriority w:val="99"/>
    <w:unhideWhenUsed/>
    <w:rsid w:val="008B1586"/>
    <w:pPr>
      <w:tabs>
        <w:tab w:val="center" w:pos="4320"/>
        <w:tab w:val="right" w:pos="8640"/>
      </w:tabs>
    </w:pPr>
  </w:style>
  <w:style w:type="character" w:customStyle="1" w:styleId="FooterChar">
    <w:name w:val="Footer Char"/>
    <w:basedOn w:val="DefaultParagraphFont"/>
    <w:link w:val="Footer"/>
    <w:uiPriority w:val="99"/>
    <w:rsid w:val="008B1586"/>
    <w:rPr>
      <w:rFonts w:ascii="Arial" w:hAnsi="Arial"/>
      <w:sz w:val="22"/>
    </w:rPr>
  </w:style>
  <w:style w:type="character" w:styleId="PageNumber">
    <w:name w:val="page number"/>
    <w:basedOn w:val="DefaultParagraphFont"/>
    <w:uiPriority w:val="99"/>
    <w:semiHidden/>
    <w:unhideWhenUsed/>
    <w:rsid w:val="008B15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5D"/>
    <w:rPr>
      <w:rFonts w:ascii="Arial" w:hAnsi="Arial"/>
      <w:sz w:val="22"/>
    </w:rPr>
  </w:style>
  <w:style w:type="paragraph" w:styleId="Heading1">
    <w:name w:val="heading 1"/>
    <w:basedOn w:val="Normal"/>
    <w:link w:val="Heading1Char"/>
    <w:uiPriority w:val="9"/>
    <w:qFormat/>
    <w:rsid w:val="00FD614C"/>
    <w:pPr>
      <w:spacing w:before="100" w:beforeAutospacing="1" w:after="100" w:afterAutospacing="1"/>
      <w:outlineLvl w:val="0"/>
    </w:pPr>
    <w:rPr>
      <w:rFonts w:ascii="Times" w:hAnsi="Times"/>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04A"/>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BC504A"/>
    <w:rPr>
      <w:vertAlign w:val="superscript"/>
    </w:rPr>
  </w:style>
  <w:style w:type="character" w:styleId="Hyperlink">
    <w:name w:val="Hyperlink"/>
    <w:basedOn w:val="DefaultParagraphFont"/>
    <w:uiPriority w:val="99"/>
    <w:unhideWhenUsed/>
    <w:rsid w:val="00DC7879"/>
    <w:rPr>
      <w:color w:val="0000FF" w:themeColor="hyperlink"/>
      <w:u w:val="single"/>
    </w:rPr>
  </w:style>
  <w:style w:type="paragraph" w:styleId="EndnoteText">
    <w:name w:val="endnote text"/>
    <w:basedOn w:val="Normal"/>
    <w:link w:val="EndnoteTextChar"/>
    <w:uiPriority w:val="99"/>
    <w:unhideWhenUsed/>
    <w:rsid w:val="005B0355"/>
    <w:rPr>
      <w:sz w:val="24"/>
    </w:rPr>
  </w:style>
  <w:style w:type="character" w:customStyle="1" w:styleId="EndnoteTextChar">
    <w:name w:val="Endnote Text Char"/>
    <w:basedOn w:val="DefaultParagraphFont"/>
    <w:link w:val="EndnoteText"/>
    <w:uiPriority w:val="99"/>
    <w:rsid w:val="005B0355"/>
    <w:rPr>
      <w:rFonts w:ascii="Arial" w:hAnsi="Arial"/>
    </w:rPr>
  </w:style>
  <w:style w:type="character" w:styleId="EndnoteReference">
    <w:name w:val="endnote reference"/>
    <w:basedOn w:val="DefaultParagraphFont"/>
    <w:uiPriority w:val="99"/>
    <w:unhideWhenUsed/>
    <w:rsid w:val="005B0355"/>
    <w:rPr>
      <w:vertAlign w:val="superscript"/>
    </w:rPr>
  </w:style>
  <w:style w:type="character" w:customStyle="1" w:styleId="Heading1Char">
    <w:name w:val="Heading 1 Char"/>
    <w:basedOn w:val="DefaultParagraphFont"/>
    <w:link w:val="Heading1"/>
    <w:uiPriority w:val="9"/>
    <w:rsid w:val="00FD614C"/>
    <w:rPr>
      <w:rFonts w:ascii="Times" w:hAnsi="Times"/>
      <w:b/>
      <w:bCs/>
      <w:kern w:val="36"/>
      <w:sz w:val="48"/>
      <w:szCs w:val="48"/>
      <w:lang w:val="en-NZ"/>
    </w:rPr>
  </w:style>
  <w:style w:type="character" w:styleId="Strong">
    <w:name w:val="Strong"/>
    <w:basedOn w:val="DefaultParagraphFont"/>
    <w:uiPriority w:val="22"/>
    <w:qFormat/>
    <w:rsid w:val="00A075D8"/>
    <w:rPr>
      <w:b/>
      <w:bCs/>
    </w:rPr>
  </w:style>
  <w:style w:type="character" w:styleId="FollowedHyperlink">
    <w:name w:val="FollowedHyperlink"/>
    <w:basedOn w:val="DefaultParagraphFont"/>
    <w:uiPriority w:val="99"/>
    <w:semiHidden/>
    <w:unhideWhenUsed/>
    <w:rsid w:val="00C871AB"/>
    <w:rPr>
      <w:color w:val="800080" w:themeColor="followedHyperlink"/>
      <w:u w:val="single"/>
    </w:rPr>
  </w:style>
  <w:style w:type="paragraph" w:styleId="FootnoteText">
    <w:name w:val="footnote text"/>
    <w:basedOn w:val="Normal"/>
    <w:link w:val="FootnoteTextChar"/>
    <w:uiPriority w:val="99"/>
    <w:rsid w:val="00845F61"/>
    <w:rPr>
      <w:rFonts w:ascii="Cambria" w:eastAsia="MS ??" w:hAnsi="Cambria" w:cs="Cambria"/>
      <w:sz w:val="24"/>
    </w:rPr>
  </w:style>
  <w:style w:type="character" w:customStyle="1" w:styleId="FootnoteTextChar">
    <w:name w:val="Footnote Text Char"/>
    <w:basedOn w:val="DefaultParagraphFont"/>
    <w:link w:val="FootnoteText"/>
    <w:uiPriority w:val="99"/>
    <w:rsid w:val="00845F61"/>
    <w:rPr>
      <w:rFonts w:ascii="Cambria" w:eastAsia="MS ??" w:hAnsi="Cambria" w:cs="Cambria"/>
    </w:rPr>
  </w:style>
  <w:style w:type="character" w:customStyle="1" w:styleId="apple-converted-space">
    <w:name w:val="apple-converted-space"/>
    <w:basedOn w:val="DefaultParagraphFont"/>
    <w:rsid w:val="005408AB"/>
  </w:style>
  <w:style w:type="paragraph" w:styleId="Footer">
    <w:name w:val="footer"/>
    <w:basedOn w:val="Normal"/>
    <w:link w:val="FooterChar"/>
    <w:uiPriority w:val="99"/>
    <w:unhideWhenUsed/>
    <w:rsid w:val="008B1586"/>
    <w:pPr>
      <w:tabs>
        <w:tab w:val="center" w:pos="4320"/>
        <w:tab w:val="right" w:pos="8640"/>
      </w:tabs>
    </w:pPr>
  </w:style>
  <w:style w:type="character" w:customStyle="1" w:styleId="FooterChar">
    <w:name w:val="Footer Char"/>
    <w:basedOn w:val="DefaultParagraphFont"/>
    <w:link w:val="Footer"/>
    <w:uiPriority w:val="99"/>
    <w:rsid w:val="008B1586"/>
    <w:rPr>
      <w:rFonts w:ascii="Arial" w:hAnsi="Arial"/>
      <w:sz w:val="22"/>
    </w:rPr>
  </w:style>
  <w:style w:type="character" w:styleId="PageNumber">
    <w:name w:val="page number"/>
    <w:basedOn w:val="DefaultParagraphFont"/>
    <w:uiPriority w:val="99"/>
    <w:semiHidden/>
    <w:unhideWhenUsed/>
    <w:rsid w:val="008B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400">
      <w:bodyDiv w:val="1"/>
      <w:marLeft w:val="0"/>
      <w:marRight w:val="0"/>
      <w:marTop w:val="0"/>
      <w:marBottom w:val="0"/>
      <w:divBdr>
        <w:top w:val="none" w:sz="0" w:space="0" w:color="auto"/>
        <w:left w:val="none" w:sz="0" w:space="0" w:color="auto"/>
        <w:bottom w:val="none" w:sz="0" w:space="0" w:color="auto"/>
        <w:right w:val="none" w:sz="0" w:space="0" w:color="auto"/>
      </w:divBdr>
    </w:div>
    <w:div w:id="69624680">
      <w:bodyDiv w:val="1"/>
      <w:marLeft w:val="0"/>
      <w:marRight w:val="0"/>
      <w:marTop w:val="0"/>
      <w:marBottom w:val="0"/>
      <w:divBdr>
        <w:top w:val="none" w:sz="0" w:space="0" w:color="auto"/>
        <w:left w:val="none" w:sz="0" w:space="0" w:color="auto"/>
        <w:bottom w:val="none" w:sz="0" w:space="0" w:color="auto"/>
        <w:right w:val="none" w:sz="0" w:space="0" w:color="auto"/>
      </w:divBdr>
    </w:div>
    <w:div w:id="369763026">
      <w:bodyDiv w:val="1"/>
      <w:marLeft w:val="0"/>
      <w:marRight w:val="0"/>
      <w:marTop w:val="0"/>
      <w:marBottom w:val="0"/>
      <w:divBdr>
        <w:top w:val="none" w:sz="0" w:space="0" w:color="auto"/>
        <w:left w:val="none" w:sz="0" w:space="0" w:color="auto"/>
        <w:bottom w:val="none" w:sz="0" w:space="0" w:color="auto"/>
        <w:right w:val="none" w:sz="0" w:space="0" w:color="auto"/>
      </w:divBdr>
    </w:div>
    <w:div w:id="536429739">
      <w:bodyDiv w:val="1"/>
      <w:marLeft w:val="0"/>
      <w:marRight w:val="0"/>
      <w:marTop w:val="0"/>
      <w:marBottom w:val="0"/>
      <w:divBdr>
        <w:top w:val="none" w:sz="0" w:space="0" w:color="auto"/>
        <w:left w:val="none" w:sz="0" w:space="0" w:color="auto"/>
        <w:bottom w:val="none" w:sz="0" w:space="0" w:color="auto"/>
        <w:right w:val="none" w:sz="0" w:space="0" w:color="auto"/>
      </w:divBdr>
    </w:div>
    <w:div w:id="555164193">
      <w:bodyDiv w:val="1"/>
      <w:marLeft w:val="0"/>
      <w:marRight w:val="0"/>
      <w:marTop w:val="0"/>
      <w:marBottom w:val="0"/>
      <w:divBdr>
        <w:top w:val="none" w:sz="0" w:space="0" w:color="auto"/>
        <w:left w:val="none" w:sz="0" w:space="0" w:color="auto"/>
        <w:bottom w:val="none" w:sz="0" w:space="0" w:color="auto"/>
        <w:right w:val="none" w:sz="0" w:space="0" w:color="auto"/>
      </w:divBdr>
    </w:div>
    <w:div w:id="654071728">
      <w:bodyDiv w:val="1"/>
      <w:marLeft w:val="0"/>
      <w:marRight w:val="0"/>
      <w:marTop w:val="0"/>
      <w:marBottom w:val="0"/>
      <w:divBdr>
        <w:top w:val="none" w:sz="0" w:space="0" w:color="auto"/>
        <w:left w:val="none" w:sz="0" w:space="0" w:color="auto"/>
        <w:bottom w:val="none" w:sz="0" w:space="0" w:color="auto"/>
        <w:right w:val="none" w:sz="0" w:space="0" w:color="auto"/>
      </w:divBdr>
    </w:div>
    <w:div w:id="657080081">
      <w:bodyDiv w:val="1"/>
      <w:marLeft w:val="0"/>
      <w:marRight w:val="0"/>
      <w:marTop w:val="0"/>
      <w:marBottom w:val="0"/>
      <w:divBdr>
        <w:top w:val="none" w:sz="0" w:space="0" w:color="auto"/>
        <w:left w:val="none" w:sz="0" w:space="0" w:color="auto"/>
        <w:bottom w:val="none" w:sz="0" w:space="0" w:color="auto"/>
        <w:right w:val="none" w:sz="0" w:space="0" w:color="auto"/>
      </w:divBdr>
    </w:div>
    <w:div w:id="700473753">
      <w:bodyDiv w:val="1"/>
      <w:marLeft w:val="0"/>
      <w:marRight w:val="0"/>
      <w:marTop w:val="0"/>
      <w:marBottom w:val="0"/>
      <w:divBdr>
        <w:top w:val="none" w:sz="0" w:space="0" w:color="auto"/>
        <w:left w:val="none" w:sz="0" w:space="0" w:color="auto"/>
        <w:bottom w:val="none" w:sz="0" w:space="0" w:color="auto"/>
        <w:right w:val="none" w:sz="0" w:space="0" w:color="auto"/>
      </w:divBdr>
    </w:div>
    <w:div w:id="835536781">
      <w:bodyDiv w:val="1"/>
      <w:marLeft w:val="0"/>
      <w:marRight w:val="0"/>
      <w:marTop w:val="0"/>
      <w:marBottom w:val="0"/>
      <w:divBdr>
        <w:top w:val="none" w:sz="0" w:space="0" w:color="auto"/>
        <w:left w:val="none" w:sz="0" w:space="0" w:color="auto"/>
        <w:bottom w:val="none" w:sz="0" w:space="0" w:color="auto"/>
        <w:right w:val="none" w:sz="0" w:space="0" w:color="auto"/>
      </w:divBdr>
      <w:divsChild>
        <w:div w:id="1260679004">
          <w:marLeft w:val="1123"/>
          <w:marRight w:val="0"/>
          <w:marTop w:val="0"/>
          <w:marBottom w:val="0"/>
          <w:divBdr>
            <w:top w:val="none" w:sz="0" w:space="0" w:color="auto"/>
            <w:left w:val="none" w:sz="0" w:space="0" w:color="auto"/>
            <w:bottom w:val="none" w:sz="0" w:space="0" w:color="auto"/>
            <w:right w:val="none" w:sz="0" w:space="0" w:color="auto"/>
          </w:divBdr>
        </w:div>
        <w:div w:id="1086993416">
          <w:marLeft w:val="1123"/>
          <w:marRight w:val="0"/>
          <w:marTop w:val="0"/>
          <w:marBottom w:val="0"/>
          <w:divBdr>
            <w:top w:val="none" w:sz="0" w:space="0" w:color="auto"/>
            <w:left w:val="none" w:sz="0" w:space="0" w:color="auto"/>
            <w:bottom w:val="none" w:sz="0" w:space="0" w:color="auto"/>
            <w:right w:val="none" w:sz="0" w:space="0" w:color="auto"/>
          </w:divBdr>
        </w:div>
        <w:div w:id="1589389929">
          <w:marLeft w:val="1181"/>
          <w:marRight w:val="0"/>
          <w:marTop w:val="0"/>
          <w:marBottom w:val="0"/>
          <w:divBdr>
            <w:top w:val="none" w:sz="0" w:space="0" w:color="auto"/>
            <w:left w:val="none" w:sz="0" w:space="0" w:color="auto"/>
            <w:bottom w:val="none" w:sz="0" w:space="0" w:color="auto"/>
            <w:right w:val="none" w:sz="0" w:space="0" w:color="auto"/>
          </w:divBdr>
        </w:div>
        <w:div w:id="15888136">
          <w:marLeft w:val="1181"/>
          <w:marRight w:val="0"/>
          <w:marTop w:val="0"/>
          <w:marBottom w:val="0"/>
          <w:divBdr>
            <w:top w:val="none" w:sz="0" w:space="0" w:color="auto"/>
            <w:left w:val="none" w:sz="0" w:space="0" w:color="auto"/>
            <w:bottom w:val="none" w:sz="0" w:space="0" w:color="auto"/>
            <w:right w:val="none" w:sz="0" w:space="0" w:color="auto"/>
          </w:divBdr>
        </w:div>
      </w:divsChild>
    </w:div>
    <w:div w:id="1056396858">
      <w:bodyDiv w:val="1"/>
      <w:marLeft w:val="0"/>
      <w:marRight w:val="0"/>
      <w:marTop w:val="0"/>
      <w:marBottom w:val="0"/>
      <w:divBdr>
        <w:top w:val="none" w:sz="0" w:space="0" w:color="auto"/>
        <w:left w:val="none" w:sz="0" w:space="0" w:color="auto"/>
        <w:bottom w:val="none" w:sz="0" w:space="0" w:color="auto"/>
        <w:right w:val="none" w:sz="0" w:space="0" w:color="auto"/>
      </w:divBdr>
      <w:divsChild>
        <w:div w:id="909578510">
          <w:marLeft w:val="446"/>
          <w:marRight w:val="0"/>
          <w:marTop w:val="0"/>
          <w:marBottom w:val="0"/>
          <w:divBdr>
            <w:top w:val="none" w:sz="0" w:space="0" w:color="auto"/>
            <w:left w:val="none" w:sz="0" w:space="0" w:color="auto"/>
            <w:bottom w:val="none" w:sz="0" w:space="0" w:color="auto"/>
            <w:right w:val="none" w:sz="0" w:space="0" w:color="auto"/>
          </w:divBdr>
        </w:div>
        <w:div w:id="1552692557">
          <w:marLeft w:val="446"/>
          <w:marRight w:val="0"/>
          <w:marTop w:val="0"/>
          <w:marBottom w:val="0"/>
          <w:divBdr>
            <w:top w:val="none" w:sz="0" w:space="0" w:color="auto"/>
            <w:left w:val="none" w:sz="0" w:space="0" w:color="auto"/>
            <w:bottom w:val="none" w:sz="0" w:space="0" w:color="auto"/>
            <w:right w:val="none" w:sz="0" w:space="0" w:color="auto"/>
          </w:divBdr>
        </w:div>
        <w:div w:id="2019386123">
          <w:marLeft w:val="446"/>
          <w:marRight w:val="0"/>
          <w:marTop w:val="0"/>
          <w:marBottom w:val="0"/>
          <w:divBdr>
            <w:top w:val="none" w:sz="0" w:space="0" w:color="auto"/>
            <w:left w:val="none" w:sz="0" w:space="0" w:color="auto"/>
            <w:bottom w:val="none" w:sz="0" w:space="0" w:color="auto"/>
            <w:right w:val="none" w:sz="0" w:space="0" w:color="auto"/>
          </w:divBdr>
        </w:div>
        <w:div w:id="1576474965">
          <w:marLeft w:val="446"/>
          <w:marRight w:val="0"/>
          <w:marTop w:val="0"/>
          <w:marBottom w:val="0"/>
          <w:divBdr>
            <w:top w:val="none" w:sz="0" w:space="0" w:color="auto"/>
            <w:left w:val="none" w:sz="0" w:space="0" w:color="auto"/>
            <w:bottom w:val="none" w:sz="0" w:space="0" w:color="auto"/>
            <w:right w:val="none" w:sz="0" w:space="0" w:color="auto"/>
          </w:divBdr>
        </w:div>
        <w:div w:id="42752639">
          <w:marLeft w:val="1094"/>
          <w:marRight w:val="0"/>
          <w:marTop w:val="0"/>
          <w:marBottom w:val="0"/>
          <w:divBdr>
            <w:top w:val="none" w:sz="0" w:space="0" w:color="auto"/>
            <w:left w:val="none" w:sz="0" w:space="0" w:color="auto"/>
            <w:bottom w:val="none" w:sz="0" w:space="0" w:color="auto"/>
            <w:right w:val="none" w:sz="0" w:space="0" w:color="auto"/>
          </w:divBdr>
        </w:div>
        <w:div w:id="117066621">
          <w:marLeft w:val="1094"/>
          <w:marRight w:val="0"/>
          <w:marTop w:val="0"/>
          <w:marBottom w:val="0"/>
          <w:divBdr>
            <w:top w:val="none" w:sz="0" w:space="0" w:color="auto"/>
            <w:left w:val="none" w:sz="0" w:space="0" w:color="auto"/>
            <w:bottom w:val="none" w:sz="0" w:space="0" w:color="auto"/>
            <w:right w:val="none" w:sz="0" w:space="0" w:color="auto"/>
          </w:divBdr>
        </w:div>
        <w:div w:id="993794468">
          <w:marLeft w:val="1094"/>
          <w:marRight w:val="0"/>
          <w:marTop w:val="0"/>
          <w:marBottom w:val="0"/>
          <w:divBdr>
            <w:top w:val="none" w:sz="0" w:space="0" w:color="auto"/>
            <w:left w:val="none" w:sz="0" w:space="0" w:color="auto"/>
            <w:bottom w:val="none" w:sz="0" w:space="0" w:color="auto"/>
            <w:right w:val="none" w:sz="0" w:space="0" w:color="auto"/>
          </w:divBdr>
        </w:div>
      </w:divsChild>
    </w:div>
    <w:div w:id="1218708794">
      <w:bodyDiv w:val="1"/>
      <w:marLeft w:val="0"/>
      <w:marRight w:val="0"/>
      <w:marTop w:val="0"/>
      <w:marBottom w:val="0"/>
      <w:divBdr>
        <w:top w:val="none" w:sz="0" w:space="0" w:color="auto"/>
        <w:left w:val="none" w:sz="0" w:space="0" w:color="auto"/>
        <w:bottom w:val="none" w:sz="0" w:space="0" w:color="auto"/>
        <w:right w:val="none" w:sz="0" w:space="0" w:color="auto"/>
      </w:divBdr>
    </w:div>
    <w:div w:id="1223567428">
      <w:bodyDiv w:val="1"/>
      <w:marLeft w:val="0"/>
      <w:marRight w:val="0"/>
      <w:marTop w:val="0"/>
      <w:marBottom w:val="0"/>
      <w:divBdr>
        <w:top w:val="none" w:sz="0" w:space="0" w:color="auto"/>
        <w:left w:val="none" w:sz="0" w:space="0" w:color="auto"/>
        <w:bottom w:val="none" w:sz="0" w:space="0" w:color="auto"/>
        <w:right w:val="none" w:sz="0" w:space="0" w:color="auto"/>
      </w:divBdr>
    </w:div>
    <w:div w:id="1266495801">
      <w:bodyDiv w:val="1"/>
      <w:marLeft w:val="0"/>
      <w:marRight w:val="0"/>
      <w:marTop w:val="0"/>
      <w:marBottom w:val="0"/>
      <w:divBdr>
        <w:top w:val="none" w:sz="0" w:space="0" w:color="auto"/>
        <w:left w:val="none" w:sz="0" w:space="0" w:color="auto"/>
        <w:bottom w:val="none" w:sz="0" w:space="0" w:color="auto"/>
        <w:right w:val="none" w:sz="0" w:space="0" w:color="auto"/>
      </w:divBdr>
    </w:div>
    <w:div w:id="1358774700">
      <w:bodyDiv w:val="1"/>
      <w:marLeft w:val="0"/>
      <w:marRight w:val="0"/>
      <w:marTop w:val="0"/>
      <w:marBottom w:val="0"/>
      <w:divBdr>
        <w:top w:val="none" w:sz="0" w:space="0" w:color="auto"/>
        <w:left w:val="none" w:sz="0" w:space="0" w:color="auto"/>
        <w:bottom w:val="none" w:sz="0" w:space="0" w:color="auto"/>
        <w:right w:val="none" w:sz="0" w:space="0" w:color="auto"/>
      </w:divBdr>
    </w:div>
    <w:div w:id="1409693318">
      <w:bodyDiv w:val="1"/>
      <w:marLeft w:val="0"/>
      <w:marRight w:val="0"/>
      <w:marTop w:val="0"/>
      <w:marBottom w:val="0"/>
      <w:divBdr>
        <w:top w:val="none" w:sz="0" w:space="0" w:color="auto"/>
        <w:left w:val="none" w:sz="0" w:space="0" w:color="auto"/>
        <w:bottom w:val="none" w:sz="0" w:space="0" w:color="auto"/>
        <w:right w:val="none" w:sz="0" w:space="0" w:color="auto"/>
      </w:divBdr>
    </w:div>
    <w:div w:id="1423259450">
      <w:bodyDiv w:val="1"/>
      <w:marLeft w:val="0"/>
      <w:marRight w:val="0"/>
      <w:marTop w:val="0"/>
      <w:marBottom w:val="0"/>
      <w:divBdr>
        <w:top w:val="none" w:sz="0" w:space="0" w:color="auto"/>
        <w:left w:val="none" w:sz="0" w:space="0" w:color="auto"/>
        <w:bottom w:val="none" w:sz="0" w:space="0" w:color="auto"/>
        <w:right w:val="none" w:sz="0" w:space="0" w:color="auto"/>
      </w:divBdr>
    </w:div>
    <w:div w:id="1444349754">
      <w:bodyDiv w:val="1"/>
      <w:marLeft w:val="0"/>
      <w:marRight w:val="0"/>
      <w:marTop w:val="0"/>
      <w:marBottom w:val="0"/>
      <w:divBdr>
        <w:top w:val="none" w:sz="0" w:space="0" w:color="auto"/>
        <w:left w:val="none" w:sz="0" w:space="0" w:color="auto"/>
        <w:bottom w:val="none" w:sz="0" w:space="0" w:color="auto"/>
        <w:right w:val="none" w:sz="0" w:space="0" w:color="auto"/>
      </w:divBdr>
      <w:divsChild>
        <w:div w:id="1651397943">
          <w:marLeft w:val="446"/>
          <w:marRight w:val="0"/>
          <w:marTop w:val="0"/>
          <w:marBottom w:val="0"/>
          <w:divBdr>
            <w:top w:val="none" w:sz="0" w:space="0" w:color="auto"/>
            <w:left w:val="none" w:sz="0" w:space="0" w:color="auto"/>
            <w:bottom w:val="none" w:sz="0" w:space="0" w:color="auto"/>
            <w:right w:val="none" w:sz="0" w:space="0" w:color="auto"/>
          </w:divBdr>
        </w:div>
        <w:div w:id="995688535">
          <w:marLeft w:val="446"/>
          <w:marRight w:val="0"/>
          <w:marTop w:val="0"/>
          <w:marBottom w:val="0"/>
          <w:divBdr>
            <w:top w:val="none" w:sz="0" w:space="0" w:color="auto"/>
            <w:left w:val="none" w:sz="0" w:space="0" w:color="auto"/>
            <w:bottom w:val="none" w:sz="0" w:space="0" w:color="auto"/>
            <w:right w:val="none" w:sz="0" w:space="0" w:color="auto"/>
          </w:divBdr>
        </w:div>
        <w:div w:id="1864636847">
          <w:marLeft w:val="778"/>
          <w:marRight w:val="0"/>
          <w:marTop w:val="0"/>
          <w:marBottom w:val="0"/>
          <w:divBdr>
            <w:top w:val="none" w:sz="0" w:space="0" w:color="auto"/>
            <w:left w:val="none" w:sz="0" w:space="0" w:color="auto"/>
            <w:bottom w:val="none" w:sz="0" w:space="0" w:color="auto"/>
            <w:right w:val="none" w:sz="0" w:space="0" w:color="auto"/>
          </w:divBdr>
        </w:div>
        <w:div w:id="1563519391">
          <w:marLeft w:val="778"/>
          <w:marRight w:val="0"/>
          <w:marTop w:val="0"/>
          <w:marBottom w:val="0"/>
          <w:divBdr>
            <w:top w:val="none" w:sz="0" w:space="0" w:color="auto"/>
            <w:left w:val="none" w:sz="0" w:space="0" w:color="auto"/>
            <w:bottom w:val="none" w:sz="0" w:space="0" w:color="auto"/>
            <w:right w:val="none" w:sz="0" w:space="0" w:color="auto"/>
          </w:divBdr>
        </w:div>
        <w:div w:id="43062342">
          <w:marLeft w:val="778"/>
          <w:marRight w:val="0"/>
          <w:marTop w:val="0"/>
          <w:marBottom w:val="0"/>
          <w:divBdr>
            <w:top w:val="none" w:sz="0" w:space="0" w:color="auto"/>
            <w:left w:val="none" w:sz="0" w:space="0" w:color="auto"/>
            <w:bottom w:val="none" w:sz="0" w:space="0" w:color="auto"/>
            <w:right w:val="none" w:sz="0" w:space="0" w:color="auto"/>
          </w:divBdr>
        </w:div>
        <w:div w:id="1770734676">
          <w:marLeft w:val="778"/>
          <w:marRight w:val="0"/>
          <w:marTop w:val="0"/>
          <w:marBottom w:val="0"/>
          <w:divBdr>
            <w:top w:val="none" w:sz="0" w:space="0" w:color="auto"/>
            <w:left w:val="none" w:sz="0" w:space="0" w:color="auto"/>
            <w:bottom w:val="none" w:sz="0" w:space="0" w:color="auto"/>
            <w:right w:val="none" w:sz="0" w:space="0" w:color="auto"/>
          </w:divBdr>
        </w:div>
      </w:divsChild>
    </w:div>
    <w:div w:id="1732650600">
      <w:bodyDiv w:val="1"/>
      <w:marLeft w:val="0"/>
      <w:marRight w:val="0"/>
      <w:marTop w:val="0"/>
      <w:marBottom w:val="0"/>
      <w:divBdr>
        <w:top w:val="none" w:sz="0" w:space="0" w:color="auto"/>
        <w:left w:val="none" w:sz="0" w:space="0" w:color="auto"/>
        <w:bottom w:val="none" w:sz="0" w:space="0" w:color="auto"/>
        <w:right w:val="none" w:sz="0" w:space="0" w:color="auto"/>
      </w:divBdr>
    </w:div>
    <w:div w:id="173955064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15">
          <w:marLeft w:val="0"/>
          <w:marRight w:val="0"/>
          <w:marTop w:val="0"/>
          <w:marBottom w:val="0"/>
          <w:divBdr>
            <w:top w:val="none" w:sz="0" w:space="0" w:color="auto"/>
            <w:left w:val="none" w:sz="0" w:space="0" w:color="auto"/>
            <w:bottom w:val="none" w:sz="0" w:space="0" w:color="auto"/>
            <w:right w:val="none" w:sz="0" w:space="0" w:color="auto"/>
          </w:divBdr>
        </w:div>
        <w:div w:id="1968274403">
          <w:marLeft w:val="0"/>
          <w:marRight w:val="0"/>
          <w:marTop w:val="0"/>
          <w:marBottom w:val="0"/>
          <w:divBdr>
            <w:top w:val="none" w:sz="0" w:space="0" w:color="auto"/>
            <w:left w:val="none" w:sz="0" w:space="0" w:color="auto"/>
            <w:bottom w:val="none" w:sz="0" w:space="0" w:color="auto"/>
            <w:right w:val="none" w:sz="0" w:space="0" w:color="auto"/>
          </w:divBdr>
        </w:div>
        <w:div w:id="1541436608">
          <w:marLeft w:val="0"/>
          <w:marRight w:val="0"/>
          <w:marTop w:val="0"/>
          <w:marBottom w:val="0"/>
          <w:divBdr>
            <w:top w:val="none" w:sz="0" w:space="0" w:color="auto"/>
            <w:left w:val="none" w:sz="0" w:space="0" w:color="auto"/>
            <w:bottom w:val="none" w:sz="0" w:space="0" w:color="auto"/>
            <w:right w:val="none" w:sz="0" w:space="0" w:color="auto"/>
          </w:divBdr>
        </w:div>
        <w:div w:id="486016518">
          <w:marLeft w:val="0"/>
          <w:marRight w:val="0"/>
          <w:marTop w:val="0"/>
          <w:marBottom w:val="0"/>
          <w:divBdr>
            <w:top w:val="none" w:sz="0" w:space="0" w:color="auto"/>
            <w:left w:val="none" w:sz="0" w:space="0" w:color="auto"/>
            <w:bottom w:val="none" w:sz="0" w:space="0" w:color="auto"/>
            <w:right w:val="none" w:sz="0" w:space="0" w:color="auto"/>
          </w:divBdr>
        </w:div>
        <w:div w:id="513149832">
          <w:marLeft w:val="0"/>
          <w:marRight w:val="0"/>
          <w:marTop w:val="0"/>
          <w:marBottom w:val="0"/>
          <w:divBdr>
            <w:top w:val="none" w:sz="0" w:space="0" w:color="auto"/>
            <w:left w:val="none" w:sz="0" w:space="0" w:color="auto"/>
            <w:bottom w:val="none" w:sz="0" w:space="0" w:color="auto"/>
            <w:right w:val="none" w:sz="0" w:space="0" w:color="auto"/>
          </w:divBdr>
        </w:div>
      </w:divsChild>
    </w:div>
    <w:div w:id="1815248857">
      <w:bodyDiv w:val="1"/>
      <w:marLeft w:val="0"/>
      <w:marRight w:val="0"/>
      <w:marTop w:val="0"/>
      <w:marBottom w:val="0"/>
      <w:divBdr>
        <w:top w:val="none" w:sz="0" w:space="0" w:color="auto"/>
        <w:left w:val="none" w:sz="0" w:space="0" w:color="auto"/>
        <w:bottom w:val="none" w:sz="0" w:space="0" w:color="auto"/>
        <w:right w:val="none" w:sz="0" w:space="0" w:color="auto"/>
      </w:divBdr>
    </w:div>
    <w:div w:id="1900631721">
      <w:bodyDiv w:val="1"/>
      <w:marLeft w:val="0"/>
      <w:marRight w:val="0"/>
      <w:marTop w:val="0"/>
      <w:marBottom w:val="0"/>
      <w:divBdr>
        <w:top w:val="none" w:sz="0" w:space="0" w:color="auto"/>
        <w:left w:val="none" w:sz="0" w:space="0" w:color="auto"/>
        <w:bottom w:val="none" w:sz="0" w:space="0" w:color="auto"/>
        <w:right w:val="none" w:sz="0" w:space="0" w:color="auto"/>
      </w:divBdr>
    </w:div>
    <w:div w:id="1979138933">
      <w:bodyDiv w:val="1"/>
      <w:marLeft w:val="0"/>
      <w:marRight w:val="0"/>
      <w:marTop w:val="0"/>
      <w:marBottom w:val="0"/>
      <w:divBdr>
        <w:top w:val="none" w:sz="0" w:space="0" w:color="auto"/>
        <w:left w:val="none" w:sz="0" w:space="0" w:color="auto"/>
        <w:bottom w:val="none" w:sz="0" w:space="0" w:color="auto"/>
        <w:right w:val="none" w:sz="0" w:space="0" w:color="auto"/>
      </w:divBdr>
    </w:div>
    <w:div w:id="2000229148">
      <w:bodyDiv w:val="1"/>
      <w:marLeft w:val="0"/>
      <w:marRight w:val="0"/>
      <w:marTop w:val="0"/>
      <w:marBottom w:val="0"/>
      <w:divBdr>
        <w:top w:val="none" w:sz="0" w:space="0" w:color="auto"/>
        <w:left w:val="none" w:sz="0" w:space="0" w:color="auto"/>
        <w:bottom w:val="none" w:sz="0" w:space="0" w:color="auto"/>
        <w:right w:val="none" w:sz="0" w:space="0" w:color="auto"/>
      </w:divBdr>
    </w:div>
    <w:div w:id="2117021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limateactiontracker.org/countries/newzealand.html" TargetMode="External"/><Relationship Id="rId20" Type="http://schemas.openxmlformats.org/officeDocument/2006/relationships/hyperlink" Target="http://www.vox.com/2015/6/5/8733601/big-oil-carbon-price" TargetMode="External"/><Relationship Id="rId21" Type="http://schemas.openxmlformats.org/officeDocument/2006/relationships/hyperlink" Target="http://trilliummutualfunds.com/mutual-funds/portfolio21-global-equity-fund/"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arbontracker.org/report/carbon-bubble" TargetMode="External"/><Relationship Id="rId11" Type="http://schemas.openxmlformats.org/officeDocument/2006/relationships/hyperlink" Target="http://www.cbisonline.com/page.asp?=575" TargetMode="External"/><Relationship Id="rId12" Type="http://schemas.openxmlformats.org/officeDocument/2006/relationships/hyperlink" Target="http://www.theguardian.com/environment/2015/sep/29/carney-warns-of-risks-from-climate-change-tragedy-of-the-horizon" TargetMode="External"/><Relationship Id="rId13" Type="http://schemas.openxmlformats.org/officeDocument/2006/relationships/hyperlink" Target="http://www.gsi-alliance.org/wp-content/uploads/2015/02/GSIA_Review_download.pdf" TargetMode="External"/><Relationship Id="rId14" Type="http://schemas.openxmlformats.org/officeDocument/2006/relationships/hyperlink" Target="http://www.arrcc.org.au/socially-responsible-investment-and-the-big-four-australian-banks" TargetMode="External"/><Relationship Id="rId15" Type="http://schemas.openxmlformats.org/officeDocument/2006/relationships/hyperlink" Target="https://dl.dropboxusercontent.com/u/11111592/RH%20How%20are%20we%20to%20live%200315.pdf" TargetMode="External"/><Relationship Id="rId16" Type="http://schemas.openxmlformats.org/officeDocument/2006/relationships/hyperlink" Target="http://www.ipcc.ch/" TargetMode="External"/><Relationship Id="rId17" Type="http://schemas.openxmlformats.org/officeDocument/2006/relationships/hyperlink" Target="http://www.domini.com/sites/default/files/fighting_slavery_v1.pdf" TargetMode="External"/><Relationship Id="rId18" Type="http://schemas.openxmlformats.org/officeDocument/2006/relationships/hyperlink" Target="http://www.mercer.com/content/dam/mercer/attachments/global/investments/mercer-climate-change-report-2015.pdf" TargetMode="External"/><Relationship Id="rId19" Type="http://schemas.openxmlformats.org/officeDocument/2006/relationships/hyperlink" Target="http://www.ft.com/intl/cms/s/0/0b0b33cc-68f9-11e5-a57f-21b88f7d973f.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3B3A-356C-164F-A8EC-89D8FBE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5293</Words>
  <Characters>30175</Characters>
  <Application>Microsoft Macintosh Word</Application>
  <DocSecurity>0</DocSecurity>
  <Lines>251</Lines>
  <Paragraphs>70</Paragraphs>
  <ScaleCrop>false</ScaleCrop>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2</cp:revision>
  <cp:lastPrinted>2015-11-02T00:09:00Z</cp:lastPrinted>
  <dcterms:created xsi:type="dcterms:W3CDTF">2015-11-03T08:48:00Z</dcterms:created>
  <dcterms:modified xsi:type="dcterms:W3CDTF">2015-11-03T08:48:00Z</dcterms:modified>
</cp:coreProperties>
</file>