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7997C" w14:textId="77777777" w:rsidR="00580FB3" w:rsidRPr="00466472" w:rsidRDefault="00580FB3" w:rsidP="00466472">
      <w:pPr>
        <w:pStyle w:val="Heading3"/>
        <w:rPr>
          <w:rStyle w:val="Placeholder"/>
          <w:b/>
          <w:bCs/>
        </w:rPr>
      </w:pPr>
      <w:r w:rsidRPr="00466472">
        <w:rPr>
          <w:rStyle w:val="Placeholder"/>
          <w:b/>
          <w:bCs/>
        </w:rPr>
        <w:t>[Project name]</w:t>
      </w:r>
    </w:p>
    <w:p w14:paraId="3507CF4A" w14:textId="77777777" w:rsidR="00580FB3" w:rsidRPr="00580FB3" w:rsidRDefault="00580FB3" w:rsidP="005973EB">
      <w:pPr>
        <w:pStyle w:val="Heading3"/>
      </w:pPr>
      <w:r w:rsidRPr="00580FB3">
        <w:t>Structural maintenance schedule</w:t>
      </w:r>
    </w:p>
    <w:p w14:paraId="07A807ED" w14:textId="77777777" w:rsidR="00580FB3" w:rsidRPr="00580FB3" w:rsidRDefault="00580FB3" w:rsidP="00580FB3">
      <w:r w:rsidRPr="00580FB3">
        <w:t>This schedule of ongoing inspection and maintenance of structural elements shall be included with the Operations and Maintenance manuals and provided to the Owner/Body Corporate and building managers.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3"/>
      </w:tblGrid>
      <w:tr w:rsidR="005973EB" w:rsidRPr="005973EB" w14:paraId="6F33B8B0" w14:textId="77777777" w:rsidTr="005973EB">
        <w:tc>
          <w:tcPr>
            <w:tcW w:w="9010" w:type="dxa"/>
            <w:gridSpan w:val="2"/>
            <w:shd w:val="clear" w:color="auto" w:fill="D9D9D9" w:themeFill="background1" w:themeFillShade="D9"/>
          </w:tcPr>
          <w:p w14:paraId="5444D1DC" w14:textId="77777777" w:rsidR="005973EB" w:rsidRPr="005973EB" w:rsidRDefault="005973EB" w:rsidP="005973EB">
            <w:pPr>
              <w:pStyle w:val="Tablebody"/>
            </w:pPr>
            <w:r w:rsidRPr="005973EB">
              <w:t>Inspection/maintenance timeframe and item</w:t>
            </w:r>
          </w:p>
        </w:tc>
      </w:tr>
      <w:tr w:rsidR="005973EB" w:rsidRPr="005973EB" w14:paraId="70D55E1D" w14:textId="77777777" w:rsidTr="005973EB">
        <w:tc>
          <w:tcPr>
            <w:tcW w:w="2547" w:type="dxa"/>
          </w:tcPr>
          <w:p w14:paraId="2E413AFD" w14:textId="77777777" w:rsidR="005973EB" w:rsidRPr="005973EB" w:rsidRDefault="005973EB" w:rsidP="005973EB">
            <w:pPr>
              <w:pStyle w:val="Tablebody"/>
            </w:pPr>
            <w:r w:rsidRPr="005973EB">
              <w:t>Half-</w:t>
            </w:r>
            <w:r w:rsidR="00466472">
              <w:t>y</w:t>
            </w:r>
            <w:r w:rsidRPr="005973EB">
              <w:t>early</w:t>
            </w:r>
          </w:p>
        </w:tc>
        <w:tc>
          <w:tcPr>
            <w:tcW w:w="6463" w:type="dxa"/>
          </w:tcPr>
          <w:p w14:paraId="1780C9EA" w14:textId="77777777" w:rsidR="005973EB" w:rsidRDefault="005973EB" w:rsidP="005973EB">
            <w:pPr>
              <w:pStyle w:val="Tablebody"/>
            </w:pPr>
            <w:r w:rsidRPr="005973EB">
              <w:t>Wash down all exposed steelwork that is not in a fully interior environment including:</w:t>
            </w:r>
          </w:p>
          <w:p w14:paraId="42CECCDB" w14:textId="77777777" w:rsidR="005973EB" w:rsidRDefault="005973EB" w:rsidP="005973EB">
            <w:pPr>
              <w:pStyle w:val="Tablebullets"/>
            </w:pPr>
            <w:r>
              <w:t>Veranda steelwork</w:t>
            </w:r>
          </w:p>
          <w:p w14:paraId="1295C5E7" w14:textId="77777777" w:rsidR="005973EB" w:rsidRDefault="005973EB" w:rsidP="005973EB">
            <w:pPr>
              <w:pStyle w:val="Tablebullets"/>
            </w:pPr>
            <w:r>
              <w:t>Steel Carpark structure (beams, columns, braces etc)</w:t>
            </w:r>
          </w:p>
          <w:p w14:paraId="16D5E851" w14:textId="77777777" w:rsidR="005973EB" w:rsidRDefault="005973EB" w:rsidP="005973EB">
            <w:pPr>
              <w:pStyle w:val="Tablebullets"/>
            </w:pPr>
            <w:r>
              <w:t>Deck and balcony steelwork</w:t>
            </w:r>
          </w:p>
          <w:p w14:paraId="273E2426" w14:textId="77777777" w:rsidR="005973EB" w:rsidRDefault="005973EB" w:rsidP="005973EB">
            <w:pPr>
              <w:pStyle w:val="Tablebullets"/>
            </w:pPr>
            <w:r>
              <w:t>Exposed façade steelwork, both primary and secondary structure</w:t>
            </w:r>
          </w:p>
          <w:p w14:paraId="15FD8C8A" w14:textId="77777777" w:rsidR="005973EB" w:rsidRDefault="005973EB" w:rsidP="005973EB">
            <w:pPr>
              <w:pStyle w:val="Tablebullets"/>
            </w:pPr>
            <w:r>
              <w:t>Plantrooms and plenums with fresh-air intakes</w:t>
            </w:r>
          </w:p>
          <w:p w14:paraId="3B054F98" w14:textId="77777777" w:rsidR="005973EB" w:rsidRDefault="005973EB" w:rsidP="005973EB">
            <w:pPr>
              <w:pStyle w:val="Tablebullets"/>
            </w:pPr>
            <w:r>
              <w:t>External structural components such as Buckling Restrained Braces, Viscous Dampers, Eccentrically Braced Frames and the like</w:t>
            </w:r>
          </w:p>
          <w:p w14:paraId="55CB3C4E" w14:textId="77777777" w:rsidR="005973EB" w:rsidRPr="005973EB" w:rsidRDefault="005973EB" w:rsidP="005973EB">
            <w:pPr>
              <w:pStyle w:val="Tablebullets"/>
            </w:pPr>
            <w:r>
              <w:t>Sub-ground floor mild-steel structures such as beams, isolation bearings etc.</w:t>
            </w:r>
          </w:p>
        </w:tc>
      </w:tr>
      <w:tr w:rsidR="005973EB" w:rsidRPr="005973EB" w14:paraId="365B47F9" w14:textId="77777777" w:rsidTr="005973EB">
        <w:tc>
          <w:tcPr>
            <w:tcW w:w="2547" w:type="dxa"/>
          </w:tcPr>
          <w:p w14:paraId="44888050" w14:textId="77777777" w:rsidR="005973EB" w:rsidRPr="005973EB" w:rsidRDefault="005973EB" w:rsidP="005973EB">
            <w:pPr>
              <w:pStyle w:val="Tablebody"/>
            </w:pPr>
            <w:r w:rsidRPr="005973EB">
              <w:t xml:space="preserve">(b) 5 </w:t>
            </w:r>
            <w:r w:rsidR="00466472">
              <w:t>y</w:t>
            </w:r>
            <w:r w:rsidRPr="005973EB">
              <w:t>early</w:t>
            </w:r>
          </w:p>
        </w:tc>
        <w:tc>
          <w:tcPr>
            <w:tcW w:w="6463" w:type="dxa"/>
          </w:tcPr>
          <w:p w14:paraId="43AF479E" w14:textId="77777777" w:rsidR="005973EB" w:rsidRPr="005973EB" w:rsidRDefault="005973EB" w:rsidP="005973EB">
            <w:pPr>
              <w:pStyle w:val="Tablebody"/>
            </w:pPr>
            <w:r w:rsidRPr="005973EB">
              <w:t>Inspect and repair sealant that encloses structural mild-steel components and/or timber with mild-steel fixings</w:t>
            </w:r>
          </w:p>
        </w:tc>
      </w:tr>
      <w:tr w:rsidR="005973EB" w:rsidRPr="005973EB" w14:paraId="1EA59304" w14:textId="77777777" w:rsidTr="005973EB">
        <w:tc>
          <w:tcPr>
            <w:tcW w:w="2547" w:type="dxa"/>
            <w:vMerge w:val="restart"/>
          </w:tcPr>
          <w:p w14:paraId="66E4F18C" w14:textId="77777777" w:rsidR="005973EB" w:rsidRPr="005973EB" w:rsidRDefault="005973EB" w:rsidP="005973EB">
            <w:pPr>
              <w:pStyle w:val="Tablebody"/>
            </w:pPr>
            <w:r w:rsidRPr="005973EB">
              <w:t xml:space="preserve">(c) 10 </w:t>
            </w:r>
            <w:r w:rsidR="00466472">
              <w:t>y</w:t>
            </w:r>
            <w:r w:rsidRPr="005973EB">
              <w:t>early</w:t>
            </w:r>
          </w:p>
        </w:tc>
        <w:tc>
          <w:tcPr>
            <w:tcW w:w="6463" w:type="dxa"/>
          </w:tcPr>
          <w:p w14:paraId="78137CBF" w14:textId="77777777" w:rsidR="005973EB" w:rsidRPr="005973EB" w:rsidRDefault="005973EB" w:rsidP="005973EB">
            <w:pPr>
              <w:pStyle w:val="Tablebody"/>
            </w:pPr>
            <w:r w:rsidRPr="005973EB">
              <w:t>Check exposed timber fixings for corrosion, repair as required.</w:t>
            </w:r>
          </w:p>
        </w:tc>
      </w:tr>
      <w:tr w:rsidR="005973EB" w:rsidRPr="005973EB" w14:paraId="136C34F0" w14:textId="77777777" w:rsidTr="005973EB">
        <w:tc>
          <w:tcPr>
            <w:tcW w:w="2547" w:type="dxa"/>
            <w:vMerge/>
          </w:tcPr>
          <w:p w14:paraId="5105BC05" w14:textId="77777777" w:rsidR="005973EB" w:rsidRPr="005973EB" w:rsidRDefault="005973EB" w:rsidP="005973EB">
            <w:pPr>
              <w:pStyle w:val="Tablebody"/>
            </w:pPr>
          </w:p>
        </w:tc>
        <w:tc>
          <w:tcPr>
            <w:tcW w:w="6463" w:type="dxa"/>
          </w:tcPr>
          <w:p w14:paraId="640AF52A" w14:textId="77777777" w:rsidR="005973EB" w:rsidRPr="005973EB" w:rsidRDefault="005973EB" w:rsidP="005973EB">
            <w:pPr>
              <w:pStyle w:val="Tablebody"/>
            </w:pPr>
            <w:r w:rsidRPr="005973EB">
              <w:t>Inspect/replace sealant that encloses structural mild-steel components and/or timber with mild-steel fixings. This will typically include sealants around the perimeter of precast panels. Note that 10 years is the expected useful life for many sealants</w:t>
            </w:r>
          </w:p>
        </w:tc>
      </w:tr>
      <w:tr w:rsidR="005973EB" w:rsidRPr="005973EB" w14:paraId="54AE8A3C" w14:textId="77777777" w:rsidTr="005973EB">
        <w:tc>
          <w:tcPr>
            <w:tcW w:w="2547" w:type="dxa"/>
            <w:vMerge/>
          </w:tcPr>
          <w:p w14:paraId="39378526" w14:textId="77777777" w:rsidR="005973EB" w:rsidRPr="005973EB" w:rsidRDefault="005973EB" w:rsidP="005973EB">
            <w:pPr>
              <w:pStyle w:val="Tablebody"/>
            </w:pPr>
          </w:p>
        </w:tc>
        <w:tc>
          <w:tcPr>
            <w:tcW w:w="6463" w:type="dxa"/>
          </w:tcPr>
          <w:p w14:paraId="21FBD1DB" w14:textId="77777777" w:rsidR="005973EB" w:rsidRPr="005973EB" w:rsidRDefault="005973EB" w:rsidP="005973EB">
            <w:pPr>
              <w:pStyle w:val="Tablebody"/>
            </w:pPr>
            <w:r w:rsidRPr="005973EB">
              <w:t>Check exposed structural steel within plantrooms and plenums for corrosion. Repair protective coatings as required.</w:t>
            </w:r>
          </w:p>
        </w:tc>
      </w:tr>
      <w:tr w:rsidR="005973EB" w:rsidRPr="005973EB" w14:paraId="5960AF45" w14:textId="77777777" w:rsidTr="005973EB">
        <w:tc>
          <w:tcPr>
            <w:tcW w:w="2547" w:type="dxa"/>
            <w:vMerge/>
          </w:tcPr>
          <w:p w14:paraId="46FA0B2B" w14:textId="77777777" w:rsidR="005973EB" w:rsidRPr="005973EB" w:rsidRDefault="005973EB" w:rsidP="005973EB">
            <w:pPr>
              <w:pStyle w:val="Tablebody"/>
            </w:pPr>
          </w:p>
        </w:tc>
        <w:tc>
          <w:tcPr>
            <w:tcW w:w="6463" w:type="dxa"/>
          </w:tcPr>
          <w:p w14:paraId="018B55A1" w14:textId="77777777" w:rsidR="005973EB" w:rsidRPr="005973EB" w:rsidRDefault="005973EB" w:rsidP="005973EB">
            <w:pPr>
              <w:pStyle w:val="Tablebody"/>
            </w:pPr>
            <w:r w:rsidRPr="005973EB">
              <w:t>Check all exposed steelwork that is not in a fully interior environment for signs of corrosion. Repair protective coatings as required.</w:t>
            </w:r>
          </w:p>
        </w:tc>
      </w:tr>
      <w:tr w:rsidR="005973EB" w:rsidRPr="005973EB" w14:paraId="6516B960" w14:textId="77777777" w:rsidTr="005973EB">
        <w:tc>
          <w:tcPr>
            <w:tcW w:w="2547" w:type="dxa"/>
            <w:vMerge/>
          </w:tcPr>
          <w:p w14:paraId="6D30C33B" w14:textId="77777777" w:rsidR="005973EB" w:rsidRPr="005973EB" w:rsidRDefault="005973EB" w:rsidP="005973EB">
            <w:pPr>
              <w:pStyle w:val="Tablebody"/>
            </w:pPr>
          </w:p>
        </w:tc>
        <w:tc>
          <w:tcPr>
            <w:tcW w:w="6463" w:type="dxa"/>
          </w:tcPr>
          <w:p w14:paraId="02BE9996" w14:textId="77777777" w:rsidR="005973EB" w:rsidRPr="005973EB" w:rsidRDefault="005973EB" w:rsidP="005973EB">
            <w:pPr>
              <w:pStyle w:val="Tablebody"/>
            </w:pPr>
            <w:r w:rsidRPr="005973EB">
              <w:t>Audit of damage to exposed intumescent coatings. Repair as required.</w:t>
            </w:r>
          </w:p>
        </w:tc>
      </w:tr>
      <w:tr w:rsidR="005973EB" w:rsidRPr="005973EB" w14:paraId="47A328C9" w14:textId="77777777" w:rsidTr="005973EB">
        <w:tc>
          <w:tcPr>
            <w:tcW w:w="2547" w:type="dxa"/>
            <w:vMerge w:val="restart"/>
          </w:tcPr>
          <w:p w14:paraId="33D28653" w14:textId="77777777" w:rsidR="005973EB" w:rsidRPr="005973EB" w:rsidRDefault="005973EB" w:rsidP="005973EB">
            <w:pPr>
              <w:pStyle w:val="Tablebody"/>
            </w:pPr>
            <w:r w:rsidRPr="005973EB">
              <w:t xml:space="preserve">(d) 25 </w:t>
            </w:r>
            <w:r w:rsidR="00466472">
              <w:t>y</w:t>
            </w:r>
            <w:r w:rsidRPr="005973EB">
              <w:t>early</w:t>
            </w:r>
          </w:p>
        </w:tc>
        <w:tc>
          <w:tcPr>
            <w:tcW w:w="6463" w:type="dxa"/>
          </w:tcPr>
          <w:p w14:paraId="2E77DE98" w14:textId="77777777" w:rsidR="005973EB" w:rsidRPr="005973EB" w:rsidRDefault="005973EB" w:rsidP="005973EB">
            <w:pPr>
              <w:pStyle w:val="Tablebody"/>
            </w:pPr>
            <w:r w:rsidRPr="005973EB">
              <w:t>Inspect samples of structural steel that is hidden from view but not enclosed within a vapour barrier, and repair protective coatings as necessary. A typical example is a veranda with built-in steelwork. (Such steelwork should typically have duplex protective coatings). Inspection may typically require removal of claddings and/or the drilling of holes for borescope access. Repair as required.</w:t>
            </w:r>
          </w:p>
        </w:tc>
      </w:tr>
      <w:tr w:rsidR="005973EB" w:rsidRPr="005973EB" w14:paraId="5CCFC4F9" w14:textId="77777777" w:rsidTr="005973EB">
        <w:tc>
          <w:tcPr>
            <w:tcW w:w="2547" w:type="dxa"/>
            <w:vMerge/>
          </w:tcPr>
          <w:p w14:paraId="5960905E" w14:textId="77777777" w:rsidR="005973EB" w:rsidRPr="005973EB" w:rsidRDefault="005973EB" w:rsidP="005973EB">
            <w:pPr>
              <w:pStyle w:val="Tablebody"/>
            </w:pPr>
          </w:p>
        </w:tc>
        <w:tc>
          <w:tcPr>
            <w:tcW w:w="6463" w:type="dxa"/>
          </w:tcPr>
          <w:p w14:paraId="688F4ED2" w14:textId="77777777" w:rsidR="005973EB" w:rsidRPr="005973EB" w:rsidRDefault="005973EB" w:rsidP="005973EB">
            <w:pPr>
              <w:pStyle w:val="Tablebody"/>
            </w:pPr>
            <w:r w:rsidRPr="005973EB">
              <w:t>Inspect all exposed, external timber. Repair as required.</w:t>
            </w:r>
          </w:p>
        </w:tc>
      </w:tr>
      <w:tr w:rsidR="005973EB" w:rsidRPr="005973EB" w14:paraId="768CEA4F" w14:textId="77777777" w:rsidTr="005973EB">
        <w:tc>
          <w:tcPr>
            <w:tcW w:w="2547" w:type="dxa"/>
            <w:vMerge/>
          </w:tcPr>
          <w:p w14:paraId="29C479DF" w14:textId="77777777" w:rsidR="005973EB" w:rsidRPr="005973EB" w:rsidRDefault="005973EB" w:rsidP="005973EB">
            <w:pPr>
              <w:pStyle w:val="Tablebody"/>
            </w:pPr>
          </w:p>
        </w:tc>
        <w:tc>
          <w:tcPr>
            <w:tcW w:w="6463" w:type="dxa"/>
          </w:tcPr>
          <w:p w14:paraId="71842BB0" w14:textId="77777777" w:rsidR="005973EB" w:rsidRPr="005973EB" w:rsidRDefault="005973EB" w:rsidP="005973EB">
            <w:pPr>
              <w:pStyle w:val="Tablebody"/>
            </w:pPr>
            <w:r w:rsidRPr="005973EB">
              <w:t>Inspect all exposed, external reinforced concrete for signs of spalling or cracking. Repair as required.</w:t>
            </w:r>
          </w:p>
        </w:tc>
      </w:tr>
      <w:tr w:rsidR="005973EB" w:rsidRPr="005973EB" w14:paraId="225888B3" w14:textId="77777777" w:rsidTr="005973EB">
        <w:tc>
          <w:tcPr>
            <w:tcW w:w="2547" w:type="dxa"/>
            <w:vMerge/>
          </w:tcPr>
          <w:p w14:paraId="1705BDC8" w14:textId="77777777" w:rsidR="005973EB" w:rsidRPr="005973EB" w:rsidRDefault="005973EB" w:rsidP="005973EB">
            <w:pPr>
              <w:pStyle w:val="Tablebody"/>
            </w:pPr>
          </w:p>
        </w:tc>
        <w:tc>
          <w:tcPr>
            <w:tcW w:w="6463" w:type="dxa"/>
          </w:tcPr>
          <w:p w14:paraId="524E567B" w14:textId="77777777" w:rsidR="005973EB" w:rsidRPr="005973EB" w:rsidRDefault="005973EB" w:rsidP="005973EB">
            <w:pPr>
              <w:pStyle w:val="Tablebody"/>
            </w:pPr>
            <w:r w:rsidRPr="005973EB">
              <w:t>Audit of damage to enclosed intumescent coatings. Repair as required.</w:t>
            </w:r>
          </w:p>
        </w:tc>
      </w:tr>
      <w:tr w:rsidR="005973EB" w:rsidRPr="005973EB" w14:paraId="3317A219" w14:textId="77777777" w:rsidTr="005973EB">
        <w:tc>
          <w:tcPr>
            <w:tcW w:w="2547" w:type="dxa"/>
          </w:tcPr>
          <w:p w14:paraId="3980F09A" w14:textId="77777777" w:rsidR="005973EB" w:rsidRPr="005973EB" w:rsidRDefault="005973EB" w:rsidP="005973EB">
            <w:pPr>
              <w:pStyle w:val="Tablebody"/>
            </w:pPr>
            <w:r w:rsidRPr="005973EB">
              <w:t>Following fit-out or alterations</w:t>
            </w:r>
          </w:p>
        </w:tc>
        <w:tc>
          <w:tcPr>
            <w:tcW w:w="6463" w:type="dxa"/>
          </w:tcPr>
          <w:p w14:paraId="229B18EB" w14:textId="77777777" w:rsidR="005973EB" w:rsidRPr="005973EB" w:rsidRDefault="005973EB" w:rsidP="005973EB">
            <w:pPr>
              <w:pStyle w:val="Tablebody"/>
            </w:pPr>
            <w:r w:rsidRPr="005973EB">
              <w:t>Audit of damage to intumescent coatings. Repair as required.</w:t>
            </w:r>
          </w:p>
        </w:tc>
      </w:tr>
      <w:tr w:rsidR="005973EB" w:rsidRPr="00580FB3" w14:paraId="10BCCFD0" w14:textId="77777777" w:rsidTr="005973EB">
        <w:tc>
          <w:tcPr>
            <w:tcW w:w="2547" w:type="dxa"/>
          </w:tcPr>
          <w:p w14:paraId="2CB271CC" w14:textId="77777777" w:rsidR="005973EB" w:rsidRPr="005973EB" w:rsidRDefault="005973EB" w:rsidP="005973EB">
            <w:pPr>
              <w:pStyle w:val="Tablebody"/>
            </w:pPr>
            <w:r w:rsidRPr="005973EB">
              <w:t>Following seismic shaking &gt; SLS1 event</w:t>
            </w:r>
          </w:p>
        </w:tc>
        <w:tc>
          <w:tcPr>
            <w:tcW w:w="6463" w:type="dxa"/>
          </w:tcPr>
          <w:p w14:paraId="54C47B58" w14:textId="77777777" w:rsidR="005973EB" w:rsidRPr="00580FB3" w:rsidRDefault="005973EB" w:rsidP="005973EB">
            <w:pPr>
              <w:pStyle w:val="Tablebody"/>
              <w:rPr>
                <w:rStyle w:val="Placeholder"/>
                <w:b w:val="0"/>
                <w:i w:val="0"/>
              </w:rPr>
            </w:pPr>
            <w:r w:rsidRPr="005973EB">
              <w:t>Inspections and repair as per b), c) and d) above</w:t>
            </w:r>
          </w:p>
        </w:tc>
      </w:tr>
    </w:tbl>
    <w:p w14:paraId="367D272B" w14:textId="77777777" w:rsidR="00E53608" w:rsidRPr="00580FB3" w:rsidRDefault="00525D05" w:rsidP="005973EB">
      <w:pPr>
        <w:rPr>
          <w:rStyle w:val="Placeholder"/>
          <w:b w:val="0"/>
          <w:i w:val="0"/>
        </w:rPr>
      </w:pPr>
    </w:p>
    <w:sectPr w:rsidR="00E53608" w:rsidRPr="00580FB3" w:rsidSect="00AB6ACF">
      <w:footerReference w:type="default" r:id="rId7"/>
      <w:pgSz w:w="11900" w:h="16840"/>
      <w:pgMar w:top="1247" w:right="1440" w:bottom="1247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3F49C" w14:textId="77777777" w:rsidR="00525D05" w:rsidRDefault="00525D05" w:rsidP="00112C88">
      <w:pPr>
        <w:spacing w:after="0" w:line="240" w:lineRule="auto"/>
      </w:pPr>
      <w:r>
        <w:separator/>
      </w:r>
    </w:p>
  </w:endnote>
  <w:endnote w:type="continuationSeparator" w:id="0">
    <w:p w14:paraId="2B76513F" w14:textId="77777777" w:rsidR="00525D05" w:rsidRDefault="00525D05" w:rsidP="00112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461FC" w14:textId="77777777" w:rsidR="00112C88" w:rsidRPr="0010659C" w:rsidRDefault="005973EB">
    <w:pPr>
      <w:pStyle w:val="Footer"/>
      <w:rPr>
        <w:lang w:val="mi-NZ"/>
      </w:rPr>
    </w:pPr>
    <w:r>
      <w:rPr>
        <w:lang w:val="mi-NZ"/>
      </w:rPr>
      <w:t>Structural Maintenance Schedule</w:t>
    </w:r>
    <w:r w:rsidR="0010659C">
      <w:rPr>
        <w:lang w:val="mi-NZ"/>
      </w:rPr>
      <w:tab/>
    </w:r>
    <w:r w:rsidR="0010659C">
      <w:rPr>
        <w:lang w:val="mi-NZ"/>
      </w:rPr>
      <w:tab/>
      <w:t xml:space="preserve"> April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81681" w14:textId="77777777" w:rsidR="00525D05" w:rsidRDefault="00525D05" w:rsidP="00112C88">
      <w:pPr>
        <w:spacing w:after="0" w:line="240" w:lineRule="auto"/>
      </w:pPr>
      <w:r>
        <w:separator/>
      </w:r>
    </w:p>
  </w:footnote>
  <w:footnote w:type="continuationSeparator" w:id="0">
    <w:p w14:paraId="00A4B56C" w14:textId="77777777" w:rsidR="00525D05" w:rsidRDefault="00525D05" w:rsidP="00112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0642A"/>
    <w:multiLevelType w:val="multilevel"/>
    <w:tmpl w:val="0414E2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7169F"/>
    <w:multiLevelType w:val="hybridMultilevel"/>
    <w:tmpl w:val="F53EDEFA"/>
    <w:lvl w:ilvl="0" w:tplc="B4F0094C">
      <w:start w:val="1"/>
      <w:numFmt w:val="bullet"/>
      <w:pStyle w:val="Tablebullets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138"/>
    <w:rsid w:val="00072B54"/>
    <w:rsid w:val="0010659C"/>
    <w:rsid w:val="00112C88"/>
    <w:rsid w:val="00221292"/>
    <w:rsid w:val="00466472"/>
    <w:rsid w:val="00525D05"/>
    <w:rsid w:val="00580FB3"/>
    <w:rsid w:val="005973EB"/>
    <w:rsid w:val="005D239A"/>
    <w:rsid w:val="008729E0"/>
    <w:rsid w:val="00915138"/>
    <w:rsid w:val="00976AA6"/>
    <w:rsid w:val="00A71074"/>
    <w:rsid w:val="00AB6ACF"/>
    <w:rsid w:val="00BB431F"/>
    <w:rsid w:val="00BE1D40"/>
    <w:rsid w:val="00C206E0"/>
    <w:rsid w:val="00C55320"/>
    <w:rsid w:val="00D21108"/>
    <w:rsid w:val="00D45307"/>
    <w:rsid w:val="00DE0D48"/>
    <w:rsid w:val="00F226AD"/>
    <w:rsid w:val="00FA0115"/>
    <w:rsid w:val="00FB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82D53"/>
  <w15:chartTrackingRefBased/>
  <w15:docId w15:val="{2CD987EE-E90D-6340-A9B2-78D0189DE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D40"/>
    <w:pPr>
      <w:spacing w:after="160" w:line="280" w:lineRule="exac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074"/>
    <w:pPr>
      <w:keepNext/>
      <w:keepLines/>
      <w:spacing w:before="160" w:after="80" w:line="320" w:lineRule="exact"/>
      <w:outlineLvl w:val="0"/>
    </w:pPr>
    <w:rPr>
      <w:rFonts w:ascii="Arial" w:eastAsiaTheme="majorEastAsia" w:hAnsi="Arial" w:cstheme="majorBidi"/>
      <w:b/>
      <w:color w:val="0080FF"/>
      <w:sz w:val="32"/>
      <w:szCs w:val="32"/>
    </w:rPr>
  </w:style>
  <w:style w:type="paragraph" w:styleId="Heading2">
    <w:name w:val="heading 2"/>
    <w:aliases w:val="Intro"/>
    <w:basedOn w:val="Normal"/>
    <w:next w:val="Normal"/>
    <w:link w:val="Heading2Char"/>
    <w:uiPriority w:val="9"/>
    <w:unhideWhenUsed/>
    <w:qFormat/>
    <w:rsid w:val="00221292"/>
    <w:pPr>
      <w:keepNext/>
      <w:keepLines/>
      <w:spacing w:after="120"/>
      <w:outlineLvl w:val="1"/>
    </w:pPr>
    <w:rPr>
      <w:rFonts w:ascii="Arial" w:eastAsiaTheme="majorEastAsia" w:hAnsi="Arial" w:cstheme="majorBidi"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074"/>
    <w:pPr>
      <w:keepNext/>
      <w:keepLines/>
      <w:spacing w:before="160" w:after="80"/>
      <w:outlineLvl w:val="2"/>
    </w:pPr>
    <w:rPr>
      <w:rFonts w:ascii="Calibri" w:eastAsiaTheme="majorEastAsia" w:hAnsi="Calibr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1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71074"/>
    <w:rPr>
      <w:rFonts w:ascii="Arial" w:eastAsiaTheme="majorEastAsia" w:hAnsi="Arial" w:cstheme="majorBidi"/>
      <w:b/>
      <w:color w:val="0080FF"/>
      <w:sz w:val="32"/>
      <w:szCs w:val="32"/>
    </w:rPr>
  </w:style>
  <w:style w:type="table" w:styleId="PlainTable1">
    <w:name w:val="Plain Table 1"/>
    <w:basedOn w:val="TableNormal"/>
    <w:uiPriority w:val="41"/>
    <w:rsid w:val="00BE1D4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aliases w:val="Intro Char"/>
    <w:basedOn w:val="DefaultParagraphFont"/>
    <w:link w:val="Heading2"/>
    <w:uiPriority w:val="9"/>
    <w:rsid w:val="00221292"/>
    <w:rPr>
      <w:rFonts w:ascii="Arial" w:eastAsiaTheme="majorEastAsia" w:hAnsi="Arial" w:cstheme="majorBidi"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71074"/>
    <w:rPr>
      <w:rFonts w:ascii="Calibri" w:eastAsiaTheme="majorEastAsia" w:hAnsi="Calibri" w:cstheme="majorBidi"/>
      <w:b/>
      <w:color w:val="000000" w:themeColor="text1"/>
    </w:rPr>
  </w:style>
  <w:style w:type="character" w:customStyle="1" w:styleId="Placeholder">
    <w:name w:val="Placeholder"/>
    <w:basedOn w:val="DefaultParagraphFont"/>
    <w:uiPriority w:val="1"/>
    <w:qFormat/>
    <w:rsid w:val="00FB44F3"/>
    <w:rPr>
      <w:b/>
      <w:i/>
    </w:rPr>
  </w:style>
  <w:style w:type="paragraph" w:styleId="Header">
    <w:name w:val="header"/>
    <w:basedOn w:val="Normal"/>
    <w:link w:val="HeaderChar"/>
    <w:uiPriority w:val="99"/>
    <w:unhideWhenUsed/>
    <w:rsid w:val="00112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C88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112C88"/>
    <w:pPr>
      <w:tabs>
        <w:tab w:val="center" w:pos="4680"/>
        <w:tab w:val="right" w:pos="9360"/>
      </w:tabs>
      <w:spacing w:after="0" w:line="200" w:lineRule="exac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12C88"/>
    <w:rPr>
      <w:sz w:val="18"/>
    </w:rPr>
  </w:style>
  <w:style w:type="paragraph" w:customStyle="1" w:styleId="Tablebody">
    <w:name w:val="Table body"/>
    <w:basedOn w:val="Normal"/>
    <w:qFormat/>
    <w:rsid w:val="00976AA6"/>
    <w:pPr>
      <w:spacing w:before="120" w:after="0" w:line="230" w:lineRule="exact"/>
    </w:pPr>
    <w:rPr>
      <w:sz w:val="19"/>
    </w:rPr>
  </w:style>
  <w:style w:type="paragraph" w:styleId="ListParagraph">
    <w:name w:val="List Paragraph"/>
    <w:basedOn w:val="Normal"/>
    <w:uiPriority w:val="34"/>
    <w:qFormat/>
    <w:rsid w:val="0010659C"/>
    <w:pPr>
      <w:ind w:left="720"/>
      <w:contextualSpacing/>
    </w:pPr>
  </w:style>
  <w:style w:type="paragraph" w:customStyle="1" w:styleId="Tablebullets">
    <w:name w:val="Table bullets"/>
    <w:basedOn w:val="Tablebody"/>
    <w:qFormat/>
    <w:rsid w:val="00976AA6"/>
    <w:pPr>
      <w:numPr>
        <w:numId w:val="1"/>
      </w:numPr>
      <w:spacing w:before="0" w:after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80/ssh2_9mj4ndd0ss4f5wvgyvr0000gp/T/com.microsoft.Outlook/Outlook%20Temp/TEMPLATE-Structural_Maintenance_Schedule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TEMPLATE-Structural_Maintenance_Schedule[1].dotx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Eloise Angus</cp:lastModifiedBy>
  <cp:revision>1</cp:revision>
  <dcterms:created xsi:type="dcterms:W3CDTF">2020-10-14T06:54:00Z</dcterms:created>
  <dcterms:modified xsi:type="dcterms:W3CDTF">2020-10-14T06:54:00Z</dcterms:modified>
</cp:coreProperties>
</file>