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E5" w:rsidRDefault="00CE6A3E" w:rsidP="00D27EE5">
      <w:pPr>
        <w:pStyle w:val="Heading1"/>
      </w:pPr>
      <w:r>
        <w:t>B</w:t>
      </w:r>
      <w:r w:rsidR="003342EA">
        <w:t>arrhead Town Centre SWOT</w:t>
      </w:r>
    </w:p>
    <w:p w:rsidR="003342EA" w:rsidRDefault="00D27EE5" w:rsidP="00D033B0">
      <w:r>
        <w:t>B</w:t>
      </w:r>
      <w:r w:rsidR="003342EA">
        <w:t xml:space="preserve">ased on Barrhead Town Benchmarking Report 2013 by Scotland’s Towns and Action </w:t>
      </w:r>
      <w:proofErr w:type="gramStart"/>
      <w:r w:rsidR="003342EA">
        <w:t>For</w:t>
      </w:r>
      <w:proofErr w:type="gramEnd"/>
      <w:r w:rsidR="003342EA">
        <w:t xml:space="preserve"> Market Towns.</w:t>
      </w:r>
    </w:p>
    <w:p w:rsidR="003342EA" w:rsidRDefault="003342EA" w:rsidP="00D033B0"/>
    <w:p w:rsidR="003342EA" w:rsidRDefault="00367EEB" w:rsidP="00D033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0.85pt;margin-top:2.95pt;width:260.35pt;height:187.45pt;z-index:251659264">
            <v:textbox style="mso-next-textbox:#_x0000_s1027">
              <w:txbxContent>
                <w:p w:rsidR="00615A6F" w:rsidRDefault="00615A6F">
                  <w:r>
                    <w:t>Weaknesses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No specialist food &amp; drink offer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Low level evening economy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No train or bus station in centre for footfall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No events or social function 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No markets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Feels unsafe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Low greenery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Obstacles for wheelchairs and prams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4.55pt;margin-top:2.95pt;width:255.4pt;height:187.45pt;z-index:251658240">
            <v:textbox style="mso-next-textbox:#_x0000_s1026">
              <w:txbxContent>
                <w:p w:rsidR="00615A6F" w:rsidRDefault="00615A6F">
                  <w:r>
                    <w:t>Strengths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Strong local offer for community services and convenience shopping. 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High footfall associated with schools, health services, and local authority services.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The town principally serves the local community offering good access to local community services in the town centre.</w:t>
                  </w:r>
                </w:p>
              </w:txbxContent>
            </v:textbox>
          </v:shape>
        </w:pict>
      </w:r>
    </w:p>
    <w:p w:rsidR="007845E2" w:rsidRDefault="007845E2" w:rsidP="00D033B0"/>
    <w:p w:rsidR="007845E2" w:rsidRDefault="007845E2" w:rsidP="00D033B0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367EEB" w:rsidP="007845E2">
      <w:r>
        <w:rPr>
          <w:noProof/>
        </w:rPr>
        <w:pict>
          <v:shape id="_x0000_s1029" type="#_x0000_t202" style="position:absolute;margin-left:360.85pt;margin-top:7.65pt;width:260.35pt;height:217.3pt;z-index:251661312">
            <v:textbox style="mso-next-textbox:#_x0000_s1029">
              <w:txbxContent>
                <w:p w:rsidR="00615A6F" w:rsidRDefault="00615A6F" w:rsidP="00725128">
                  <w:r>
                    <w:t>Opportunities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Frequent social or market events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Demand for young person facilities to attract and retain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Local footfall for convenience products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Local development plan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Potential to link to strong local convenience offer from supermarkets to specialist food and drink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City Deal Infrastructure Projects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4.55pt;margin-top:7.65pt;width:255.4pt;height:218.15pt;z-index:251660288">
            <v:textbox style="mso-next-textbox:#_x0000_s1028">
              <w:txbxContent>
                <w:p w:rsidR="00615A6F" w:rsidRDefault="00615A6F" w:rsidP="00725128">
                  <w:r>
                    <w:t>Threats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No local organisation for business.</w:t>
                  </w:r>
                </w:p>
                <w:p w:rsidR="00615A6F" w:rsidRDefault="00615A6F" w:rsidP="000B53AF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Sustainability of town centre investment.</w:t>
                  </w:r>
                </w:p>
                <w:p w:rsidR="00615A6F" w:rsidRDefault="00615A6F" w:rsidP="00725128"/>
              </w:txbxContent>
            </v:textbox>
          </v:shape>
        </w:pict>
      </w:r>
    </w:p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7845E2" w:rsidRPr="007845E2" w:rsidRDefault="007845E2" w:rsidP="007845E2"/>
    <w:p w:rsidR="00CE6A3E" w:rsidRDefault="00CE6A3E" w:rsidP="00CE6A3E"/>
    <w:p w:rsidR="00CE6A3E" w:rsidRPr="00CE6A3E" w:rsidRDefault="00CE6A3E" w:rsidP="00CE6A3E"/>
    <w:p w:rsidR="007845E2" w:rsidRDefault="007845E2" w:rsidP="00D27EE5">
      <w:pPr>
        <w:pStyle w:val="Heading1"/>
      </w:pPr>
      <w:r>
        <w:t xml:space="preserve">Local Development Plan </w:t>
      </w:r>
    </w:p>
    <w:p w:rsidR="007845E2" w:rsidRDefault="007845E2" w:rsidP="007845E2"/>
    <w:p w:rsidR="00470200" w:rsidRDefault="00367EEB" w:rsidP="007845E2">
      <w:pPr>
        <w:rPr>
          <w:b/>
        </w:rPr>
      </w:pPr>
      <w:r>
        <w:rPr>
          <w:b/>
        </w:rPr>
        <w:t xml:space="preserve">Master plan area - </w:t>
      </w:r>
      <w:r w:rsidR="00237E38" w:rsidRPr="00470200">
        <w:rPr>
          <w:b/>
        </w:rPr>
        <w:t>Barrhead North</w:t>
      </w:r>
    </w:p>
    <w:p w:rsidR="00237E38" w:rsidRDefault="00237E38" w:rsidP="00F0374D">
      <w:pPr>
        <w:pStyle w:val="ListParagraph"/>
        <w:numPr>
          <w:ilvl w:val="0"/>
          <w:numId w:val="21"/>
        </w:numPr>
      </w:pPr>
      <w:r>
        <w:t>10+ years development from 2015</w:t>
      </w:r>
    </w:p>
    <w:p w:rsidR="00237E38" w:rsidRDefault="00237E38" w:rsidP="00F0374D">
      <w:pPr>
        <w:pStyle w:val="ListParagraph"/>
        <w:numPr>
          <w:ilvl w:val="0"/>
          <w:numId w:val="21"/>
        </w:numPr>
      </w:pPr>
      <w:r>
        <w:t>Shanks site – 450-500 new homes</w:t>
      </w:r>
    </w:p>
    <w:p w:rsidR="00237E38" w:rsidRDefault="00F0374D" w:rsidP="00F0374D">
      <w:pPr>
        <w:pStyle w:val="ListParagraph"/>
        <w:numPr>
          <w:ilvl w:val="0"/>
          <w:numId w:val="21"/>
        </w:numPr>
      </w:pPr>
      <w:r>
        <w:t xml:space="preserve">6.5acres of employment </w:t>
      </w:r>
      <w:r w:rsidR="00237E38">
        <w:t>generating land at Bunzl</w:t>
      </w:r>
    </w:p>
    <w:p w:rsidR="00237E38" w:rsidRDefault="00237E38" w:rsidP="00F0374D">
      <w:pPr>
        <w:pStyle w:val="ListParagraph"/>
        <w:numPr>
          <w:ilvl w:val="0"/>
          <w:numId w:val="21"/>
        </w:numPr>
      </w:pPr>
      <w:r>
        <w:t>Mixed use development Glasgow Road</w:t>
      </w:r>
    </w:p>
    <w:p w:rsidR="00237E38" w:rsidRDefault="00237E38" w:rsidP="00F0374D">
      <w:pPr>
        <w:pStyle w:val="ListParagraph"/>
        <w:numPr>
          <w:ilvl w:val="0"/>
          <w:numId w:val="21"/>
        </w:numPr>
      </w:pPr>
      <w:r>
        <w:t>Improved connections to town centre and path network</w:t>
      </w:r>
    </w:p>
    <w:p w:rsidR="00237E38" w:rsidRDefault="00237E38" w:rsidP="007845E2"/>
    <w:p w:rsidR="00470200" w:rsidRDefault="00367EEB" w:rsidP="007845E2">
      <w:pPr>
        <w:rPr>
          <w:b/>
        </w:rPr>
      </w:pPr>
      <w:r>
        <w:rPr>
          <w:b/>
        </w:rPr>
        <w:t xml:space="preserve">Master plan area - </w:t>
      </w:r>
      <w:r w:rsidR="00237E38" w:rsidRPr="00470200">
        <w:rPr>
          <w:b/>
        </w:rPr>
        <w:t>Barrhead South</w:t>
      </w:r>
    </w:p>
    <w:p w:rsidR="00237E38" w:rsidRDefault="00237E38" w:rsidP="00F0374D">
      <w:pPr>
        <w:pStyle w:val="ListParagraph"/>
        <w:numPr>
          <w:ilvl w:val="0"/>
          <w:numId w:val="20"/>
        </w:numPr>
      </w:pPr>
      <w:r>
        <w:t>10+ year development from 2015</w:t>
      </w:r>
    </w:p>
    <w:p w:rsidR="00237E38" w:rsidRDefault="00237E38" w:rsidP="00F0374D">
      <w:pPr>
        <w:pStyle w:val="ListParagraph"/>
        <w:numPr>
          <w:ilvl w:val="0"/>
          <w:numId w:val="20"/>
        </w:numPr>
      </w:pPr>
      <w:r>
        <w:t>1000 new homes</w:t>
      </w:r>
    </w:p>
    <w:p w:rsidR="00237E38" w:rsidRDefault="00237E38" w:rsidP="007845E2"/>
    <w:p w:rsidR="00470200" w:rsidRDefault="00237E38" w:rsidP="007845E2">
      <w:r w:rsidRPr="00470200">
        <w:rPr>
          <w:b/>
        </w:rPr>
        <w:t>Barrhead High School</w:t>
      </w:r>
      <w:r>
        <w:t xml:space="preserve"> </w:t>
      </w:r>
    </w:p>
    <w:p w:rsidR="00237E38" w:rsidRDefault="00F0374D" w:rsidP="00F0374D">
      <w:pPr>
        <w:pStyle w:val="ListParagraph"/>
        <w:numPr>
          <w:ilvl w:val="0"/>
          <w:numId w:val="19"/>
        </w:numPr>
      </w:pPr>
      <w:r>
        <w:t>R</w:t>
      </w:r>
      <w:r w:rsidR="00237E38">
        <w:t>ebuild</w:t>
      </w:r>
    </w:p>
    <w:p w:rsidR="00237E38" w:rsidRDefault="00237E38" w:rsidP="007845E2"/>
    <w:p w:rsidR="00237E38" w:rsidRPr="00470200" w:rsidRDefault="00237E38" w:rsidP="007845E2">
      <w:pPr>
        <w:rPr>
          <w:b/>
        </w:rPr>
      </w:pPr>
      <w:r w:rsidRPr="00470200">
        <w:rPr>
          <w:b/>
        </w:rPr>
        <w:t>Town Centre</w:t>
      </w:r>
    </w:p>
    <w:p w:rsidR="00237E38" w:rsidRDefault="00645B24" w:rsidP="00F0374D">
      <w:pPr>
        <w:pStyle w:val="ListParagraph"/>
        <w:numPr>
          <w:ilvl w:val="0"/>
          <w:numId w:val="18"/>
        </w:numPr>
      </w:pPr>
      <w:r>
        <w:t xml:space="preserve">£3.8M Barrhead </w:t>
      </w:r>
      <w:r w:rsidR="00237E38">
        <w:t>Foundry</w:t>
      </w:r>
      <w:r>
        <w:t xml:space="preserve"> including a new</w:t>
      </w:r>
      <w:r w:rsidR="00237E38">
        <w:t xml:space="preserve"> Further Education outpost, business hub and library</w:t>
      </w:r>
    </w:p>
    <w:p w:rsidR="00237E38" w:rsidRDefault="00237E38" w:rsidP="00F0374D">
      <w:pPr>
        <w:pStyle w:val="ListParagraph"/>
        <w:numPr>
          <w:ilvl w:val="0"/>
          <w:numId w:val="18"/>
        </w:numPr>
      </w:pPr>
      <w:r>
        <w:t xml:space="preserve">£20m </w:t>
      </w:r>
      <w:proofErr w:type="spellStart"/>
      <w:r>
        <w:t>Asda</w:t>
      </w:r>
      <w:proofErr w:type="spellEnd"/>
    </w:p>
    <w:p w:rsidR="00237E38" w:rsidRDefault="00237E38" w:rsidP="00F0374D">
      <w:pPr>
        <w:pStyle w:val="ListParagraph"/>
        <w:numPr>
          <w:ilvl w:val="0"/>
          <w:numId w:val="18"/>
        </w:numPr>
      </w:pPr>
      <w:r>
        <w:t>£140,000 improvements e.g. shop front grants, banners, parking bays</w:t>
      </w:r>
    </w:p>
    <w:p w:rsidR="00367EEB" w:rsidRDefault="00367EEB" w:rsidP="00367EEB"/>
    <w:p w:rsidR="00367EEB" w:rsidRDefault="00367EEB" w:rsidP="00367EEB"/>
    <w:p w:rsidR="00367EEB" w:rsidRDefault="00367EEB" w:rsidP="00367EEB"/>
    <w:p w:rsidR="00367EEB" w:rsidRDefault="00367EEB" w:rsidP="00367EEB"/>
    <w:p w:rsidR="00A3668A" w:rsidRPr="00615A6F" w:rsidRDefault="00A3668A" w:rsidP="00615A6F">
      <w:pPr>
        <w:pStyle w:val="Heading1"/>
      </w:pPr>
      <w:r w:rsidRPr="00615A6F">
        <w:lastRenderedPageBreak/>
        <w:t>City Deal</w:t>
      </w:r>
    </w:p>
    <w:p w:rsidR="00F0374D" w:rsidRPr="00615A6F" w:rsidRDefault="00014431" w:rsidP="00014431">
      <w:pPr>
        <w:spacing w:before="100" w:beforeAutospacing="1" w:after="100" w:afterAutospacing="1"/>
        <w:rPr>
          <w:rFonts w:cs="Arial"/>
          <w:b/>
          <w:bCs/>
        </w:rPr>
      </w:pPr>
      <w:r w:rsidRPr="00615A6F">
        <w:rPr>
          <w:rFonts w:cs="Arial"/>
          <w:b/>
          <w:bCs/>
        </w:rPr>
        <w:t>M77 Junction 5 spur to Barrhead</w:t>
      </w:r>
    </w:p>
    <w:p w:rsidR="00F0374D" w:rsidRPr="00615A6F" w:rsidRDefault="00014431" w:rsidP="00F0374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cs="Arial"/>
        </w:rPr>
      </w:pPr>
      <w:r w:rsidRPr="00615A6F">
        <w:rPr>
          <w:rFonts w:cs="Arial"/>
        </w:rPr>
        <w:t>New link road from Junction 5 to Barrhead (three phases)</w:t>
      </w:r>
    </w:p>
    <w:p w:rsidR="00F0374D" w:rsidRPr="00615A6F" w:rsidRDefault="00F0374D" w:rsidP="00F0374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cs="Arial"/>
        </w:rPr>
      </w:pPr>
      <w:proofErr w:type="spellStart"/>
      <w:r w:rsidRPr="00615A6F">
        <w:rPr>
          <w:rFonts w:cs="Arial"/>
        </w:rPr>
        <w:t>N</w:t>
      </w:r>
      <w:r w:rsidR="00014431" w:rsidRPr="00615A6F">
        <w:rPr>
          <w:rFonts w:cs="Arial"/>
        </w:rPr>
        <w:t>eilston</w:t>
      </w:r>
      <w:proofErr w:type="spellEnd"/>
      <w:r w:rsidR="00014431" w:rsidRPr="00615A6F">
        <w:rPr>
          <w:rFonts w:cs="Arial"/>
        </w:rPr>
        <w:t xml:space="preserve"> railway line over-bridge upgrades</w:t>
      </w:r>
    </w:p>
    <w:p w:rsidR="00F0374D" w:rsidRPr="00615A6F" w:rsidRDefault="00014431" w:rsidP="00F0374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cs="Arial"/>
        </w:rPr>
      </w:pPr>
      <w:r w:rsidRPr="00615A6F">
        <w:rPr>
          <w:rFonts w:cs="Arial"/>
        </w:rPr>
        <w:t>Access road to a new retirement village</w:t>
      </w:r>
    </w:p>
    <w:p w:rsidR="00014431" w:rsidRPr="00615A6F" w:rsidRDefault="00014431" w:rsidP="00F0374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cs="Arial"/>
        </w:rPr>
      </w:pPr>
      <w:r w:rsidRPr="00615A6F">
        <w:rPr>
          <w:rFonts w:cs="Arial"/>
        </w:rPr>
        <w:t xml:space="preserve">Purchase of land for </w:t>
      </w:r>
      <w:proofErr w:type="spellStart"/>
      <w:r w:rsidRPr="00615A6F">
        <w:rPr>
          <w:rFonts w:cs="Arial"/>
        </w:rPr>
        <w:t>Balgray</w:t>
      </w:r>
      <w:proofErr w:type="spellEnd"/>
      <w:r w:rsidRPr="00615A6F">
        <w:rPr>
          <w:rFonts w:cs="Arial"/>
        </w:rPr>
        <w:t xml:space="preserve"> link.</w:t>
      </w:r>
    </w:p>
    <w:p w:rsidR="00F0374D" w:rsidRPr="00615A6F" w:rsidRDefault="00014431" w:rsidP="00014431">
      <w:pPr>
        <w:spacing w:before="100" w:beforeAutospacing="1" w:after="100" w:afterAutospacing="1"/>
        <w:rPr>
          <w:rFonts w:cs="Arial"/>
          <w:b/>
          <w:bCs/>
        </w:rPr>
      </w:pPr>
      <w:r w:rsidRPr="00615A6F">
        <w:rPr>
          <w:rFonts w:cs="Arial"/>
          <w:b/>
          <w:bCs/>
        </w:rPr>
        <w:t>New rail station - Barrhead South</w:t>
      </w:r>
    </w:p>
    <w:p w:rsidR="00014431" w:rsidRPr="00615A6F" w:rsidRDefault="00014431" w:rsidP="00F0374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cs="Arial"/>
        </w:rPr>
      </w:pPr>
      <w:r w:rsidRPr="00615A6F">
        <w:rPr>
          <w:rFonts w:cs="Arial"/>
        </w:rPr>
        <w:t>Unstaffed and required parking/bus stop/footpaths linking the station.</w:t>
      </w:r>
    </w:p>
    <w:p w:rsidR="00367EEB" w:rsidRDefault="00367EEB" w:rsidP="00014431">
      <w:pPr>
        <w:spacing w:before="100" w:beforeAutospacing="1" w:after="100" w:afterAutospacing="1"/>
        <w:rPr>
          <w:rFonts w:cs="Arial"/>
          <w:b/>
          <w:bCs/>
        </w:rPr>
      </w:pPr>
      <w:r>
        <w:rPr>
          <w:rFonts w:cs="Arial"/>
          <w:b/>
          <w:bCs/>
        </w:rPr>
        <w:t xml:space="preserve">Roads </w:t>
      </w:r>
    </w:p>
    <w:p w:rsidR="00014431" w:rsidRPr="00367EEB" w:rsidRDefault="00014431" w:rsidP="00367EE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cs="Arial"/>
        </w:rPr>
      </w:pPr>
      <w:r w:rsidRPr="00367EEB">
        <w:rPr>
          <w:rFonts w:cs="Arial"/>
          <w:bCs/>
        </w:rPr>
        <w:t xml:space="preserve">Dams Road re-alignment plus access to visitors' centre and straightening of </w:t>
      </w:r>
      <w:proofErr w:type="spellStart"/>
      <w:r w:rsidRPr="00367EEB">
        <w:rPr>
          <w:rFonts w:cs="Arial"/>
          <w:bCs/>
        </w:rPr>
        <w:t>Aurs</w:t>
      </w:r>
      <w:proofErr w:type="spellEnd"/>
      <w:r w:rsidRPr="00367EEB">
        <w:rPr>
          <w:rFonts w:cs="Arial"/>
          <w:bCs/>
        </w:rPr>
        <w:t xml:space="preserve"> Road in Barrhead. </w:t>
      </w:r>
    </w:p>
    <w:p w:rsidR="00F0374D" w:rsidRPr="00615A6F" w:rsidRDefault="00014431" w:rsidP="00014431">
      <w:pPr>
        <w:spacing w:before="100" w:beforeAutospacing="1" w:after="100" w:afterAutospacing="1"/>
        <w:rPr>
          <w:rFonts w:cs="Arial"/>
          <w:b/>
          <w:bCs/>
        </w:rPr>
      </w:pPr>
      <w:r w:rsidRPr="00615A6F">
        <w:rPr>
          <w:rFonts w:cs="Arial"/>
          <w:b/>
          <w:bCs/>
        </w:rPr>
        <w:t>Sewerage/water/power/telecoms provision for all d</w:t>
      </w:r>
      <w:r w:rsidR="00F0374D" w:rsidRPr="00615A6F">
        <w:rPr>
          <w:rFonts w:cs="Arial"/>
          <w:b/>
          <w:bCs/>
        </w:rPr>
        <w:t>e</w:t>
      </w:r>
      <w:r w:rsidRPr="00615A6F">
        <w:rPr>
          <w:rFonts w:cs="Arial"/>
          <w:b/>
          <w:bCs/>
        </w:rPr>
        <w:t>velopments in Country Par</w:t>
      </w:r>
      <w:r w:rsidR="00F0374D" w:rsidRPr="00615A6F">
        <w:rPr>
          <w:rFonts w:cs="Arial"/>
          <w:b/>
          <w:bCs/>
        </w:rPr>
        <w:t>k</w:t>
      </w:r>
    </w:p>
    <w:p w:rsidR="00014431" w:rsidRPr="00615A6F" w:rsidRDefault="00014431" w:rsidP="00F0374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cs="Arial"/>
        </w:rPr>
      </w:pPr>
      <w:r w:rsidRPr="00615A6F">
        <w:rPr>
          <w:rFonts w:cs="Arial"/>
        </w:rPr>
        <w:t>Provision of utilities infrastructure to the country park.</w:t>
      </w:r>
    </w:p>
    <w:p w:rsidR="00367EEB" w:rsidRDefault="00014431" w:rsidP="00014431">
      <w:pPr>
        <w:spacing w:before="100" w:beforeAutospacing="1" w:after="100" w:afterAutospacing="1"/>
        <w:rPr>
          <w:rFonts w:cs="Arial"/>
          <w:b/>
          <w:bCs/>
        </w:rPr>
      </w:pPr>
      <w:r w:rsidRPr="00615A6F">
        <w:rPr>
          <w:rFonts w:cs="Arial"/>
          <w:b/>
          <w:bCs/>
        </w:rPr>
        <w:t> Dams to Darnley Visitor Centre</w:t>
      </w:r>
    </w:p>
    <w:p w:rsidR="00014431" w:rsidRPr="00367EEB" w:rsidRDefault="00014431" w:rsidP="00367EE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cs="Arial"/>
        </w:rPr>
      </w:pPr>
      <w:r w:rsidRPr="00367EEB">
        <w:rPr>
          <w:rFonts w:cs="Arial"/>
          <w:bCs/>
        </w:rPr>
        <w:t xml:space="preserve">café, restaurant, toilets, visitor information and car parking </w:t>
      </w:r>
    </w:p>
    <w:p w:rsidR="00367EEB" w:rsidRDefault="00367EEB" w:rsidP="00615A6F">
      <w:pPr>
        <w:spacing w:before="100" w:beforeAutospacing="1" w:after="100" w:afterAutospacing="1"/>
        <w:rPr>
          <w:rFonts w:cs="Arial"/>
          <w:b/>
          <w:bCs/>
        </w:rPr>
      </w:pPr>
      <w:r>
        <w:rPr>
          <w:rFonts w:cs="Arial"/>
          <w:b/>
          <w:bCs/>
        </w:rPr>
        <w:t>Business incubation</w:t>
      </w:r>
    </w:p>
    <w:p w:rsidR="00014431" w:rsidRPr="00367EEB" w:rsidRDefault="00014431" w:rsidP="00367EE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cs="Arial"/>
        </w:rPr>
      </w:pPr>
      <w:r w:rsidRPr="00367EEB">
        <w:rPr>
          <w:rFonts w:cs="Arial"/>
          <w:bCs/>
        </w:rPr>
        <w:t xml:space="preserve">A business and innovation centre for the Eastwood area. </w:t>
      </w:r>
    </w:p>
    <w:p w:rsidR="00237E38" w:rsidRDefault="00237E38" w:rsidP="00470200">
      <w:pPr>
        <w:pStyle w:val="Heading1"/>
      </w:pPr>
      <w:r>
        <w:lastRenderedPageBreak/>
        <w:t>Why does this matter?</w:t>
      </w:r>
    </w:p>
    <w:p w:rsidR="00367EEB" w:rsidRDefault="00237E38" w:rsidP="00237E38">
      <w:pPr>
        <w:pStyle w:val="ListParagraph"/>
        <w:numPr>
          <w:ilvl w:val="0"/>
          <w:numId w:val="3"/>
        </w:numPr>
      </w:pPr>
      <w:r>
        <w:t xml:space="preserve">Over 10 years </w:t>
      </w:r>
      <w:r w:rsidR="00367EEB">
        <w:t xml:space="preserve">of construction and development </w:t>
      </w:r>
    </w:p>
    <w:p w:rsidR="00237E38" w:rsidRDefault="00237E38" w:rsidP="00237E38">
      <w:pPr>
        <w:pStyle w:val="ListParagraph"/>
        <w:numPr>
          <w:ilvl w:val="0"/>
          <w:numId w:val="3"/>
        </w:numPr>
      </w:pPr>
      <w:r>
        <w:t>1500 new families moving into the area</w:t>
      </w:r>
    </w:p>
    <w:p w:rsidR="00237E38" w:rsidRDefault="00237E38" w:rsidP="00237E38">
      <w:pPr>
        <w:pStyle w:val="ListParagraph"/>
        <w:numPr>
          <w:ilvl w:val="0"/>
          <w:numId w:val="3"/>
        </w:numPr>
      </w:pPr>
      <w:r>
        <w:t>Students in town centre</w:t>
      </w:r>
    </w:p>
    <w:p w:rsidR="00237E38" w:rsidRDefault="00237E38" w:rsidP="00237E38">
      <w:pPr>
        <w:pStyle w:val="ListParagraph"/>
        <w:numPr>
          <w:ilvl w:val="0"/>
          <w:numId w:val="3"/>
        </w:numPr>
      </w:pPr>
      <w:r>
        <w:t xml:space="preserve">Foundry and </w:t>
      </w:r>
      <w:proofErr w:type="spellStart"/>
      <w:r>
        <w:t>Asda</w:t>
      </w:r>
      <w:proofErr w:type="spellEnd"/>
      <w:r>
        <w:t xml:space="preserve"> open late in evening</w:t>
      </w:r>
    </w:p>
    <w:p w:rsidR="00237E38" w:rsidRDefault="00237E38" w:rsidP="00237E38">
      <w:pPr>
        <w:pStyle w:val="ListParagraph"/>
        <w:numPr>
          <w:ilvl w:val="0"/>
          <w:numId w:val="3"/>
        </w:numPr>
      </w:pPr>
      <w:r>
        <w:t>New performance space in town centre</w:t>
      </w:r>
    </w:p>
    <w:p w:rsidR="00237E38" w:rsidRDefault="00237E38" w:rsidP="00237E38">
      <w:pPr>
        <w:pStyle w:val="ListParagraph"/>
        <w:numPr>
          <w:ilvl w:val="0"/>
          <w:numId w:val="3"/>
        </w:numPr>
      </w:pPr>
      <w:r>
        <w:t>Long term guarantee of town centre based community services bringing local footfall</w:t>
      </w:r>
    </w:p>
    <w:p w:rsidR="00237E38" w:rsidRDefault="00237E38" w:rsidP="007845E2"/>
    <w:p w:rsidR="00D27EE5" w:rsidRDefault="00D27EE5" w:rsidP="007845E2"/>
    <w:p w:rsidR="00D27EE5" w:rsidRDefault="00D27EE5" w:rsidP="007845E2"/>
    <w:p w:rsidR="00D27EE5" w:rsidRDefault="00D27EE5" w:rsidP="007845E2"/>
    <w:p w:rsidR="00D27EE5" w:rsidRDefault="00D27EE5" w:rsidP="007845E2"/>
    <w:p w:rsidR="00D27EE5" w:rsidRDefault="00D27EE5" w:rsidP="007845E2"/>
    <w:p w:rsidR="00367EEB" w:rsidRDefault="00367EEB" w:rsidP="007845E2"/>
    <w:p w:rsidR="00367EEB" w:rsidRDefault="00367EEB" w:rsidP="007845E2"/>
    <w:p w:rsidR="00D27EE5" w:rsidRDefault="00D27EE5" w:rsidP="007845E2"/>
    <w:p w:rsidR="00367EEB" w:rsidRDefault="00367EEB" w:rsidP="007845E2"/>
    <w:p w:rsidR="00367EEB" w:rsidRDefault="00367EEB" w:rsidP="007845E2"/>
    <w:p w:rsidR="00367EEB" w:rsidRDefault="00367EEB" w:rsidP="007845E2"/>
    <w:p w:rsidR="00367EEB" w:rsidRDefault="00367EEB" w:rsidP="007845E2"/>
    <w:p w:rsidR="00367EEB" w:rsidRDefault="00367EEB" w:rsidP="007845E2"/>
    <w:p w:rsidR="00367EEB" w:rsidRDefault="00367EEB" w:rsidP="007845E2"/>
    <w:p w:rsidR="00367EEB" w:rsidRDefault="00367EEB" w:rsidP="007845E2"/>
    <w:p w:rsidR="00D27EE5" w:rsidRDefault="00D27EE5" w:rsidP="007845E2"/>
    <w:p w:rsidR="00D27EE5" w:rsidRDefault="00D27EE5" w:rsidP="007845E2"/>
    <w:p w:rsidR="00D27EE5" w:rsidRDefault="00D27EE5" w:rsidP="007845E2"/>
    <w:p w:rsidR="00470200" w:rsidRDefault="00470200">
      <w:pPr>
        <w:spacing w:after="200" w:line="276" w:lineRule="auto"/>
      </w:pPr>
    </w:p>
    <w:tbl>
      <w:tblPr>
        <w:tblW w:w="15726" w:type="dxa"/>
        <w:tblInd w:w="-866" w:type="dxa"/>
        <w:tblLook w:val="04A0"/>
      </w:tblPr>
      <w:tblGrid>
        <w:gridCol w:w="1046"/>
        <w:gridCol w:w="1300"/>
        <w:gridCol w:w="1020"/>
        <w:gridCol w:w="875"/>
        <w:gridCol w:w="875"/>
        <w:gridCol w:w="1000"/>
        <w:gridCol w:w="1160"/>
        <w:gridCol w:w="1060"/>
        <w:gridCol w:w="1020"/>
        <w:gridCol w:w="1040"/>
        <w:gridCol w:w="976"/>
        <w:gridCol w:w="1187"/>
        <w:gridCol w:w="1127"/>
        <w:gridCol w:w="1040"/>
        <w:gridCol w:w="1000"/>
      </w:tblGrid>
      <w:tr w:rsidR="00470200" w:rsidRPr="00470200" w:rsidTr="00470200">
        <w:trPr>
          <w:trHeight w:val="1230"/>
        </w:trPr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lastRenderedPageBreak/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banks &amp; financial services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betting offices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Other*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estate agents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GP surgeries &amp; clinics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hair dressing &amp; beauty salons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offices &amp; work studios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Public &amp; village halls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Public houses &amp; bars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Restaurants &amp; cafes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Shops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Sporting activities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Work shops</w:t>
            </w:r>
          </w:p>
        </w:tc>
      </w:tr>
      <w:tr w:rsidR="00470200" w:rsidRPr="00470200" w:rsidTr="00470200">
        <w:trPr>
          <w:trHeight w:val="24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numerical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0200" w:rsidRPr="00470200" w:rsidRDefault="00470200" w:rsidP="00645B24">
            <w:pPr>
              <w:jc w:val="right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businesses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4</w:t>
            </w:r>
          </w:p>
        </w:tc>
      </w:tr>
      <w:tr w:rsidR="00470200" w:rsidRPr="00470200" w:rsidTr="00470200">
        <w:trPr>
          <w:trHeight w:val="24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0200" w:rsidRPr="00470200" w:rsidRDefault="00470200" w:rsidP="00645B24">
            <w:pPr>
              <w:jc w:val="right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percentage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1.76%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2.35%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8.82%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1.76%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1.76%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10.59%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20.59%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4.12%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3.53%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8.24%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32.94%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1.18%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2.35%</w:t>
            </w:r>
          </w:p>
        </w:tc>
      </w:tr>
      <w:tr w:rsidR="00470200" w:rsidRPr="00470200" w:rsidTr="00470200">
        <w:trPr>
          <w:trHeight w:val="24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70200" w:rsidRPr="00470200" w:rsidRDefault="00470200" w:rsidP="00645B24">
            <w:pPr>
              <w:jc w:val="right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</w:tr>
      <w:tr w:rsidR="00470200" w:rsidRPr="00470200" w:rsidTr="00470200">
        <w:trPr>
          <w:trHeight w:val="240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470200" w:rsidRPr="00470200" w:rsidRDefault="00470200" w:rsidP="00645B24">
            <w:pPr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  <w:t>rateable value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00" w:rsidRPr="00470200" w:rsidRDefault="00470200" w:rsidP="00645B24">
            <w:pPr>
              <w:rPr>
                <w:rFonts w:ascii="Calibri" w:hAnsi="Calibri"/>
                <w:color w:val="000000"/>
                <w:sz w:val="20"/>
                <w:szCs w:val="18"/>
              </w:rPr>
            </w:pPr>
          </w:p>
        </w:tc>
      </w:tr>
      <w:tr w:rsidR="00470200" w:rsidRPr="00470200" w:rsidTr="00470200">
        <w:trPr>
          <w:trHeight w:val="24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70200" w:rsidRPr="00470200" w:rsidRDefault="00470200" w:rsidP="00645B24">
            <w:pPr>
              <w:jc w:val="right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 xml:space="preserve">average </w:t>
            </w:r>
            <w:proofErr w:type="spellStart"/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rv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£13,583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£16,600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£10,263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£4,350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£131,950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£4,832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£22,187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£8,886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£17,480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£11,357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£22,784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£160,550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£6,333</w:t>
            </w:r>
          </w:p>
        </w:tc>
      </w:tr>
      <w:tr w:rsidR="00470200" w:rsidRPr="00470200" w:rsidTr="00470200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70200" w:rsidRPr="00470200" w:rsidRDefault="00470200" w:rsidP="00645B2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  <w:t>comparative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66.12%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80.81%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49.96%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21.17%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642.31%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23.52%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108.00%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43.25%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85.09%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55.28%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110.91%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781.53%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30.83%</w:t>
            </w:r>
          </w:p>
        </w:tc>
      </w:tr>
      <w:tr w:rsidR="00470200" w:rsidRPr="00470200" w:rsidTr="00470200"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70200" w:rsidRPr="00470200" w:rsidRDefault="00470200" w:rsidP="00645B24">
            <w:pPr>
              <w:jc w:val="right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 xml:space="preserve">group </w:t>
            </w:r>
            <w:proofErr w:type="spellStart"/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rv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£40,750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£66,400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£82,100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£8,700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£263,900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£82,150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£599,050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£62,200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£87,400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£159,000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£1,207,550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£321,100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£19,000</w:t>
            </w:r>
          </w:p>
        </w:tc>
      </w:tr>
      <w:tr w:rsidR="00470200" w:rsidRPr="00470200" w:rsidTr="00470200">
        <w:trPr>
          <w:trHeight w:val="300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470200" w:rsidRPr="00470200" w:rsidRDefault="00470200" w:rsidP="00645B24">
            <w:pPr>
              <w:jc w:val="right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 xml:space="preserve">presumed group </w:t>
            </w:r>
            <w:proofErr w:type="spellStart"/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rv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£40,750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£66,400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£82,900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£13,050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£395,850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£86,982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£776,546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£62,200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£104,880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£159,000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£1,275,902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£321,100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£25,333</w:t>
            </w:r>
          </w:p>
        </w:tc>
      </w:tr>
      <w:tr w:rsidR="00470200" w:rsidRPr="00470200" w:rsidTr="00470200">
        <w:trPr>
          <w:trHeight w:val="300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470200" w:rsidRPr="00470200" w:rsidRDefault="00470200" w:rsidP="00645B24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i/>
                <w:iCs/>
                <w:color w:val="000000"/>
                <w:sz w:val="20"/>
                <w:szCs w:val="18"/>
              </w:rPr>
              <w:t>against presumed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1.17%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1.90%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2.37%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0.37%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11.33%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2.49%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22.24%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1.78%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3.00%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4.55%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36.53%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9.19%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200" w:rsidRPr="00470200" w:rsidRDefault="00470200" w:rsidP="00645B24">
            <w:pPr>
              <w:jc w:val="center"/>
              <w:rPr>
                <w:rFonts w:ascii="Calibri" w:hAnsi="Calibri"/>
                <w:color w:val="000000"/>
                <w:sz w:val="20"/>
                <w:szCs w:val="18"/>
              </w:rPr>
            </w:pPr>
            <w:r w:rsidRPr="00470200">
              <w:rPr>
                <w:rFonts w:ascii="Calibri" w:hAnsi="Calibri"/>
                <w:color w:val="000000"/>
                <w:sz w:val="20"/>
                <w:szCs w:val="18"/>
              </w:rPr>
              <w:t>0.73%</w:t>
            </w:r>
          </w:p>
        </w:tc>
      </w:tr>
    </w:tbl>
    <w:p w:rsidR="00470200" w:rsidRDefault="00470200">
      <w:pPr>
        <w:spacing w:after="200" w:line="276" w:lineRule="auto"/>
      </w:pPr>
    </w:p>
    <w:p w:rsidR="00470200" w:rsidRDefault="00470200">
      <w:pPr>
        <w:spacing w:after="200" w:line="276" w:lineRule="auto"/>
      </w:pPr>
      <w:r>
        <w:br w:type="page"/>
      </w:r>
    </w:p>
    <w:p w:rsidR="00470200" w:rsidRDefault="00470200">
      <w:pPr>
        <w:spacing w:after="200" w:line="276" w:lineRule="auto"/>
      </w:pPr>
      <w:r w:rsidRPr="00470200">
        <w:rPr>
          <w:noProof/>
        </w:rPr>
        <w:lastRenderedPageBreak/>
        <w:drawing>
          <wp:inline distT="0" distB="0" distL="0" distR="0">
            <wp:extent cx="8346558" cy="5273749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0200" w:rsidRDefault="00470200">
      <w:pPr>
        <w:spacing w:after="200" w:line="276" w:lineRule="auto"/>
      </w:pPr>
    </w:p>
    <w:p w:rsidR="00470200" w:rsidRDefault="00470200">
      <w:pPr>
        <w:spacing w:after="200" w:line="276" w:lineRule="auto"/>
      </w:pPr>
    </w:p>
    <w:p w:rsidR="00470200" w:rsidRDefault="00470200">
      <w:pPr>
        <w:spacing w:after="200" w:line="276" w:lineRule="auto"/>
      </w:pPr>
      <w:r w:rsidRPr="00470200">
        <w:rPr>
          <w:noProof/>
        </w:rPr>
        <w:drawing>
          <wp:inline distT="0" distB="0" distL="0" distR="0">
            <wp:extent cx="8261498" cy="4752753"/>
            <wp:effectExtent l="0" t="0" r="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70200" w:rsidSect="004702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C10"/>
    <w:multiLevelType w:val="hybridMultilevel"/>
    <w:tmpl w:val="3DE6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1AB1"/>
    <w:multiLevelType w:val="hybridMultilevel"/>
    <w:tmpl w:val="AF9A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000D"/>
    <w:multiLevelType w:val="hybridMultilevel"/>
    <w:tmpl w:val="4484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86E76"/>
    <w:multiLevelType w:val="hybridMultilevel"/>
    <w:tmpl w:val="03145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302AE"/>
    <w:multiLevelType w:val="hybridMultilevel"/>
    <w:tmpl w:val="D73CB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55A89"/>
    <w:multiLevelType w:val="hybridMultilevel"/>
    <w:tmpl w:val="9EE06E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62721"/>
    <w:multiLevelType w:val="hybridMultilevel"/>
    <w:tmpl w:val="885E12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216EF"/>
    <w:multiLevelType w:val="hybridMultilevel"/>
    <w:tmpl w:val="12940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54820"/>
    <w:multiLevelType w:val="multilevel"/>
    <w:tmpl w:val="6CC0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67A82"/>
    <w:multiLevelType w:val="hybridMultilevel"/>
    <w:tmpl w:val="41B8C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3099D"/>
    <w:multiLevelType w:val="hybridMultilevel"/>
    <w:tmpl w:val="550897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E73B8"/>
    <w:multiLevelType w:val="hybridMultilevel"/>
    <w:tmpl w:val="99689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76DA3"/>
    <w:multiLevelType w:val="hybridMultilevel"/>
    <w:tmpl w:val="C1FA0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60241"/>
    <w:multiLevelType w:val="hybridMultilevel"/>
    <w:tmpl w:val="6F58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07730"/>
    <w:multiLevelType w:val="hybridMultilevel"/>
    <w:tmpl w:val="7BB0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E3352"/>
    <w:multiLevelType w:val="hybridMultilevel"/>
    <w:tmpl w:val="253CC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E38BA"/>
    <w:multiLevelType w:val="hybridMultilevel"/>
    <w:tmpl w:val="F654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73241"/>
    <w:multiLevelType w:val="hybridMultilevel"/>
    <w:tmpl w:val="C4907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0695C"/>
    <w:multiLevelType w:val="hybridMultilevel"/>
    <w:tmpl w:val="7D6E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3502C"/>
    <w:multiLevelType w:val="hybridMultilevel"/>
    <w:tmpl w:val="8A6A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C2AA2"/>
    <w:multiLevelType w:val="hybridMultilevel"/>
    <w:tmpl w:val="7C7C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16"/>
  </w:num>
  <w:num w:numId="12">
    <w:abstractNumId w:val="3"/>
  </w:num>
  <w:num w:numId="13">
    <w:abstractNumId w:val="13"/>
  </w:num>
  <w:num w:numId="14">
    <w:abstractNumId w:val="14"/>
  </w:num>
  <w:num w:numId="15">
    <w:abstractNumId w:val="17"/>
  </w:num>
  <w:num w:numId="16">
    <w:abstractNumId w:val="19"/>
  </w:num>
  <w:num w:numId="17">
    <w:abstractNumId w:val="20"/>
  </w:num>
  <w:num w:numId="18">
    <w:abstractNumId w:val="4"/>
  </w:num>
  <w:num w:numId="19">
    <w:abstractNumId w:val="15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6A2D"/>
    <w:rsid w:val="00014431"/>
    <w:rsid w:val="0004094B"/>
    <w:rsid w:val="000449B7"/>
    <w:rsid w:val="00060E78"/>
    <w:rsid w:val="0007731F"/>
    <w:rsid w:val="000B53AF"/>
    <w:rsid w:val="001B337C"/>
    <w:rsid w:val="001E1105"/>
    <w:rsid w:val="001F3CCF"/>
    <w:rsid w:val="002138B1"/>
    <w:rsid w:val="00237E38"/>
    <w:rsid w:val="00245FAF"/>
    <w:rsid w:val="002D51D9"/>
    <w:rsid w:val="002D56FA"/>
    <w:rsid w:val="003342EA"/>
    <w:rsid w:val="00367EEB"/>
    <w:rsid w:val="003B6C9A"/>
    <w:rsid w:val="00470200"/>
    <w:rsid w:val="00601986"/>
    <w:rsid w:val="00611E5B"/>
    <w:rsid w:val="00615A6F"/>
    <w:rsid w:val="00621AD7"/>
    <w:rsid w:val="00622C92"/>
    <w:rsid w:val="00645B24"/>
    <w:rsid w:val="00725128"/>
    <w:rsid w:val="00753519"/>
    <w:rsid w:val="007845E2"/>
    <w:rsid w:val="007C129D"/>
    <w:rsid w:val="007C383E"/>
    <w:rsid w:val="007D3AB6"/>
    <w:rsid w:val="00843824"/>
    <w:rsid w:val="0089523F"/>
    <w:rsid w:val="008D1051"/>
    <w:rsid w:val="00973ACD"/>
    <w:rsid w:val="00A3668A"/>
    <w:rsid w:val="00B52867"/>
    <w:rsid w:val="00BA4476"/>
    <w:rsid w:val="00BF6A2D"/>
    <w:rsid w:val="00CA1C2E"/>
    <w:rsid w:val="00CE6A3E"/>
    <w:rsid w:val="00D033B0"/>
    <w:rsid w:val="00D15908"/>
    <w:rsid w:val="00D232DF"/>
    <w:rsid w:val="00D27EE5"/>
    <w:rsid w:val="00E4229A"/>
    <w:rsid w:val="00E761C4"/>
    <w:rsid w:val="00F0374D"/>
    <w:rsid w:val="00F957B3"/>
    <w:rsid w:val="00FA7DAA"/>
    <w:rsid w:val="00FC07FB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theme="maj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67"/>
    <w:pPr>
      <w:spacing w:after="0" w:line="240" w:lineRule="auto"/>
    </w:pPr>
    <w:rPr>
      <w:rFonts w:asciiTheme="minorHAnsi" w:hAnsiTheme="minorHAns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229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29A"/>
    <w:rPr>
      <w:rFonts w:asciiTheme="minorHAnsi" w:eastAsiaTheme="majorEastAsia" w:hAnsiTheme="minorHAnsi"/>
      <w:b/>
      <w:bCs/>
      <w:color w:val="365F91" w:themeColor="accent1" w:themeShade="BF"/>
      <w:szCs w:val="22"/>
    </w:rPr>
  </w:style>
  <w:style w:type="table" w:styleId="LightList-Accent6">
    <w:name w:val="Light List Accent 6"/>
    <w:aliases w:val="Magenta"/>
    <w:basedOn w:val="TableNormal"/>
    <w:uiPriority w:val="61"/>
    <w:rsid w:val="00973AC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BF6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28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27EE5"/>
    <w:rPr>
      <w:color w:val="0000FF"/>
      <w:u w:val="single"/>
    </w:rPr>
  </w:style>
  <w:style w:type="table" w:styleId="TableGrid">
    <w:name w:val="Table Grid"/>
    <w:basedOn w:val="TableNormal"/>
    <w:uiPriority w:val="59"/>
    <w:rsid w:val="001F3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1F3CC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Strong">
    <w:name w:val="Strong"/>
    <w:basedOn w:val="DefaultParagraphFont"/>
    <w:uiPriority w:val="22"/>
    <w:qFormat/>
    <w:rsid w:val="00014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1971">
          <w:marLeft w:val="251"/>
          <w:marRight w:val="0"/>
          <w:marTop w:val="251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ajjadp\Desktop\Barrhead\working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ajjadp\Desktop\Barrhead\working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sz="1200"/>
              <a:t>Distribution of businesses by number</a:t>
            </a:r>
          </a:p>
        </c:rich>
      </c:tx>
      <c:layout/>
    </c:title>
    <c:plotArea>
      <c:layout/>
      <c:pieChart>
        <c:varyColors val="1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raw!$G$177:$S$177</c:f>
              <c:strCache>
                <c:ptCount val="13"/>
                <c:pt idx="0">
                  <c:v>banks &amp; financial services</c:v>
                </c:pt>
                <c:pt idx="1">
                  <c:v>betting offices</c:v>
                </c:pt>
                <c:pt idx="2">
                  <c:v>other</c:v>
                </c:pt>
                <c:pt idx="3">
                  <c:v>estate agents</c:v>
                </c:pt>
                <c:pt idx="4">
                  <c:v>GP surgeries &amp; clinics</c:v>
                </c:pt>
                <c:pt idx="5">
                  <c:v>hairdressing &amp; beauty salons</c:v>
                </c:pt>
                <c:pt idx="6">
                  <c:v>offices &amp; work studios</c:v>
                </c:pt>
                <c:pt idx="7">
                  <c:v>Public &amp; village halls</c:v>
                </c:pt>
                <c:pt idx="8">
                  <c:v>Public houses &amp; bars</c:v>
                </c:pt>
                <c:pt idx="9">
                  <c:v>Restaurants &amp; cafes</c:v>
                </c:pt>
                <c:pt idx="10">
                  <c:v>Shops</c:v>
                </c:pt>
                <c:pt idx="11">
                  <c:v>Sporting activities</c:v>
                </c:pt>
                <c:pt idx="12">
                  <c:v>Workshops</c:v>
                </c:pt>
              </c:strCache>
            </c:strRef>
          </c:cat>
          <c:val>
            <c:numRef>
              <c:f>raw!$G$179:$S$179</c:f>
              <c:numCache>
                <c:formatCode>0.00%</c:formatCode>
                <c:ptCount val="13"/>
                <c:pt idx="0">
                  <c:v>1.7647058823529439E-2</c:v>
                </c:pt>
                <c:pt idx="1">
                  <c:v>2.3529411764705879E-2</c:v>
                </c:pt>
                <c:pt idx="2">
                  <c:v>8.8235294117647356E-2</c:v>
                </c:pt>
                <c:pt idx="3">
                  <c:v>1.7647058823529439E-2</c:v>
                </c:pt>
                <c:pt idx="4">
                  <c:v>1.7647058823529439E-2</c:v>
                </c:pt>
                <c:pt idx="5">
                  <c:v>0.10588235294117652</c:v>
                </c:pt>
                <c:pt idx="6">
                  <c:v>0.20588235294117646</c:v>
                </c:pt>
                <c:pt idx="7">
                  <c:v>4.1176470588235314E-2</c:v>
                </c:pt>
                <c:pt idx="8">
                  <c:v>3.5294117647058892E-2</c:v>
                </c:pt>
                <c:pt idx="9">
                  <c:v>8.2352941176470768E-2</c:v>
                </c:pt>
                <c:pt idx="10">
                  <c:v>0.32941176470588379</c:v>
                </c:pt>
                <c:pt idx="11">
                  <c:v>1.1764705882352988E-2</c:v>
                </c:pt>
                <c:pt idx="12">
                  <c:v>2.3529411764705879E-2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txPr>
    <a:bodyPr/>
    <a:lstStyle/>
    <a:p>
      <a:pPr>
        <a:defRPr>
          <a:latin typeface="Calibri" pitchFamily="34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>
                <a:latin typeface="Calibri" pitchFamily="34" charset="0"/>
              </a:defRPr>
            </a:pPr>
            <a:r>
              <a:rPr lang="en-GB" sz="1200">
                <a:latin typeface="Calibri" pitchFamily="34" charset="0"/>
                <a:cs typeface="Times New Roman" pitchFamily="18" charset="0"/>
              </a:rPr>
              <a:t>Distribution of businesses</a:t>
            </a:r>
            <a:r>
              <a:rPr lang="en-GB" sz="1200" baseline="0">
                <a:latin typeface="Calibri" pitchFamily="34" charset="0"/>
                <a:cs typeface="Times New Roman" pitchFamily="18" charset="0"/>
              </a:rPr>
              <a:t> by rateable value</a:t>
            </a:r>
          </a:p>
        </c:rich>
      </c:tx>
      <c:layout/>
    </c:title>
    <c:plotArea>
      <c:layout/>
      <c:pieChart>
        <c:varyColors val="1"/>
        <c:ser>
          <c:idx val="0"/>
          <c:order val="0"/>
          <c:spPr>
            <a:ln>
              <a:noFill/>
            </a:ln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Calibri" pitchFamily="34" charset="0"/>
                    <a:cs typeface="Times New Roman" pitchFamily="18" charset="0"/>
                  </a:defRPr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raw!$AC$183:$AO$183</c:f>
              <c:strCache>
                <c:ptCount val="13"/>
                <c:pt idx="0">
                  <c:v>banks &amp; financial services</c:v>
                </c:pt>
                <c:pt idx="1">
                  <c:v>betting offices</c:v>
                </c:pt>
                <c:pt idx="2">
                  <c:v>other</c:v>
                </c:pt>
                <c:pt idx="3">
                  <c:v>estate agents</c:v>
                </c:pt>
                <c:pt idx="4">
                  <c:v>GP surgeries &amp; clinics</c:v>
                </c:pt>
                <c:pt idx="5">
                  <c:v>hairdressing &amp; beauty salons</c:v>
                </c:pt>
                <c:pt idx="6">
                  <c:v>offices &amp; work studios</c:v>
                </c:pt>
                <c:pt idx="7">
                  <c:v>Public &amp; village halls</c:v>
                </c:pt>
                <c:pt idx="8">
                  <c:v>Public houses &amp; bars</c:v>
                </c:pt>
                <c:pt idx="9">
                  <c:v>Restaurants &amp; cafes</c:v>
                </c:pt>
                <c:pt idx="10">
                  <c:v>Shops</c:v>
                </c:pt>
                <c:pt idx="11">
                  <c:v>Sporting activities</c:v>
                </c:pt>
                <c:pt idx="12">
                  <c:v>Workshops</c:v>
                </c:pt>
              </c:strCache>
            </c:strRef>
          </c:cat>
          <c:val>
            <c:numRef>
              <c:f>raw!$AC$184:$AO$184</c:f>
              <c:numCache>
                <c:formatCode>"£"#,##0.00</c:formatCode>
                <c:ptCount val="13"/>
                <c:pt idx="0">
                  <c:v>40750</c:v>
                </c:pt>
                <c:pt idx="1">
                  <c:v>66400</c:v>
                </c:pt>
                <c:pt idx="2">
                  <c:v>82100</c:v>
                </c:pt>
                <c:pt idx="3">
                  <c:v>8700</c:v>
                </c:pt>
                <c:pt idx="4">
                  <c:v>263900</c:v>
                </c:pt>
                <c:pt idx="5">
                  <c:v>82150</c:v>
                </c:pt>
                <c:pt idx="6">
                  <c:v>599050</c:v>
                </c:pt>
                <c:pt idx="7">
                  <c:v>62200</c:v>
                </c:pt>
                <c:pt idx="8">
                  <c:v>87400</c:v>
                </c:pt>
                <c:pt idx="9">
                  <c:v>159000</c:v>
                </c:pt>
                <c:pt idx="10">
                  <c:v>1207550</c:v>
                </c:pt>
                <c:pt idx="11">
                  <c:v>321100</c:v>
                </c:pt>
                <c:pt idx="12">
                  <c:v>19000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06C6-C9D7-4C98-A94A-BFB962C6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Molloy</dc:creator>
  <cp:lastModifiedBy>Molloyl2</cp:lastModifiedBy>
  <cp:revision>9</cp:revision>
  <dcterms:created xsi:type="dcterms:W3CDTF">2015-02-25T14:19:00Z</dcterms:created>
  <dcterms:modified xsi:type="dcterms:W3CDTF">2015-03-03T09:32:00Z</dcterms:modified>
</cp:coreProperties>
</file>