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7C" w:rsidRDefault="00E5507C" w:rsidP="00E5507C">
      <w:pPr>
        <w:tabs>
          <w:tab w:val="left" w:pos="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GRABE, D.F. (ed.) 1970. </w:t>
      </w:r>
      <w:proofErr w:type="spellStart"/>
      <w:proofErr w:type="gramStart"/>
      <w:r>
        <w:rPr>
          <w:b/>
          <w:bCs/>
          <w:sz w:val="20"/>
          <w:szCs w:val="20"/>
        </w:rPr>
        <w:t>Tetrazolium</w:t>
      </w:r>
      <w:proofErr w:type="spellEnd"/>
      <w:r>
        <w:rPr>
          <w:b/>
          <w:bCs/>
          <w:sz w:val="20"/>
          <w:szCs w:val="20"/>
        </w:rPr>
        <w:t xml:space="preserve"> Testing Handbook for Agricultural Seeds.</w:t>
      </w:r>
      <w:proofErr w:type="gramEnd"/>
      <w:r>
        <w:rPr>
          <w:b/>
          <w:bCs/>
          <w:sz w:val="20"/>
          <w:szCs w:val="20"/>
        </w:rPr>
        <w:t xml:space="preserve"> Contribution No. 29  </w:t>
      </w:r>
      <w:r>
        <w:rPr>
          <w:b/>
          <w:bCs/>
          <w:sz w:val="20"/>
          <w:szCs w:val="20"/>
        </w:rPr>
        <w:br/>
        <w:t>       to the Handbook on Seed Testing,</w:t>
      </w:r>
      <w:proofErr w:type="gramStart"/>
      <w:r>
        <w:rPr>
          <w:b/>
          <w:bCs/>
          <w:sz w:val="20"/>
          <w:szCs w:val="20"/>
        </w:rPr>
        <w:t>  AOSA</w:t>
      </w:r>
      <w:proofErr w:type="gramEnd"/>
      <w:r>
        <w:rPr>
          <w:b/>
          <w:bCs/>
          <w:sz w:val="20"/>
          <w:szCs w:val="20"/>
        </w:rPr>
        <w:t xml:space="preserve">.  Figure 9 Crimson </w:t>
      </w:r>
      <w:proofErr w:type="gramStart"/>
      <w:r>
        <w:rPr>
          <w:b/>
          <w:bCs/>
          <w:sz w:val="20"/>
          <w:szCs w:val="20"/>
        </w:rPr>
        <w:t>Clover</w:t>
      </w:r>
      <w:proofErr w:type="gramEnd"/>
      <w:r>
        <w:rPr>
          <w:b/>
          <w:bCs/>
          <w:sz w:val="20"/>
          <w:szCs w:val="20"/>
        </w:rPr>
        <w:t xml:space="preserve">. </w:t>
      </w:r>
      <w:r>
        <w:br/>
      </w:r>
      <w:proofErr w:type="gramStart"/>
      <w:r>
        <w:rPr>
          <w:sz w:val="20"/>
          <w:szCs w:val="20"/>
        </w:rPr>
        <w:t>originally</w:t>
      </w:r>
      <w:proofErr w:type="gramEnd"/>
      <w:r>
        <w:rPr>
          <w:sz w:val="20"/>
          <w:szCs w:val="20"/>
        </w:rPr>
        <w:t xml:space="preserve"> appeared  in:</w:t>
      </w:r>
      <w:r>
        <w:rPr>
          <w:b/>
          <w:bCs/>
          <w:sz w:val="20"/>
          <w:szCs w:val="20"/>
        </w:rPr>
        <w:t xml:space="preserve">  </w:t>
      </w:r>
      <w:proofErr w:type="spellStart"/>
      <w:r>
        <w:rPr>
          <w:b/>
          <w:bCs/>
          <w:sz w:val="20"/>
          <w:szCs w:val="20"/>
        </w:rPr>
        <w:t>Delouche</w:t>
      </w:r>
      <w:proofErr w:type="spellEnd"/>
      <w:r>
        <w:rPr>
          <w:b/>
          <w:bCs/>
          <w:sz w:val="20"/>
          <w:szCs w:val="20"/>
        </w:rPr>
        <w:t xml:space="preserve">, J.C., T. W. Still, M. </w:t>
      </w:r>
      <w:proofErr w:type="spellStart"/>
      <w:proofErr w:type="gramStart"/>
      <w:r>
        <w:rPr>
          <w:b/>
          <w:bCs/>
          <w:sz w:val="20"/>
          <w:szCs w:val="20"/>
        </w:rPr>
        <w:t>Raspet</w:t>
      </w:r>
      <w:proofErr w:type="spellEnd"/>
      <w:r>
        <w:rPr>
          <w:b/>
          <w:bCs/>
          <w:sz w:val="20"/>
          <w:szCs w:val="20"/>
        </w:rPr>
        <w:t>,</w:t>
      </w:r>
      <w:proofErr w:type="gramEnd"/>
      <w:r>
        <w:rPr>
          <w:b/>
          <w:bCs/>
          <w:sz w:val="20"/>
          <w:szCs w:val="20"/>
        </w:rPr>
        <w:t xml:space="preserve"> and M. </w:t>
      </w:r>
      <w:proofErr w:type="spellStart"/>
      <w:r>
        <w:rPr>
          <w:b/>
          <w:bCs/>
          <w:sz w:val="20"/>
          <w:szCs w:val="20"/>
        </w:rPr>
        <w:t>Lienhard</w:t>
      </w:r>
      <w:proofErr w:type="spellEnd"/>
      <w:r>
        <w:rPr>
          <w:b/>
          <w:bCs/>
          <w:sz w:val="20"/>
          <w:szCs w:val="20"/>
        </w:rPr>
        <w:t xml:space="preserve">. 1962.  The </w:t>
      </w:r>
      <w:proofErr w:type="spellStart"/>
      <w:r>
        <w:rPr>
          <w:b/>
          <w:bCs/>
          <w:sz w:val="20"/>
          <w:szCs w:val="20"/>
        </w:rPr>
        <w:t>tetrazolium</w:t>
      </w:r>
      <w:proofErr w:type="spellEnd"/>
      <w:r>
        <w:rPr>
          <w:b/>
          <w:bCs/>
          <w:sz w:val="20"/>
          <w:szCs w:val="20"/>
        </w:rPr>
        <w:t xml:space="preserve"> test for seed viability. </w:t>
      </w:r>
      <w:r>
        <w:rPr>
          <w:b/>
          <w:bCs/>
          <w:sz w:val="20"/>
          <w:szCs w:val="20"/>
        </w:rPr>
        <w:br/>
        <w:t>        Miss. Agric. Exp. Sta. Tech. Bull. 51.</w:t>
      </w:r>
      <w:r>
        <w:br/>
      </w:r>
      <w:r>
        <w:rPr>
          <w:sz w:val="20"/>
          <w:szCs w:val="20"/>
        </w:rPr>
        <w:t xml:space="preserve">  Figure 9.  Criteria for interpreting </w:t>
      </w:r>
      <w:proofErr w:type="spellStart"/>
      <w:r>
        <w:rPr>
          <w:sz w:val="20"/>
          <w:szCs w:val="20"/>
        </w:rPr>
        <w:t>tetrazolium</w:t>
      </w:r>
      <w:proofErr w:type="spellEnd"/>
      <w:r>
        <w:rPr>
          <w:sz w:val="20"/>
          <w:szCs w:val="20"/>
        </w:rPr>
        <w:t xml:space="preserve"> test results on crimson clover seed.  Illustrations are paired and depict both sides of the seed.  Black areas indicate stained, living tissue;</w:t>
      </w:r>
      <w:proofErr w:type="gramStart"/>
      <w:r>
        <w:rPr>
          <w:sz w:val="20"/>
          <w:szCs w:val="20"/>
        </w:rPr>
        <w:t>  white</w:t>
      </w:r>
      <w:proofErr w:type="gramEnd"/>
      <w:r>
        <w:rPr>
          <w:sz w:val="20"/>
          <w:szCs w:val="20"/>
        </w:rPr>
        <w:t xml:space="preserve"> areas represent unstained and dead tissue. </w:t>
      </w:r>
      <w:r>
        <w:br/>
      </w:r>
      <w:r>
        <w:rPr>
          <w:sz w:val="20"/>
          <w:szCs w:val="20"/>
        </w:rPr>
        <w:t xml:space="preserve">1.     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  Seed completely stained.</w:t>
      </w:r>
      <w:r>
        <w:rPr>
          <w:sz w:val="20"/>
          <w:szCs w:val="20"/>
        </w:rPr>
        <w:br/>
        <w:t>2-4.</w:t>
      </w:r>
      <w:proofErr w:type="gramStart"/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Germinable</w:t>
      </w:r>
      <w:proofErr w:type="spellEnd"/>
      <w:proofErr w:type="gramEnd"/>
      <w:r>
        <w:rPr>
          <w:sz w:val="20"/>
          <w:szCs w:val="20"/>
        </w:rPr>
        <w:t xml:space="preserve">.  </w:t>
      </w:r>
      <w:proofErr w:type="gramStart"/>
      <w:r>
        <w:rPr>
          <w:sz w:val="20"/>
          <w:szCs w:val="20"/>
        </w:rPr>
        <w:t>Minor unstained areas on cotyledons.</w:t>
      </w:r>
      <w:proofErr w:type="gramEnd"/>
      <w:r>
        <w:rPr>
          <w:sz w:val="20"/>
          <w:szCs w:val="20"/>
        </w:rPr>
        <w:br/>
        <w:t xml:space="preserve">5.     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</w:t>
      </w:r>
      <w:proofErr w:type="gramStart"/>
      <w:r>
        <w:rPr>
          <w:sz w:val="20"/>
          <w:szCs w:val="20"/>
        </w:rPr>
        <w:t>Minor unstained area on upper portion of radicle-hypocotyl axis.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6.     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Extreme tip of radicle unstained; minor unstained spots on cotyledons. </w:t>
      </w:r>
      <w:r>
        <w:rPr>
          <w:sz w:val="20"/>
          <w:szCs w:val="20"/>
        </w:rPr>
        <w:br/>
        <w:t>7.   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More than extreme tip of radicle unstained. </w:t>
      </w:r>
      <w:r>
        <w:rPr>
          <w:sz w:val="20"/>
          <w:szCs w:val="20"/>
        </w:rPr>
        <w:br/>
        <w:t>8.   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</w:t>
      </w:r>
      <w:proofErr w:type="gramStart"/>
      <w:r>
        <w:rPr>
          <w:sz w:val="20"/>
          <w:szCs w:val="20"/>
        </w:rPr>
        <w:t>Unstained area at juncture of cotyledons and radicle-hypocotyl axis.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9.   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</w:t>
      </w:r>
      <w:proofErr w:type="gramStart"/>
      <w:r>
        <w:rPr>
          <w:sz w:val="20"/>
          <w:szCs w:val="20"/>
        </w:rPr>
        <w:t xml:space="preserve">Unstained area near point of attachment of cotyledons and radicle-hypocotyl axis over where </w:t>
      </w:r>
      <w:proofErr w:type="spellStart"/>
      <w:r>
        <w:rPr>
          <w:sz w:val="20"/>
          <w:szCs w:val="20"/>
        </w:rPr>
        <w:t>plumule</w:t>
      </w:r>
      <w:proofErr w:type="spellEnd"/>
      <w:r>
        <w:rPr>
          <w:sz w:val="20"/>
          <w:szCs w:val="20"/>
        </w:rPr>
        <w:t xml:space="preserve"> develops.</w:t>
      </w:r>
      <w:proofErr w:type="gramEnd"/>
      <w:r>
        <w:rPr>
          <w:sz w:val="20"/>
          <w:szCs w:val="20"/>
        </w:rPr>
        <w:t xml:space="preserve">  </w:t>
      </w:r>
      <w:r>
        <w:rPr>
          <w:sz w:val="20"/>
          <w:szCs w:val="20"/>
        </w:rPr>
        <w:br/>
        <w:t>10. 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</w:t>
      </w:r>
      <w:proofErr w:type="gramStart"/>
      <w:r>
        <w:rPr>
          <w:sz w:val="20"/>
          <w:szCs w:val="20"/>
        </w:rPr>
        <w:t>Radicle-hypocotyl axis bisected by unstained area.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11. 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</w:t>
      </w:r>
      <w:proofErr w:type="gramStart"/>
      <w:r>
        <w:rPr>
          <w:sz w:val="20"/>
          <w:szCs w:val="20"/>
        </w:rPr>
        <w:t>Unstained areas on radicle-hypocotyl axis and at point of attachment of cotyledons to axis.</w:t>
      </w:r>
      <w:proofErr w:type="gramEnd"/>
      <w:r>
        <w:rPr>
          <w:sz w:val="20"/>
          <w:szCs w:val="20"/>
        </w:rPr>
        <w:t xml:space="preserve">  </w:t>
      </w:r>
      <w:r>
        <w:rPr>
          <w:sz w:val="20"/>
          <w:szCs w:val="20"/>
        </w:rPr>
        <w:br/>
        <w:t>12. 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More than one-half of </w:t>
      </w:r>
      <w:proofErr w:type="spellStart"/>
      <w:r>
        <w:rPr>
          <w:sz w:val="20"/>
          <w:szCs w:val="20"/>
        </w:rPr>
        <w:t>cotyledonary</w:t>
      </w:r>
      <w:proofErr w:type="spellEnd"/>
      <w:r>
        <w:rPr>
          <w:sz w:val="20"/>
          <w:szCs w:val="20"/>
        </w:rPr>
        <w:t xml:space="preserve"> tissue unstained.</w:t>
      </w:r>
      <w:r>
        <w:rPr>
          <w:sz w:val="20"/>
          <w:szCs w:val="20"/>
        </w:rPr>
        <w:br/>
        <w:t>13. 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  Radicle-hypocotyl axis unstained.</w:t>
      </w:r>
      <w:r>
        <w:rPr>
          <w:sz w:val="20"/>
          <w:szCs w:val="20"/>
        </w:rPr>
        <w:br/>
        <w:t>14. 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  Seed stained off-color, grayish red, orange red or glassy or transparent red color.</w:t>
      </w:r>
      <w:r>
        <w:rPr>
          <w:sz w:val="20"/>
          <w:szCs w:val="20"/>
        </w:rPr>
        <w:br/>
      </w:r>
      <w:r>
        <w:rPr>
          <w:sz w:val="20"/>
          <w:szCs w:val="20"/>
        </w:rPr>
        <w:t>15. 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  Seed</w:t>
      </w:r>
      <w:r>
        <w:rPr>
          <w:sz w:val="20"/>
          <w:szCs w:val="20"/>
        </w:rPr>
        <w:t xml:space="preserve"> completely unstained.</w:t>
      </w:r>
    </w:p>
    <w:p w:rsidR="00E5507C" w:rsidRDefault="00E5507C" w:rsidP="00E5507C">
      <w:pPr>
        <w:tabs>
          <w:tab w:val="left" w:pos="0"/>
        </w:tabs>
      </w:pPr>
      <w:r>
        <w:rPr>
          <w:sz w:val="20"/>
          <w:szCs w:val="20"/>
        </w:rPr>
        <w:br/>
      </w:r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0" wp14:anchorId="212A864F" wp14:editId="776F3C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1230" cy="5843270"/>
            <wp:effectExtent l="0" t="0" r="1270" b="5080"/>
            <wp:wrapSquare wrapText="bothSides"/>
            <wp:docPr id="1" name="Picture 1" descr="clovertz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vertzdraw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19" cy="584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</w:t>
      </w:r>
    </w:p>
    <w:p w:rsidR="00E5507C" w:rsidRDefault="00E5507C" w:rsidP="00E5507C">
      <w:pPr>
        <w:tabs>
          <w:tab w:val="left" w:pos="0"/>
        </w:tabs>
        <w:rPr>
          <w:noProof/>
        </w:rPr>
      </w:pPr>
    </w:p>
    <w:sectPr w:rsidR="00E5507C" w:rsidSect="00E5507C">
      <w:pgSz w:w="12240" w:h="15840"/>
      <w:pgMar w:top="360" w:right="54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7C"/>
    <w:rsid w:val="00324DDF"/>
    <w:rsid w:val="00E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SRM</cp:lastModifiedBy>
  <cp:revision>1</cp:revision>
  <dcterms:created xsi:type="dcterms:W3CDTF">2014-08-25T12:39:00Z</dcterms:created>
  <dcterms:modified xsi:type="dcterms:W3CDTF">2014-08-25T12:40:00Z</dcterms:modified>
</cp:coreProperties>
</file>