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4B7734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 xml:space="preserve">. </w:t>
      </w:r>
      <w:r>
        <w:t xml:space="preserve">  </w:t>
      </w:r>
      <w:r>
        <w:rPr>
          <w:b/>
          <w:bCs/>
        </w:rPr>
        <w:t xml:space="preserve">Figure </w:t>
      </w:r>
      <w:proofErr w:type="gramStart"/>
      <w:r>
        <w:rPr>
          <w:b/>
          <w:bCs/>
        </w:rPr>
        <w:t>6 wheat</w:t>
      </w:r>
      <w:proofErr w:type="gramEnd"/>
      <w:r>
        <w:rPr>
          <w:b/>
          <w:bCs/>
        </w:rPr>
        <w:t xml:space="preserve">. </w:t>
      </w:r>
      <w:r>
        <w:br/>
      </w:r>
      <w:proofErr w:type="gramStart"/>
      <w:r>
        <w:rPr>
          <w:sz w:val="20"/>
          <w:szCs w:val="20"/>
        </w:rPr>
        <w:t>originally</w:t>
      </w:r>
      <w:proofErr w:type="gramEnd"/>
      <w:r>
        <w:rPr>
          <w:sz w:val="20"/>
          <w:szCs w:val="20"/>
        </w:rPr>
        <w:t xml:space="preserve"> appeared  in:</w:t>
      </w:r>
      <w:r>
        <w:rPr>
          <w:sz w:val="20"/>
          <w:szCs w:val="20"/>
        </w:rPr>
        <w:br/>
      </w:r>
      <w:proofErr w:type="spellStart"/>
      <w:r>
        <w:rPr>
          <w:b/>
          <w:bCs/>
          <w:sz w:val="20"/>
          <w:szCs w:val="20"/>
        </w:rPr>
        <w:t>Delouche</w:t>
      </w:r>
      <w:proofErr w:type="spellEnd"/>
      <w:r>
        <w:rPr>
          <w:b/>
          <w:bCs/>
          <w:sz w:val="20"/>
          <w:szCs w:val="20"/>
        </w:rPr>
        <w:t xml:space="preserve">, J.C., T. W. Still, M. </w:t>
      </w:r>
      <w:proofErr w:type="spellStart"/>
      <w:proofErr w:type="gramStart"/>
      <w:r>
        <w:rPr>
          <w:b/>
          <w:bCs/>
          <w:sz w:val="20"/>
          <w:szCs w:val="20"/>
        </w:rPr>
        <w:t>Raspet</w:t>
      </w:r>
      <w:proofErr w:type="spellEnd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and M. </w:t>
      </w:r>
      <w:proofErr w:type="spellStart"/>
      <w:r>
        <w:rPr>
          <w:b/>
          <w:bCs/>
          <w:sz w:val="20"/>
          <w:szCs w:val="20"/>
        </w:rPr>
        <w:t>Lienhard</w:t>
      </w:r>
      <w:proofErr w:type="spellEnd"/>
      <w:r>
        <w:rPr>
          <w:b/>
          <w:bCs/>
          <w:sz w:val="20"/>
          <w:szCs w:val="20"/>
        </w:rPr>
        <w:t xml:space="preserve">. 1962.  The </w:t>
      </w:r>
      <w:proofErr w:type="spellStart"/>
      <w:r>
        <w:rPr>
          <w:b/>
          <w:bCs/>
          <w:sz w:val="20"/>
          <w:szCs w:val="20"/>
        </w:rPr>
        <w:t>tetrazolium</w:t>
      </w:r>
      <w:proofErr w:type="spellEnd"/>
      <w:r>
        <w:rPr>
          <w:b/>
          <w:bCs/>
          <w:sz w:val="20"/>
          <w:szCs w:val="20"/>
        </w:rPr>
        <w:t xml:space="preserve"> test for seed viability. </w:t>
      </w:r>
      <w:r>
        <w:rPr>
          <w:b/>
          <w:bCs/>
          <w:sz w:val="20"/>
          <w:szCs w:val="20"/>
        </w:rPr>
        <w:br/>
        <w:t>        Miss. Agric. Exp. Sta. Tech. Bull. 51.</w:t>
      </w:r>
      <w:r>
        <w:br/>
        <w:t xml:space="preserve">                                                                   </w:t>
      </w:r>
      <w:r>
        <w:br/>
        <w:t xml:space="preserve">Criteria for interpreting </w:t>
      </w:r>
      <w:proofErr w:type="spellStart"/>
      <w:r>
        <w:t>tetrazolium</w:t>
      </w:r>
      <w:proofErr w:type="spellEnd"/>
      <w:r>
        <w:t xml:space="preserve"> test results on wheat seed.  Black areas indicate </w:t>
      </w:r>
      <w:proofErr w:type="gramStart"/>
      <w:r>
        <w:t>stained ,</w:t>
      </w:r>
      <w:proofErr w:type="gramEnd"/>
      <w:r>
        <w:t xml:space="preserve"> living tissue; white areas represent  unstained and dead tissue.         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5819775"/>
            <wp:effectExtent l="0" t="0" r="0" b="9525"/>
            <wp:wrapSquare wrapText="bothSides"/>
            <wp:docPr id="1" name="Picture 1" descr="figure 6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6 whe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sz w:val="20"/>
          <w:szCs w:val="20"/>
        </w:rPr>
        <w:br/>
        <w:t xml:space="preserve">1.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Entire embryo stained bright red.</w:t>
      </w:r>
      <w:r>
        <w:rPr>
          <w:sz w:val="20"/>
          <w:szCs w:val="20"/>
        </w:rPr>
        <w:br/>
        <w:t xml:space="preserve">2.-5. </w:t>
      </w:r>
      <w:proofErr w:type="spellStart"/>
      <w:proofErr w:type="gram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Extremities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unstained.</w:t>
      </w:r>
      <w:r>
        <w:rPr>
          <w:sz w:val="20"/>
          <w:szCs w:val="20"/>
        </w:rPr>
        <w:br/>
        <w:t xml:space="preserve">6. 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Extremities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>, radicle tip, and coleorhiza</w:t>
      </w:r>
      <w:r>
        <w:rPr>
          <w:sz w:val="20"/>
          <w:szCs w:val="20"/>
        </w:rPr>
        <w:br/>
        <w:t>unstained.</w:t>
      </w:r>
      <w:r>
        <w:rPr>
          <w:sz w:val="20"/>
          <w:szCs w:val="20"/>
        </w:rPr>
        <w:br/>
        <w:t>7.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More than three-fourths of radicle unstained.</w:t>
      </w:r>
      <w:r>
        <w:rPr>
          <w:sz w:val="20"/>
          <w:szCs w:val="20"/>
        </w:rPr>
        <w:br/>
        <w:t>8.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spellStart"/>
      <w:r>
        <w:rPr>
          <w:sz w:val="20"/>
          <w:szCs w:val="20"/>
        </w:rPr>
        <w:t>Plumule</w:t>
      </w:r>
      <w:proofErr w:type="spellEnd"/>
      <w:r>
        <w:rPr>
          <w:sz w:val="20"/>
          <w:szCs w:val="20"/>
        </w:rPr>
        <w:t xml:space="preserve"> unstained.</w:t>
      </w:r>
      <w:r>
        <w:rPr>
          <w:sz w:val="20"/>
          <w:szCs w:val="20"/>
        </w:rPr>
        <w:br/>
        <w:t>9.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Central portion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scutellar</w:t>
      </w:r>
      <w:proofErr w:type="spellEnd"/>
      <w:r>
        <w:rPr>
          <w:sz w:val="20"/>
          <w:szCs w:val="20"/>
        </w:rPr>
        <w:t xml:space="preserve"> node unstained.</w:t>
      </w:r>
      <w:r>
        <w:rPr>
          <w:sz w:val="20"/>
          <w:szCs w:val="20"/>
        </w:rPr>
        <w:br/>
        <w:t>10.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Embryonic axis unstained.</w:t>
      </w:r>
      <w:r>
        <w:rPr>
          <w:sz w:val="20"/>
          <w:szCs w:val="20"/>
        </w:rPr>
        <w:br/>
        <w:t>11.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Extremities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plumule</w:t>
      </w:r>
      <w:proofErr w:type="spellEnd"/>
      <w:r>
        <w:rPr>
          <w:sz w:val="20"/>
          <w:szCs w:val="20"/>
        </w:rPr>
        <w:t xml:space="preserve"> tip unstained.</w:t>
      </w:r>
      <w:r>
        <w:rPr>
          <w:sz w:val="20"/>
          <w:szCs w:val="20"/>
        </w:rPr>
        <w:br/>
        <w:t>12.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Entire upper half of embryo unstained.</w:t>
      </w:r>
      <w:r>
        <w:rPr>
          <w:sz w:val="20"/>
          <w:szCs w:val="20"/>
        </w:rPr>
        <w:br/>
        <w:t>13.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unstained.</w:t>
      </w:r>
      <w:r>
        <w:rPr>
          <w:sz w:val="20"/>
          <w:szCs w:val="20"/>
        </w:rPr>
        <w:br/>
        <w:t>14.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>, radicle, and coleorhiza unstained.</w:t>
      </w:r>
      <w:r>
        <w:rPr>
          <w:sz w:val="20"/>
          <w:szCs w:val="20"/>
        </w:rPr>
        <w:br/>
        <w:t>15.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Stain very faint pink.</w:t>
      </w:r>
      <w:r>
        <w:rPr>
          <w:sz w:val="20"/>
          <w:szCs w:val="20"/>
        </w:rPr>
        <w:br/>
        <w:t>16. 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Entire embryo unstained.</w:t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34"/>
    <w:rsid w:val="00324DDF"/>
    <w:rsid w:val="004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2014-08-25T12:35:00Z</dcterms:created>
  <dcterms:modified xsi:type="dcterms:W3CDTF">2014-08-25T12:35:00Z</dcterms:modified>
</cp:coreProperties>
</file>