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96" w:rsidRDefault="00645096" w:rsidP="006612C9">
      <w:pPr>
        <w:pStyle w:val="Heading1"/>
        <w:rPr>
          <w:color w:val="000000" w:themeColor="text1"/>
        </w:rPr>
      </w:pPr>
      <w:bookmarkStart w:id="0" w:name="_GoBack"/>
      <w:bookmarkEnd w:id="0"/>
      <w:r w:rsidRPr="006612C9">
        <w:rPr>
          <w:color w:val="000000" w:themeColor="text1"/>
        </w:rPr>
        <w:t>‘The next few years are probably the most important in our history’</w:t>
      </w:r>
    </w:p>
    <w:p w:rsidR="006612C9" w:rsidRPr="006612C9" w:rsidRDefault="006612C9" w:rsidP="006612C9"/>
    <w:p w:rsidR="00645096" w:rsidRPr="00EC37A3" w:rsidRDefault="00645096" w:rsidP="00645096">
      <w:pPr>
        <w:spacing w:line="360" w:lineRule="auto"/>
        <w:jc w:val="center"/>
        <w:rPr>
          <w:b/>
          <w:sz w:val="18"/>
          <w:szCs w:val="18"/>
        </w:rPr>
      </w:pPr>
      <w:r w:rsidRPr="00EC37A3">
        <w:rPr>
          <w:b/>
          <w:sz w:val="18"/>
          <w:szCs w:val="18"/>
        </w:rPr>
        <w:t xml:space="preserve">– Dr Debra Roberts, Contributing Author to the IPCC’s Special Report on Global Warming of 1.5 </w:t>
      </w:r>
    </w:p>
    <w:p w:rsidR="00645096" w:rsidRPr="00EC37A3" w:rsidRDefault="00645096" w:rsidP="00645096">
      <w:pPr>
        <w:rPr>
          <w:b/>
        </w:rPr>
      </w:pPr>
    </w:p>
    <w:p w:rsidR="00645096" w:rsidRDefault="00645096" w:rsidP="00645096">
      <w:r w:rsidRPr="00EC37A3">
        <w:t xml:space="preserve">Key points to take into consideration when preparing a response to the Northern Territory Government’s (NTG) </w:t>
      </w:r>
      <w:r w:rsidRPr="00476CA0">
        <w:rPr>
          <w:i/>
        </w:rPr>
        <w:t>Climate Change Discussion Paper</w:t>
      </w:r>
      <w:r w:rsidRPr="00EC37A3">
        <w:t xml:space="preserve">. </w:t>
      </w:r>
      <w:r w:rsidRPr="00EC37A3">
        <w:rPr>
          <w:b/>
          <w:i/>
        </w:rPr>
        <w:t>Note:</w:t>
      </w:r>
      <w:r w:rsidRPr="00EC37A3">
        <w:t xml:space="preserve"> Points are separated into mitigation (reducing emissions) and adaptation (adapting to the impacts of climate change). Both</w:t>
      </w:r>
      <w:r>
        <w:t xml:space="preserve"> are</w:t>
      </w:r>
      <w:r w:rsidRPr="00EC37A3">
        <w:t xml:space="preserve"> </w:t>
      </w:r>
      <w:r>
        <w:t>crucial</w:t>
      </w:r>
      <w:r w:rsidRPr="00EC37A3">
        <w:t xml:space="preserve">.     </w:t>
      </w:r>
    </w:p>
    <w:p w:rsidR="00645096" w:rsidRPr="00EC37A3" w:rsidRDefault="00645096" w:rsidP="00645096">
      <w:pPr>
        <w:rPr>
          <w:b/>
        </w:rPr>
      </w:pPr>
      <w:r>
        <w:t xml:space="preserve">(Written by </w:t>
      </w:r>
      <w:proofErr w:type="spellStart"/>
      <w:r>
        <w:t>Ellin</w:t>
      </w:r>
      <w:proofErr w:type="spellEnd"/>
      <w:r>
        <w:t xml:space="preserve"> </w:t>
      </w:r>
      <w:proofErr w:type="spellStart"/>
      <w:r>
        <w:t>Lede</w:t>
      </w:r>
      <w:proofErr w:type="spellEnd"/>
      <w:r>
        <w:t xml:space="preserve"> – Climate Scientist for Environment Centre NT)</w:t>
      </w:r>
    </w:p>
    <w:p w:rsidR="00645096" w:rsidRPr="00EC37A3" w:rsidRDefault="00645096" w:rsidP="00645096">
      <w:pPr>
        <w:rPr>
          <w:b/>
          <w:u w:val="single"/>
        </w:rPr>
      </w:pPr>
      <w:r>
        <w:rPr>
          <w:b/>
          <w:u w:val="single"/>
        </w:rPr>
        <w:t>MITIGATION</w:t>
      </w:r>
    </w:p>
    <w:p w:rsidR="00645096" w:rsidRPr="00EC37A3" w:rsidRDefault="00645096" w:rsidP="00645096">
      <w:pPr>
        <w:pStyle w:val="ListParagraph"/>
        <w:numPr>
          <w:ilvl w:val="0"/>
          <w:numId w:val="19"/>
        </w:numPr>
        <w:spacing w:line="276" w:lineRule="auto"/>
        <w:ind w:left="284"/>
        <w:rPr>
          <w:sz w:val="22"/>
          <w:szCs w:val="22"/>
        </w:rPr>
      </w:pPr>
      <w:r w:rsidRPr="00EC37A3">
        <w:rPr>
          <w:sz w:val="22"/>
          <w:szCs w:val="22"/>
        </w:rPr>
        <w:t>To increase climate resilience, rapid</w:t>
      </w:r>
      <w:r>
        <w:rPr>
          <w:sz w:val="22"/>
          <w:szCs w:val="22"/>
        </w:rPr>
        <w:t>,</w:t>
      </w:r>
      <w:r w:rsidRPr="00EC37A3">
        <w:rPr>
          <w:sz w:val="22"/>
          <w:szCs w:val="22"/>
        </w:rPr>
        <w:t xml:space="preserve"> far-reaching</w:t>
      </w:r>
      <w:r>
        <w:rPr>
          <w:sz w:val="22"/>
          <w:szCs w:val="22"/>
        </w:rPr>
        <w:t>, and deep</w:t>
      </w:r>
      <w:r w:rsidRPr="00EC37A3">
        <w:rPr>
          <w:sz w:val="22"/>
          <w:szCs w:val="22"/>
        </w:rPr>
        <w:t xml:space="preserve"> reductions in greenhouse gas emissions are required (net zero carbon emissions by 2050) </w:t>
      </w:r>
    </w:p>
    <w:p w:rsidR="00645096" w:rsidRDefault="00645096" w:rsidP="00645096">
      <w:pPr>
        <w:pStyle w:val="ListParagraph"/>
        <w:numPr>
          <w:ilvl w:val="0"/>
          <w:numId w:val="20"/>
        </w:numPr>
        <w:spacing w:line="276" w:lineRule="auto"/>
        <w:ind w:left="284"/>
        <w:rPr>
          <w:b/>
          <w:sz w:val="22"/>
          <w:szCs w:val="22"/>
        </w:rPr>
      </w:pPr>
      <w:r w:rsidRPr="00EC37A3">
        <w:rPr>
          <w:sz w:val="22"/>
          <w:szCs w:val="22"/>
        </w:rPr>
        <w:t>There is scientific consensus: greenhouse gas emissions need to decline rapidly to net zero</w:t>
      </w:r>
      <w:r>
        <w:rPr>
          <w:rStyle w:val="FootnoteReference"/>
          <w:sz w:val="22"/>
          <w:szCs w:val="22"/>
        </w:rPr>
        <w:footnoteReference w:id="1"/>
      </w:r>
      <w:r w:rsidRPr="00EC37A3">
        <w:rPr>
          <w:sz w:val="22"/>
          <w:szCs w:val="22"/>
        </w:rPr>
        <w:t>. Net zero</w:t>
      </w:r>
      <w:r>
        <w:rPr>
          <w:sz w:val="22"/>
          <w:szCs w:val="22"/>
        </w:rPr>
        <w:t xml:space="preserve"> emissions is achieved when more greenhouse gases are stored or sequestered than are released to the atmosphere.</w:t>
      </w:r>
      <w:r w:rsidRPr="00EC37A3">
        <w:rPr>
          <w:sz w:val="22"/>
          <w:szCs w:val="22"/>
        </w:rPr>
        <w:t xml:space="preserve"> </w:t>
      </w:r>
    </w:p>
    <w:p w:rsidR="00645096" w:rsidRPr="009935E7" w:rsidRDefault="00645096" w:rsidP="00645096">
      <w:pPr>
        <w:pStyle w:val="ListParagraph"/>
        <w:numPr>
          <w:ilvl w:val="1"/>
          <w:numId w:val="20"/>
        </w:numPr>
        <w:spacing w:line="276" w:lineRule="auto"/>
        <w:rPr>
          <w:b/>
          <w:sz w:val="22"/>
          <w:szCs w:val="22"/>
        </w:rPr>
      </w:pPr>
      <w:r w:rsidRPr="009935E7">
        <w:rPr>
          <w:sz w:val="22"/>
          <w:szCs w:val="22"/>
        </w:rPr>
        <w:t>This is consistent with the Paris Agreement science-based target (ratified by 197 countries, including Australia): Limit global warming to less than 2</w:t>
      </w:r>
      <w:r w:rsidRPr="00630713">
        <w:rPr>
          <w:bCs/>
          <w:noProof/>
          <w:sz w:val="22"/>
          <w:szCs w:val="22"/>
          <w:vertAlign w:val="superscript"/>
        </w:rPr>
        <w:t>o</w:t>
      </w:r>
      <w:r w:rsidRPr="009935E7">
        <w:rPr>
          <w:bCs/>
          <w:noProof/>
          <w:sz w:val="22"/>
          <w:szCs w:val="22"/>
        </w:rPr>
        <w:t>C</w:t>
      </w:r>
      <w:r w:rsidRPr="009935E7">
        <w:rPr>
          <w:sz w:val="22"/>
          <w:szCs w:val="22"/>
        </w:rPr>
        <w:t xml:space="preserve"> – and pursue efforts to limit warming to 1.5</w:t>
      </w:r>
      <w:r w:rsidRPr="009935E7">
        <w:rPr>
          <w:bCs/>
          <w:noProof/>
          <w:sz w:val="22"/>
          <w:szCs w:val="22"/>
          <w:vertAlign w:val="superscript"/>
        </w:rPr>
        <w:t xml:space="preserve"> o</w:t>
      </w:r>
      <w:r w:rsidRPr="009935E7">
        <w:rPr>
          <w:bCs/>
          <w:noProof/>
          <w:sz w:val="22"/>
          <w:szCs w:val="22"/>
        </w:rPr>
        <w:t>C</w:t>
      </w:r>
      <w:r w:rsidRPr="009935E7">
        <w:rPr>
          <w:sz w:val="22"/>
          <w:szCs w:val="22"/>
        </w:rPr>
        <w:t xml:space="preserve"> (above pre-industrial levels)</w:t>
      </w:r>
      <w:r w:rsidRPr="009935E7">
        <w:rPr>
          <w:rStyle w:val="FootnoteReference"/>
          <w:sz w:val="22"/>
          <w:szCs w:val="22"/>
        </w:rPr>
        <w:t xml:space="preserve"> </w:t>
      </w:r>
      <w:r w:rsidRPr="009935E7">
        <w:rPr>
          <w:rStyle w:val="FootnoteReference"/>
          <w:sz w:val="22"/>
          <w:szCs w:val="22"/>
        </w:rPr>
        <w:footnoteReference w:id="2"/>
      </w:r>
      <w:r w:rsidRPr="009935E7">
        <w:rPr>
          <w:sz w:val="22"/>
          <w:szCs w:val="22"/>
        </w:rPr>
        <w:t>. This target was selected as within this threshold, the climate system is likely to remain in a habitable and stable state</w:t>
      </w:r>
    </w:p>
    <w:p w:rsidR="00645096" w:rsidRPr="00CA3674" w:rsidRDefault="00645096" w:rsidP="00645096">
      <w:pPr>
        <w:pStyle w:val="ListParagraph"/>
        <w:numPr>
          <w:ilvl w:val="0"/>
          <w:numId w:val="20"/>
        </w:numPr>
        <w:spacing w:line="276" w:lineRule="auto"/>
        <w:ind w:left="284"/>
        <w:rPr>
          <w:b/>
          <w:sz w:val="22"/>
          <w:szCs w:val="22"/>
        </w:rPr>
      </w:pPr>
      <w:r>
        <w:rPr>
          <w:sz w:val="22"/>
          <w:szCs w:val="22"/>
        </w:rPr>
        <w:t xml:space="preserve">The </w:t>
      </w:r>
      <w:r w:rsidRPr="00CA3674">
        <w:rPr>
          <w:i/>
          <w:sz w:val="22"/>
          <w:szCs w:val="22"/>
        </w:rPr>
        <w:t>IPCC Special Report on Global Warming of 1.5</w:t>
      </w:r>
      <w:r w:rsidRPr="00CA3674">
        <w:rPr>
          <w:bCs/>
          <w:i/>
          <w:noProof/>
          <w:sz w:val="22"/>
          <w:szCs w:val="22"/>
          <w:vertAlign w:val="superscript"/>
        </w:rPr>
        <w:t xml:space="preserve"> o</w:t>
      </w:r>
      <w:r w:rsidRPr="00CA3674">
        <w:rPr>
          <w:bCs/>
          <w:i/>
          <w:noProof/>
          <w:sz w:val="22"/>
          <w:szCs w:val="22"/>
        </w:rPr>
        <w:t>C</w:t>
      </w:r>
      <w:r>
        <w:rPr>
          <w:rStyle w:val="FootnoteReference"/>
          <w:bCs/>
          <w:i/>
          <w:noProof/>
          <w:sz w:val="22"/>
          <w:szCs w:val="22"/>
        </w:rPr>
        <w:footnoteReference w:id="3"/>
      </w:r>
      <w:r>
        <w:rPr>
          <w:bCs/>
          <w:noProof/>
          <w:sz w:val="22"/>
          <w:szCs w:val="22"/>
        </w:rPr>
        <w:t xml:space="preserve">, released on 8 October, 2018 (3 days after the </w:t>
      </w:r>
      <w:r w:rsidRPr="00CA3674">
        <w:rPr>
          <w:bCs/>
          <w:i/>
          <w:noProof/>
          <w:sz w:val="22"/>
          <w:szCs w:val="22"/>
        </w:rPr>
        <w:t>Climate Change Discussion Paper</w:t>
      </w:r>
      <w:r>
        <w:rPr>
          <w:bCs/>
          <w:noProof/>
          <w:sz w:val="22"/>
          <w:szCs w:val="22"/>
        </w:rPr>
        <w:t xml:space="preserve">) determined the feasibility of limiting warming to </w:t>
      </w:r>
      <w:r w:rsidRPr="00EC37A3">
        <w:rPr>
          <w:sz w:val="22"/>
          <w:szCs w:val="22"/>
        </w:rPr>
        <w:t>1.5</w:t>
      </w:r>
      <w:r w:rsidRPr="00CA3674">
        <w:rPr>
          <w:bCs/>
          <w:noProof/>
          <w:sz w:val="22"/>
          <w:szCs w:val="22"/>
          <w:vertAlign w:val="superscript"/>
        </w:rPr>
        <w:t xml:space="preserve"> o</w:t>
      </w:r>
      <w:r w:rsidRPr="00CA3674">
        <w:rPr>
          <w:bCs/>
          <w:noProof/>
          <w:sz w:val="22"/>
          <w:szCs w:val="22"/>
        </w:rPr>
        <w:t>C</w:t>
      </w:r>
      <w:r>
        <w:rPr>
          <w:bCs/>
          <w:noProof/>
          <w:sz w:val="22"/>
          <w:szCs w:val="22"/>
        </w:rPr>
        <w:t xml:space="preserve">. The report synthesised the best available scientific evidence; citing more than 6,000 scientific references. Thousands of expert and government reviewers contributed to the process </w:t>
      </w:r>
    </w:p>
    <w:p w:rsidR="00645096" w:rsidRPr="009935E7" w:rsidRDefault="00645096" w:rsidP="00645096">
      <w:pPr>
        <w:pStyle w:val="ListParagraph"/>
        <w:numPr>
          <w:ilvl w:val="0"/>
          <w:numId w:val="20"/>
        </w:numPr>
        <w:spacing w:line="276" w:lineRule="auto"/>
        <w:ind w:left="284"/>
        <w:rPr>
          <w:b/>
          <w:sz w:val="22"/>
          <w:szCs w:val="22"/>
        </w:rPr>
      </w:pPr>
      <w:r w:rsidRPr="00CA3674">
        <w:rPr>
          <w:sz w:val="22"/>
          <w:szCs w:val="22"/>
        </w:rPr>
        <w:t>This</w:t>
      </w:r>
      <w:r>
        <w:rPr>
          <w:sz w:val="22"/>
          <w:szCs w:val="22"/>
        </w:rPr>
        <w:t xml:space="preserve"> report determined limiting global warming to </w:t>
      </w:r>
      <w:r w:rsidRPr="009935E7">
        <w:rPr>
          <w:sz w:val="22"/>
          <w:szCs w:val="22"/>
        </w:rPr>
        <w:t>1.5</w:t>
      </w:r>
      <w:r w:rsidRPr="009935E7">
        <w:rPr>
          <w:bCs/>
          <w:noProof/>
          <w:sz w:val="22"/>
          <w:szCs w:val="22"/>
          <w:vertAlign w:val="superscript"/>
        </w:rPr>
        <w:t xml:space="preserve"> o</w:t>
      </w:r>
      <w:r w:rsidRPr="009935E7">
        <w:rPr>
          <w:bCs/>
          <w:noProof/>
          <w:sz w:val="22"/>
          <w:szCs w:val="22"/>
        </w:rPr>
        <w:t>C</w:t>
      </w:r>
      <w:r w:rsidRPr="00CA3674">
        <w:rPr>
          <w:sz w:val="22"/>
          <w:szCs w:val="22"/>
        </w:rPr>
        <w:t xml:space="preserve"> </w:t>
      </w:r>
      <w:r>
        <w:rPr>
          <w:sz w:val="22"/>
          <w:szCs w:val="22"/>
        </w:rPr>
        <w:t>would require rapid and far-reaching transitions in land; energy; industry; buildings; transport and cities</w:t>
      </w:r>
    </w:p>
    <w:p w:rsidR="00645096" w:rsidRPr="009935E7" w:rsidRDefault="00645096" w:rsidP="00645096">
      <w:pPr>
        <w:pStyle w:val="ListParagraph"/>
        <w:numPr>
          <w:ilvl w:val="0"/>
          <w:numId w:val="20"/>
        </w:numPr>
        <w:spacing w:line="276" w:lineRule="auto"/>
        <w:ind w:left="284"/>
        <w:rPr>
          <w:b/>
          <w:sz w:val="22"/>
          <w:szCs w:val="22"/>
        </w:rPr>
      </w:pPr>
      <w:r>
        <w:rPr>
          <w:sz w:val="22"/>
          <w:szCs w:val="22"/>
        </w:rPr>
        <w:t xml:space="preserve">Global net human-caused emissions of the carbon dioxide would need to fall by approximately 45% from 2010 levels by 2030, reaching net zero by around 2050  </w:t>
      </w:r>
    </w:p>
    <w:p w:rsidR="00645096" w:rsidRPr="009935E7" w:rsidRDefault="00645096" w:rsidP="00645096">
      <w:pPr>
        <w:pStyle w:val="ListParagraph"/>
        <w:numPr>
          <w:ilvl w:val="0"/>
          <w:numId w:val="20"/>
        </w:numPr>
        <w:spacing w:line="276" w:lineRule="auto"/>
        <w:ind w:left="284"/>
        <w:rPr>
          <w:b/>
          <w:sz w:val="22"/>
          <w:szCs w:val="22"/>
        </w:rPr>
      </w:pPr>
      <w:r>
        <w:rPr>
          <w:sz w:val="22"/>
          <w:szCs w:val="22"/>
        </w:rPr>
        <w:t>This would require wide-sweeping and unprecedented changes in all aspects of society, with clear benefits to people and natural ecosystems</w:t>
      </w:r>
    </w:p>
    <w:p w:rsidR="00645096" w:rsidRDefault="00645096" w:rsidP="00645096">
      <w:pPr>
        <w:pStyle w:val="ListParagraph"/>
        <w:numPr>
          <w:ilvl w:val="0"/>
          <w:numId w:val="20"/>
        </w:numPr>
        <w:spacing w:line="276" w:lineRule="auto"/>
        <w:ind w:left="284"/>
        <w:rPr>
          <w:b/>
          <w:sz w:val="22"/>
          <w:szCs w:val="22"/>
        </w:rPr>
      </w:pPr>
      <w:r w:rsidRPr="00EC37A3">
        <w:rPr>
          <w:sz w:val="22"/>
          <w:szCs w:val="22"/>
        </w:rPr>
        <w:t xml:space="preserve">While </w:t>
      </w:r>
      <w:r>
        <w:rPr>
          <w:sz w:val="22"/>
          <w:szCs w:val="22"/>
        </w:rPr>
        <w:t>extremely challenging and unprecedented in scale, this transition is possible. The technology and expertise to achieve this are available today</w:t>
      </w:r>
    </w:p>
    <w:p w:rsidR="00645096" w:rsidRPr="00EC37A3" w:rsidRDefault="00645096" w:rsidP="00645096">
      <w:pPr>
        <w:pStyle w:val="ListParagraph"/>
        <w:numPr>
          <w:ilvl w:val="0"/>
          <w:numId w:val="20"/>
        </w:numPr>
        <w:spacing w:line="276" w:lineRule="auto"/>
        <w:ind w:left="284"/>
        <w:rPr>
          <w:b/>
          <w:sz w:val="22"/>
          <w:szCs w:val="22"/>
        </w:rPr>
      </w:pPr>
      <w:r>
        <w:rPr>
          <w:sz w:val="22"/>
          <w:szCs w:val="22"/>
        </w:rPr>
        <w:t>However, t</w:t>
      </w:r>
      <w:r w:rsidRPr="00EC37A3">
        <w:rPr>
          <w:sz w:val="22"/>
          <w:szCs w:val="22"/>
        </w:rPr>
        <w:t xml:space="preserve">he longer </w:t>
      </w:r>
      <w:r>
        <w:rPr>
          <w:sz w:val="22"/>
          <w:szCs w:val="22"/>
        </w:rPr>
        <w:t>deep cuts in emissions are</w:t>
      </w:r>
      <w:r w:rsidRPr="00EC37A3">
        <w:rPr>
          <w:sz w:val="22"/>
          <w:szCs w:val="22"/>
        </w:rPr>
        <w:t xml:space="preserve"> delayed</w:t>
      </w:r>
      <w:r>
        <w:rPr>
          <w:sz w:val="22"/>
          <w:szCs w:val="22"/>
        </w:rPr>
        <w:t>,</w:t>
      </w:r>
      <w:r w:rsidRPr="00EC37A3">
        <w:rPr>
          <w:sz w:val="22"/>
          <w:szCs w:val="22"/>
        </w:rPr>
        <w:t xml:space="preserve"> the more costly and difficult it will become, and the higher the </w:t>
      </w:r>
      <w:r>
        <w:rPr>
          <w:sz w:val="22"/>
          <w:szCs w:val="22"/>
        </w:rPr>
        <w:t>subsequent climate risks</w:t>
      </w:r>
    </w:p>
    <w:p w:rsidR="00645096" w:rsidRDefault="00645096" w:rsidP="00645096">
      <w:pPr>
        <w:pStyle w:val="ListParagraph"/>
        <w:numPr>
          <w:ilvl w:val="0"/>
          <w:numId w:val="20"/>
        </w:numPr>
        <w:spacing w:line="276" w:lineRule="auto"/>
        <w:ind w:left="284"/>
        <w:rPr>
          <w:b/>
          <w:sz w:val="22"/>
          <w:szCs w:val="22"/>
        </w:rPr>
      </w:pPr>
      <w:r w:rsidRPr="00EC37A3">
        <w:rPr>
          <w:sz w:val="22"/>
          <w:szCs w:val="22"/>
        </w:rPr>
        <w:lastRenderedPageBreak/>
        <w:t xml:space="preserve">Unless rapid and deep emissions reductions are </w:t>
      </w:r>
      <w:proofErr w:type="spellStart"/>
      <w:r w:rsidRPr="00EC37A3">
        <w:rPr>
          <w:sz w:val="22"/>
          <w:szCs w:val="22"/>
        </w:rPr>
        <w:t>realised</w:t>
      </w:r>
      <w:proofErr w:type="spellEnd"/>
      <w:r w:rsidRPr="00EC37A3">
        <w:rPr>
          <w:sz w:val="22"/>
          <w:szCs w:val="22"/>
        </w:rPr>
        <w:t xml:space="preserve">, the </w:t>
      </w:r>
      <w:r w:rsidRPr="009935E7">
        <w:rPr>
          <w:sz w:val="22"/>
          <w:szCs w:val="22"/>
        </w:rPr>
        <w:t>1.5</w:t>
      </w:r>
      <w:r w:rsidRPr="009935E7">
        <w:rPr>
          <w:bCs/>
          <w:noProof/>
          <w:sz w:val="22"/>
          <w:szCs w:val="22"/>
          <w:vertAlign w:val="superscript"/>
        </w:rPr>
        <w:t xml:space="preserve"> o</w:t>
      </w:r>
      <w:r w:rsidRPr="009935E7">
        <w:rPr>
          <w:bCs/>
          <w:noProof/>
          <w:sz w:val="22"/>
          <w:szCs w:val="22"/>
        </w:rPr>
        <w:t>C</w:t>
      </w:r>
      <w:r w:rsidRPr="00CA3674">
        <w:rPr>
          <w:sz w:val="22"/>
          <w:szCs w:val="22"/>
        </w:rPr>
        <w:t xml:space="preserve"> </w:t>
      </w:r>
      <w:r w:rsidRPr="00EC37A3">
        <w:rPr>
          <w:sz w:val="22"/>
          <w:szCs w:val="22"/>
        </w:rPr>
        <w:t xml:space="preserve">carbon budget threshold could be passed in as little as 15 years </w:t>
      </w:r>
    </w:p>
    <w:p w:rsidR="00645096" w:rsidRPr="00322776" w:rsidRDefault="00645096" w:rsidP="00645096">
      <w:pPr>
        <w:pStyle w:val="ListParagraph"/>
        <w:numPr>
          <w:ilvl w:val="0"/>
          <w:numId w:val="20"/>
        </w:numPr>
        <w:spacing w:line="276" w:lineRule="auto"/>
        <w:ind w:left="284"/>
        <w:rPr>
          <w:b/>
          <w:sz w:val="22"/>
          <w:szCs w:val="22"/>
        </w:rPr>
      </w:pPr>
      <w:r w:rsidRPr="00322776">
        <w:rPr>
          <w:sz w:val="22"/>
          <w:szCs w:val="22"/>
        </w:rPr>
        <w:t>Warming at 1.5</w:t>
      </w:r>
      <w:r w:rsidRPr="00322776">
        <w:rPr>
          <w:bCs/>
          <w:noProof/>
          <w:sz w:val="22"/>
          <w:szCs w:val="22"/>
          <w:vertAlign w:val="superscript"/>
        </w:rPr>
        <w:t xml:space="preserve"> o</w:t>
      </w:r>
      <w:r w:rsidRPr="00322776">
        <w:rPr>
          <w:bCs/>
          <w:noProof/>
          <w:sz w:val="22"/>
          <w:szCs w:val="22"/>
        </w:rPr>
        <w:t>C</w:t>
      </w:r>
      <w:r w:rsidRPr="00322776">
        <w:rPr>
          <w:sz w:val="22"/>
          <w:szCs w:val="22"/>
        </w:rPr>
        <w:t xml:space="preserve"> is not considered ‘safe’ for most nations; communities; ecosystems; and sectors and poses significant risks to natural and human systems (when compared to current global warming of 1</w:t>
      </w:r>
      <w:r w:rsidRPr="00322776">
        <w:rPr>
          <w:bCs/>
          <w:noProof/>
          <w:sz w:val="22"/>
          <w:szCs w:val="22"/>
          <w:vertAlign w:val="superscript"/>
        </w:rPr>
        <w:t>o</w:t>
      </w:r>
      <w:r w:rsidRPr="00322776">
        <w:rPr>
          <w:bCs/>
          <w:noProof/>
          <w:sz w:val="22"/>
          <w:szCs w:val="22"/>
        </w:rPr>
        <w:t>C</w:t>
      </w:r>
      <w:r w:rsidRPr="00322776">
        <w:rPr>
          <w:sz w:val="22"/>
          <w:szCs w:val="22"/>
        </w:rPr>
        <w:t>)</w:t>
      </w:r>
    </w:p>
    <w:p w:rsidR="00645096" w:rsidRPr="00EC37A3" w:rsidRDefault="00645096" w:rsidP="00645096">
      <w:pPr>
        <w:ind w:left="360"/>
      </w:pPr>
    </w:p>
    <w:p w:rsidR="00645096" w:rsidRPr="00C271D1" w:rsidRDefault="00645096" w:rsidP="00645096">
      <w:pPr>
        <w:rPr>
          <w:b/>
        </w:rPr>
      </w:pPr>
      <w:r w:rsidRPr="00EC37A3">
        <w:rPr>
          <w:b/>
        </w:rPr>
        <w:t xml:space="preserve">Recommendation: </w:t>
      </w:r>
      <w:r>
        <w:rPr>
          <w:b/>
        </w:rPr>
        <w:t xml:space="preserve">Legislate a science-based emissions reduction target of net zero by 2050. Include interim targets and sector-specific targets (with the recognition that some sectors are more difficult to decarbonise than others) </w:t>
      </w:r>
    </w:p>
    <w:p w:rsidR="00645096" w:rsidRPr="00EC37A3" w:rsidRDefault="00645096" w:rsidP="00645096">
      <w:pPr>
        <w:pStyle w:val="ListParagraph"/>
        <w:numPr>
          <w:ilvl w:val="0"/>
          <w:numId w:val="19"/>
        </w:numPr>
        <w:spacing w:line="276" w:lineRule="auto"/>
        <w:rPr>
          <w:sz w:val="22"/>
          <w:szCs w:val="22"/>
        </w:rPr>
      </w:pPr>
      <w:r w:rsidRPr="00EC37A3">
        <w:rPr>
          <w:sz w:val="22"/>
          <w:szCs w:val="22"/>
        </w:rPr>
        <w:t xml:space="preserve">The Northern Territory </w:t>
      </w:r>
      <w:r>
        <w:rPr>
          <w:sz w:val="22"/>
          <w:szCs w:val="22"/>
        </w:rPr>
        <w:t>must</w:t>
      </w:r>
      <w:r w:rsidRPr="00EC37A3">
        <w:rPr>
          <w:sz w:val="22"/>
          <w:szCs w:val="22"/>
        </w:rPr>
        <w:t xml:space="preserve"> transition to a low-carbon economy (and quickly)</w:t>
      </w:r>
    </w:p>
    <w:p w:rsidR="00645096" w:rsidRPr="00EC37A3" w:rsidRDefault="00645096" w:rsidP="00645096">
      <w:pPr>
        <w:pStyle w:val="ListParagraph"/>
        <w:numPr>
          <w:ilvl w:val="1"/>
          <w:numId w:val="19"/>
        </w:numPr>
        <w:spacing w:line="276" w:lineRule="auto"/>
        <w:rPr>
          <w:sz w:val="22"/>
          <w:szCs w:val="22"/>
        </w:rPr>
      </w:pPr>
      <w:r w:rsidRPr="00EC37A3">
        <w:rPr>
          <w:sz w:val="22"/>
          <w:szCs w:val="22"/>
        </w:rPr>
        <w:t xml:space="preserve">Transitions required in energy; land use; industry; buildings; transport; and cities </w:t>
      </w:r>
    </w:p>
    <w:p w:rsidR="00645096" w:rsidRPr="00F16435" w:rsidRDefault="00645096" w:rsidP="00645096">
      <w:pPr>
        <w:pStyle w:val="ListParagraph"/>
        <w:numPr>
          <w:ilvl w:val="0"/>
          <w:numId w:val="21"/>
        </w:numPr>
        <w:spacing w:line="276" w:lineRule="auto"/>
        <w:rPr>
          <w:b/>
          <w:sz w:val="22"/>
          <w:szCs w:val="22"/>
        </w:rPr>
      </w:pPr>
      <w:r>
        <w:rPr>
          <w:sz w:val="22"/>
          <w:szCs w:val="22"/>
        </w:rPr>
        <w:t xml:space="preserve">To stay within </w:t>
      </w:r>
      <w:r w:rsidRPr="00322776">
        <w:rPr>
          <w:sz w:val="22"/>
          <w:szCs w:val="22"/>
        </w:rPr>
        <w:t>1.5</w:t>
      </w:r>
      <w:r w:rsidRPr="00322776">
        <w:rPr>
          <w:bCs/>
          <w:noProof/>
          <w:sz w:val="22"/>
          <w:szCs w:val="22"/>
          <w:vertAlign w:val="superscript"/>
        </w:rPr>
        <w:t xml:space="preserve"> o</w:t>
      </w:r>
      <w:r w:rsidRPr="00322776">
        <w:rPr>
          <w:bCs/>
          <w:noProof/>
          <w:sz w:val="22"/>
          <w:szCs w:val="22"/>
        </w:rPr>
        <w:t>C</w:t>
      </w:r>
      <w:r>
        <w:rPr>
          <w:bCs/>
          <w:noProof/>
          <w:sz w:val="22"/>
          <w:szCs w:val="22"/>
        </w:rPr>
        <w:t xml:space="preserve">, all governments need to do their fair share </w:t>
      </w:r>
    </w:p>
    <w:p w:rsidR="00645096" w:rsidRPr="00F16435" w:rsidRDefault="00645096" w:rsidP="00645096">
      <w:pPr>
        <w:pStyle w:val="ListParagraph"/>
        <w:numPr>
          <w:ilvl w:val="0"/>
          <w:numId w:val="21"/>
        </w:numPr>
        <w:spacing w:line="276" w:lineRule="auto"/>
        <w:rPr>
          <w:b/>
          <w:sz w:val="22"/>
          <w:szCs w:val="22"/>
        </w:rPr>
      </w:pPr>
      <w:r>
        <w:rPr>
          <w:sz w:val="22"/>
          <w:szCs w:val="22"/>
        </w:rPr>
        <w:t>The NTG Discussion Paper states the NT</w:t>
      </w:r>
      <w:r w:rsidRPr="00EC37A3">
        <w:rPr>
          <w:sz w:val="22"/>
          <w:szCs w:val="22"/>
        </w:rPr>
        <w:t xml:space="preserve"> needs to play its role in international and national efforts to reduce emissions and adapt to the impacts of our changing climate</w:t>
      </w:r>
      <w:r>
        <w:rPr>
          <w:rStyle w:val="FootnoteReference"/>
          <w:sz w:val="22"/>
          <w:szCs w:val="22"/>
        </w:rPr>
        <w:footnoteReference w:id="4"/>
      </w:r>
    </w:p>
    <w:p w:rsidR="00645096" w:rsidRDefault="00645096" w:rsidP="00645096">
      <w:pPr>
        <w:pStyle w:val="ListParagraph"/>
        <w:numPr>
          <w:ilvl w:val="1"/>
          <w:numId w:val="21"/>
        </w:numPr>
        <w:spacing w:line="276" w:lineRule="auto"/>
        <w:ind w:left="1134"/>
        <w:rPr>
          <w:b/>
          <w:sz w:val="22"/>
          <w:szCs w:val="22"/>
        </w:rPr>
      </w:pPr>
      <w:r>
        <w:rPr>
          <w:sz w:val="22"/>
          <w:szCs w:val="22"/>
        </w:rPr>
        <w:t xml:space="preserve">Australia is a developed nation, and as a developed nation, we have the capacity to commit to deep emissions reductions (and </w:t>
      </w:r>
      <w:proofErr w:type="spellStart"/>
      <w:r>
        <w:rPr>
          <w:sz w:val="22"/>
          <w:szCs w:val="22"/>
        </w:rPr>
        <w:t>realise</w:t>
      </w:r>
      <w:proofErr w:type="spellEnd"/>
      <w:r>
        <w:rPr>
          <w:sz w:val="22"/>
          <w:szCs w:val="22"/>
        </w:rPr>
        <w:t xml:space="preserve"> the benefits)</w:t>
      </w:r>
      <w:r>
        <w:rPr>
          <w:rStyle w:val="FootnoteReference"/>
          <w:sz w:val="22"/>
          <w:szCs w:val="22"/>
        </w:rPr>
        <w:footnoteReference w:id="5"/>
      </w:r>
    </w:p>
    <w:p w:rsidR="00645096" w:rsidRDefault="00645096" w:rsidP="00645096">
      <w:pPr>
        <w:pStyle w:val="ListParagraph"/>
        <w:numPr>
          <w:ilvl w:val="1"/>
          <w:numId w:val="21"/>
        </w:numPr>
        <w:spacing w:line="276" w:lineRule="auto"/>
        <w:ind w:left="1134"/>
        <w:rPr>
          <w:b/>
          <w:sz w:val="22"/>
          <w:szCs w:val="22"/>
        </w:rPr>
      </w:pPr>
      <w:r>
        <w:rPr>
          <w:sz w:val="22"/>
          <w:szCs w:val="22"/>
        </w:rPr>
        <w:t>This will require reaching net zero emissions by 2050</w:t>
      </w:r>
      <w:r>
        <w:rPr>
          <w:rStyle w:val="FootnoteReference"/>
          <w:sz w:val="22"/>
          <w:szCs w:val="22"/>
        </w:rPr>
        <w:footnoteReference w:id="6"/>
      </w:r>
      <w:r>
        <w:rPr>
          <w:sz w:val="22"/>
          <w:szCs w:val="22"/>
        </w:rPr>
        <w:t xml:space="preserve"> </w:t>
      </w:r>
    </w:p>
    <w:p w:rsidR="00645096" w:rsidRPr="00967D93" w:rsidRDefault="00645096" w:rsidP="00645096">
      <w:pPr>
        <w:pStyle w:val="ListParagraph"/>
        <w:numPr>
          <w:ilvl w:val="0"/>
          <w:numId w:val="21"/>
        </w:numPr>
        <w:spacing w:line="276" w:lineRule="auto"/>
        <w:rPr>
          <w:b/>
          <w:sz w:val="22"/>
          <w:szCs w:val="22"/>
        </w:rPr>
      </w:pPr>
      <w:r>
        <w:rPr>
          <w:sz w:val="22"/>
          <w:szCs w:val="22"/>
        </w:rPr>
        <w:t>There are significant risks posed for emissions-intensive resource-based economies</w:t>
      </w:r>
      <w:r w:rsidRPr="0091214E">
        <w:rPr>
          <w:sz w:val="22"/>
          <w:szCs w:val="22"/>
        </w:rPr>
        <w:t xml:space="preserve"> as the global economy </w:t>
      </w:r>
      <w:proofErr w:type="spellStart"/>
      <w:r w:rsidRPr="0091214E">
        <w:rPr>
          <w:sz w:val="22"/>
          <w:szCs w:val="22"/>
        </w:rPr>
        <w:t>decarbonises</w:t>
      </w:r>
      <w:proofErr w:type="spellEnd"/>
      <w:r w:rsidRPr="0091214E">
        <w:rPr>
          <w:sz w:val="22"/>
          <w:szCs w:val="22"/>
        </w:rPr>
        <w:t xml:space="preserve"> (by 2050, all fossil fuels – including natural gas – must be phased out)</w:t>
      </w:r>
      <w:r>
        <w:rPr>
          <w:rStyle w:val="FootnoteReference"/>
          <w:sz w:val="22"/>
          <w:szCs w:val="22"/>
        </w:rPr>
        <w:footnoteReference w:id="7"/>
      </w:r>
      <w:r w:rsidRPr="0091214E">
        <w:rPr>
          <w:sz w:val="22"/>
          <w:szCs w:val="22"/>
        </w:rPr>
        <w:t>; the risk of locking-in emissions from related infrastructure</w:t>
      </w:r>
      <w:r>
        <w:rPr>
          <w:rStyle w:val="FootnoteReference"/>
          <w:sz w:val="22"/>
          <w:szCs w:val="22"/>
        </w:rPr>
        <w:footnoteReference w:id="8"/>
      </w:r>
      <w:r>
        <w:rPr>
          <w:sz w:val="22"/>
          <w:szCs w:val="22"/>
        </w:rPr>
        <w:t xml:space="preserve"> </w:t>
      </w:r>
    </w:p>
    <w:p w:rsidR="00645096" w:rsidRPr="00D859E6" w:rsidRDefault="00645096" w:rsidP="00645096">
      <w:pPr>
        <w:pStyle w:val="ListParagraph"/>
        <w:numPr>
          <w:ilvl w:val="0"/>
          <w:numId w:val="21"/>
        </w:numPr>
        <w:spacing w:line="276" w:lineRule="auto"/>
        <w:rPr>
          <w:b/>
          <w:sz w:val="22"/>
          <w:szCs w:val="22"/>
        </w:rPr>
      </w:pPr>
      <w:r>
        <w:rPr>
          <w:sz w:val="22"/>
          <w:szCs w:val="22"/>
        </w:rPr>
        <w:t>Other parts of Australia are doing their fair share. Victoria has legislated a net zero emissions target by 2050 (with five yearly interim targets to meet the long-term target)</w:t>
      </w:r>
      <w:r>
        <w:rPr>
          <w:rStyle w:val="FootnoteReference"/>
          <w:sz w:val="22"/>
          <w:szCs w:val="22"/>
        </w:rPr>
        <w:footnoteReference w:id="9"/>
      </w:r>
      <w:r>
        <w:rPr>
          <w:sz w:val="22"/>
          <w:szCs w:val="22"/>
        </w:rPr>
        <w:t>; NSW has committed to net zero by 2050</w:t>
      </w:r>
      <w:r>
        <w:rPr>
          <w:rStyle w:val="FootnoteReference"/>
          <w:sz w:val="22"/>
          <w:szCs w:val="22"/>
        </w:rPr>
        <w:footnoteReference w:id="10"/>
      </w:r>
      <w:r>
        <w:rPr>
          <w:sz w:val="22"/>
          <w:szCs w:val="22"/>
        </w:rPr>
        <w:t>; Tasmania achieved net zero emissions in 2018</w:t>
      </w:r>
      <w:r>
        <w:rPr>
          <w:rStyle w:val="FootnoteReference"/>
          <w:sz w:val="22"/>
          <w:szCs w:val="22"/>
        </w:rPr>
        <w:footnoteReference w:id="11"/>
      </w:r>
      <w:r>
        <w:rPr>
          <w:sz w:val="22"/>
          <w:szCs w:val="22"/>
        </w:rPr>
        <w:t>; South Australia has a net zero emissions by 2050 target and a legislated climate change framework</w:t>
      </w:r>
      <w:r>
        <w:rPr>
          <w:rStyle w:val="FootnoteReference"/>
          <w:sz w:val="22"/>
          <w:szCs w:val="22"/>
        </w:rPr>
        <w:footnoteReference w:id="12"/>
      </w:r>
      <w:r>
        <w:rPr>
          <w:sz w:val="22"/>
          <w:szCs w:val="22"/>
        </w:rPr>
        <w:t>; Queensland has committed to net zero by 2050</w:t>
      </w:r>
      <w:r>
        <w:rPr>
          <w:rStyle w:val="FootnoteReference"/>
          <w:sz w:val="22"/>
          <w:szCs w:val="22"/>
        </w:rPr>
        <w:footnoteReference w:id="13"/>
      </w:r>
      <w:r>
        <w:rPr>
          <w:sz w:val="22"/>
          <w:szCs w:val="22"/>
        </w:rPr>
        <w:t>; and the ACT recently revised their net zero emissions target from 2050 to 2045</w:t>
      </w:r>
      <w:r>
        <w:rPr>
          <w:rStyle w:val="FootnoteReference"/>
          <w:sz w:val="22"/>
          <w:szCs w:val="22"/>
        </w:rPr>
        <w:footnoteReference w:id="14"/>
      </w:r>
      <w:r w:rsidRPr="00D859E6">
        <w:rPr>
          <w:sz w:val="22"/>
          <w:szCs w:val="22"/>
        </w:rPr>
        <w:t xml:space="preserve"> </w:t>
      </w:r>
    </w:p>
    <w:p w:rsidR="00645096" w:rsidRPr="006B0CF9" w:rsidRDefault="00645096" w:rsidP="00645096">
      <w:pPr>
        <w:pStyle w:val="ListParagraph"/>
        <w:numPr>
          <w:ilvl w:val="0"/>
          <w:numId w:val="21"/>
        </w:numPr>
        <w:spacing w:line="276" w:lineRule="auto"/>
        <w:rPr>
          <w:b/>
          <w:sz w:val="22"/>
          <w:szCs w:val="22"/>
        </w:rPr>
      </w:pPr>
      <w:r>
        <w:rPr>
          <w:sz w:val="22"/>
          <w:szCs w:val="22"/>
        </w:rPr>
        <w:t xml:space="preserve">There are significant economic opportunities associated with </w:t>
      </w:r>
      <w:proofErr w:type="spellStart"/>
      <w:r>
        <w:rPr>
          <w:sz w:val="22"/>
          <w:szCs w:val="22"/>
        </w:rPr>
        <w:t>decarbonisation</w:t>
      </w:r>
      <w:proofErr w:type="spellEnd"/>
    </w:p>
    <w:p w:rsidR="00645096" w:rsidRDefault="00645096" w:rsidP="00645096">
      <w:pPr>
        <w:pStyle w:val="ListParagraph"/>
        <w:numPr>
          <w:ilvl w:val="1"/>
          <w:numId w:val="21"/>
        </w:numPr>
        <w:spacing w:line="276" w:lineRule="auto"/>
        <w:ind w:left="1134"/>
        <w:rPr>
          <w:b/>
          <w:sz w:val="22"/>
          <w:szCs w:val="22"/>
        </w:rPr>
      </w:pPr>
      <w:r w:rsidRPr="00EC37A3">
        <w:rPr>
          <w:sz w:val="22"/>
          <w:szCs w:val="22"/>
        </w:rPr>
        <w:t>In 201</w:t>
      </w:r>
      <w:r>
        <w:rPr>
          <w:sz w:val="22"/>
          <w:szCs w:val="22"/>
        </w:rPr>
        <w:t>8</w:t>
      </w:r>
      <w:r w:rsidRPr="00EC37A3">
        <w:rPr>
          <w:sz w:val="22"/>
          <w:szCs w:val="22"/>
        </w:rPr>
        <w:t xml:space="preserve">, the Global Commission on the Economy and Climate </w:t>
      </w:r>
      <w:r>
        <w:rPr>
          <w:sz w:val="22"/>
          <w:szCs w:val="22"/>
        </w:rPr>
        <w:t>found that bold climate</w:t>
      </w:r>
      <w:r w:rsidRPr="00EC37A3">
        <w:rPr>
          <w:sz w:val="22"/>
          <w:szCs w:val="22"/>
        </w:rPr>
        <w:t xml:space="preserve"> action could yield a direct economic gain of USD26 trillion through to 2030 compared with business as usual. This is likely to be a conservative estimate</w:t>
      </w:r>
      <w:r>
        <w:rPr>
          <w:rStyle w:val="FootnoteReference"/>
          <w:sz w:val="22"/>
          <w:szCs w:val="22"/>
        </w:rPr>
        <w:footnoteReference w:id="15"/>
      </w:r>
    </w:p>
    <w:p w:rsidR="00645096" w:rsidRDefault="00645096" w:rsidP="00645096">
      <w:pPr>
        <w:pStyle w:val="ListParagraph"/>
        <w:numPr>
          <w:ilvl w:val="1"/>
          <w:numId w:val="21"/>
        </w:numPr>
        <w:spacing w:line="276" w:lineRule="auto"/>
        <w:ind w:left="1134"/>
        <w:rPr>
          <w:b/>
          <w:sz w:val="22"/>
          <w:szCs w:val="22"/>
        </w:rPr>
      </w:pPr>
      <w:r>
        <w:rPr>
          <w:sz w:val="22"/>
          <w:szCs w:val="22"/>
        </w:rPr>
        <w:t>With a continued sharp decline in the cost of renewable energy generation and rapid advancements in low-carbon technology, transitioning to a low-carbon economy now makes economic sense</w:t>
      </w:r>
      <w:r>
        <w:rPr>
          <w:rStyle w:val="FootnoteReference"/>
          <w:sz w:val="22"/>
          <w:szCs w:val="22"/>
        </w:rPr>
        <w:footnoteReference w:id="16"/>
      </w:r>
      <w:r>
        <w:rPr>
          <w:sz w:val="22"/>
          <w:szCs w:val="22"/>
        </w:rPr>
        <w:t xml:space="preserve">  </w:t>
      </w:r>
    </w:p>
    <w:p w:rsidR="00645096" w:rsidRPr="00EC37A3" w:rsidRDefault="00645096" w:rsidP="00645096">
      <w:pPr>
        <w:pStyle w:val="ListParagraph"/>
        <w:numPr>
          <w:ilvl w:val="1"/>
          <w:numId w:val="21"/>
        </w:numPr>
        <w:spacing w:line="276" w:lineRule="auto"/>
        <w:ind w:left="1134"/>
        <w:rPr>
          <w:b/>
          <w:sz w:val="22"/>
          <w:szCs w:val="22"/>
        </w:rPr>
      </w:pPr>
      <w:r>
        <w:rPr>
          <w:sz w:val="22"/>
          <w:szCs w:val="22"/>
        </w:rPr>
        <w:lastRenderedPageBreak/>
        <w:t>The economic costs of not acting are extremely high. For example, climate change will lead to more extreme weather events</w:t>
      </w:r>
      <w:r>
        <w:rPr>
          <w:rStyle w:val="FootnoteReference"/>
          <w:sz w:val="22"/>
          <w:szCs w:val="22"/>
        </w:rPr>
        <w:footnoteReference w:id="17"/>
      </w:r>
      <w:r>
        <w:rPr>
          <w:sz w:val="22"/>
          <w:szCs w:val="22"/>
        </w:rPr>
        <w:t>. The estimated cost of extreme weather events in the NT was $1.3 billion in 2017 (not including heat waves or other climate events)</w:t>
      </w:r>
      <w:r>
        <w:rPr>
          <w:rStyle w:val="FootnoteReference"/>
          <w:sz w:val="22"/>
          <w:szCs w:val="22"/>
        </w:rPr>
        <w:footnoteReference w:id="18"/>
      </w:r>
      <w:r>
        <w:rPr>
          <w:sz w:val="22"/>
          <w:szCs w:val="22"/>
        </w:rPr>
        <w:t xml:space="preserve">  </w:t>
      </w:r>
    </w:p>
    <w:p w:rsidR="00645096" w:rsidRPr="00EC37A3" w:rsidRDefault="00645096" w:rsidP="00645096">
      <w:pPr>
        <w:pStyle w:val="ListParagraph"/>
        <w:numPr>
          <w:ilvl w:val="0"/>
          <w:numId w:val="21"/>
        </w:numPr>
        <w:spacing w:line="276" w:lineRule="auto"/>
        <w:rPr>
          <w:b/>
          <w:sz w:val="22"/>
          <w:szCs w:val="22"/>
        </w:rPr>
      </w:pPr>
      <w:r w:rsidRPr="00EC37A3">
        <w:rPr>
          <w:sz w:val="22"/>
          <w:szCs w:val="22"/>
        </w:rPr>
        <w:t>The next 2-3 years is a critical window: when investment and policy decisions will be made that will shape the next 10-15 years</w:t>
      </w:r>
      <w:r>
        <w:rPr>
          <w:sz w:val="22"/>
          <w:szCs w:val="22"/>
        </w:rPr>
        <w:t xml:space="preserve"> and potentially lock-in high emissions trajectories</w:t>
      </w:r>
      <w:r>
        <w:rPr>
          <w:rStyle w:val="FootnoteReference"/>
          <w:sz w:val="22"/>
          <w:szCs w:val="22"/>
        </w:rPr>
        <w:footnoteReference w:id="19"/>
      </w:r>
      <w:r>
        <w:rPr>
          <w:sz w:val="22"/>
          <w:szCs w:val="22"/>
        </w:rPr>
        <w:t xml:space="preserve"> </w:t>
      </w:r>
      <w:r w:rsidRPr="00EC37A3">
        <w:rPr>
          <w:sz w:val="22"/>
          <w:szCs w:val="22"/>
        </w:rPr>
        <w:t xml:space="preserve">  </w:t>
      </w:r>
    </w:p>
    <w:p w:rsidR="00645096" w:rsidRPr="00EC37A3" w:rsidRDefault="00645096" w:rsidP="00645096"/>
    <w:p w:rsidR="00645096" w:rsidRPr="00712DB2" w:rsidRDefault="00645096" w:rsidP="00645096">
      <w:pPr>
        <w:rPr>
          <w:b/>
        </w:rPr>
      </w:pPr>
      <w:r w:rsidRPr="00EC37A3">
        <w:rPr>
          <w:b/>
        </w:rPr>
        <w:t xml:space="preserve">Recommendation: </w:t>
      </w:r>
      <w:r>
        <w:rPr>
          <w:b/>
        </w:rPr>
        <w:t xml:space="preserve">Commit to decarbonising the economy, so climate risk can be mitigated and the co-benefits and financial opportunities associated with a low-carbon transition can be realised </w:t>
      </w:r>
    </w:p>
    <w:p w:rsidR="00645096" w:rsidRDefault="00645096" w:rsidP="00645096">
      <w:pPr>
        <w:spacing w:line="240" w:lineRule="auto"/>
        <w:rPr>
          <w:b/>
          <w:u w:val="single"/>
        </w:rPr>
      </w:pPr>
      <w:r>
        <w:rPr>
          <w:b/>
          <w:u w:val="single"/>
        </w:rPr>
        <w:t>ADAPTATION</w:t>
      </w:r>
    </w:p>
    <w:p w:rsidR="00645096" w:rsidRPr="0055399A" w:rsidRDefault="00645096" w:rsidP="00645096">
      <w:pPr>
        <w:spacing w:line="240" w:lineRule="auto"/>
        <w:rPr>
          <w:b/>
        </w:rPr>
      </w:pPr>
    </w:p>
    <w:p w:rsidR="00645096" w:rsidRPr="00EC37A3" w:rsidRDefault="00645096" w:rsidP="00645096">
      <w:pPr>
        <w:pStyle w:val="ListParagraph"/>
        <w:numPr>
          <w:ilvl w:val="0"/>
          <w:numId w:val="19"/>
        </w:numPr>
        <w:spacing w:line="276" w:lineRule="auto"/>
        <w:ind w:left="426"/>
        <w:rPr>
          <w:sz w:val="22"/>
          <w:szCs w:val="22"/>
        </w:rPr>
      </w:pPr>
      <w:r w:rsidRPr="00EC37A3">
        <w:rPr>
          <w:sz w:val="22"/>
          <w:szCs w:val="22"/>
        </w:rPr>
        <w:t xml:space="preserve">To adapt to climate change, it is crucial </w:t>
      </w:r>
      <w:r>
        <w:rPr>
          <w:sz w:val="22"/>
          <w:szCs w:val="22"/>
        </w:rPr>
        <w:t xml:space="preserve">climate change risks are determined (Northern Territory-specific) and a comprehensive vulnerability assessment and adaptation plan is developed </w:t>
      </w:r>
    </w:p>
    <w:p w:rsidR="00645096" w:rsidRDefault="00645096" w:rsidP="00645096">
      <w:pPr>
        <w:pStyle w:val="ListParagraph"/>
        <w:numPr>
          <w:ilvl w:val="0"/>
          <w:numId w:val="22"/>
        </w:numPr>
        <w:spacing w:line="276" w:lineRule="auto"/>
        <w:ind w:left="426"/>
        <w:rPr>
          <w:b/>
          <w:sz w:val="22"/>
          <w:szCs w:val="22"/>
        </w:rPr>
      </w:pPr>
      <w:r>
        <w:rPr>
          <w:sz w:val="22"/>
          <w:szCs w:val="22"/>
        </w:rPr>
        <w:t xml:space="preserve">Risks from climate change arise from the interaction between a </w:t>
      </w:r>
      <w:r w:rsidRPr="00C95831">
        <w:rPr>
          <w:i/>
          <w:sz w:val="22"/>
          <w:szCs w:val="22"/>
        </w:rPr>
        <w:t>hazard</w:t>
      </w:r>
      <w:r>
        <w:rPr>
          <w:sz w:val="22"/>
          <w:szCs w:val="22"/>
        </w:rPr>
        <w:t xml:space="preserve"> (triggered by an event or trend related to climate change), </w:t>
      </w:r>
      <w:r w:rsidRPr="00C95831">
        <w:rPr>
          <w:i/>
          <w:sz w:val="22"/>
          <w:szCs w:val="22"/>
        </w:rPr>
        <w:t>vulnerability</w:t>
      </w:r>
      <w:r>
        <w:rPr>
          <w:sz w:val="22"/>
          <w:szCs w:val="22"/>
        </w:rPr>
        <w:t xml:space="preserve"> (susceptibility to harm) and </w:t>
      </w:r>
      <w:r w:rsidRPr="00C95831">
        <w:rPr>
          <w:i/>
          <w:sz w:val="22"/>
          <w:szCs w:val="22"/>
        </w:rPr>
        <w:t>exposure</w:t>
      </w:r>
      <w:r>
        <w:rPr>
          <w:sz w:val="22"/>
          <w:szCs w:val="22"/>
        </w:rPr>
        <w:t xml:space="preserve"> (people, assets or ecosystems at risk)</w:t>
      </w:r>
      <w:r>
        <w:rPr>
          <w:rStyle w:val="FootnoteReference"/>
          <w:sz w:val="22"/>
          <w:szCs w:val="22"/>
        </w:rPr>
        <w:footnoteReference w:id="20"/>
      </w:r>
      <w:r>
        <w:rPr>
          <w:sz w:val="22"/>
          <w:szCs w:val="22"/>
        </w:rPr>
        <w:t>. Climate risks have not been extensively determined for the NT</w:t>
      </w:r>
    </w:p>
    <w:p w:rsidR="00645096" w:rsidRDefault="00645096" w:rsidP="00645096">
      <w:pPr>
        <w:pStyle w:val="ListParagraph"/>
        <w:numPr>
          <w:ilvl w:val="0"/>
          <w:numId w:val="22"/>
        </w:numPr>
        <w:spacing w:line="276" w:lineRule="auto"/>
        <w:ind w:left="426"/>
        <w:rPr>
          <w:b/>
          <w:sz w:val="22"/>
          <w:szCs w:val="22"/>
        </w:rPr>
      </w:pPr>
      <w:r>
        <w:rPr>
          <w:sz w:val="22"/>
          <w:szCs w:val="22"/>
        </w:rPr>
        <w:t xml:space="preserve">The severity of the climate change risks posed to </w:t>
      </w:r>
      <w:proofErr w:type="spellStart"/>
      <w:r>
        <w:rPr>
          <w:sz w:val="22"/>
          <w:szCs w:val="22"/>
        </w:rPr>
        <w:t>Territorians</w:t>
      </w:r>
      <w:proofErr w:type="spellEnd"/>
      <w:r>
        <w:rPr>
          <w:sz w:val="22"/>
          <w:szCs w:val="22"/>
        </w:rPr>
        <w:t xml:space="preserve"> are not properly taken into account </w:t>
      </w:r>
    </w:p>
    <w:p w:rsidR="00645096" w:rsidRPr="00E50BEF" w:rsidRDefault="00645096" w:rsidP="00645096">
      <w:pPr>
        <w:pStyle w:val="ListParagraph"/>
        <w:numPr>
          <w:ilvl w:val="1"/>
          <w:numId w:val="20"/>
        </w:numPr>
        <w:spacing w:line="276" w:lineRule="auto"/>
        <w:ind w:left="993"/>
        <w:rPr>
          <w:b/>
          <w:sz w:val="22"/>
          <w:szCs w:val="22"/>
        </w:rPr>
      </w:pPr>
      <w:r>
        <w:rPr>
          <w:sz w:val="22"/>
          <w:szCs w:val="22"/>
        </w:rPr>
        <w:t>For example, the Discussion Paper states temperature is expected to rise by 2.7</w:t>
      </w:r>
      <w:r w:rsidRPr="00E50BEF">
        <w:rPr>
          <w:bCs/>
          <w:noProof/>
          <w:sz w:val="22"/>
          <w:szCs w:val="22"/>
          <w:vertAlign w:val="superscript"/>
        </w:rPr>
        <w:t xml:space="preserve"> </w:t>
      </w:r>
      <w:r w:rsidRPr="00322776">
        <w:rPr>
          <w:bCs/>
          <w:noProof/>
          <w:sz w:val="22"/>
          <w:szCs w:val="22"/>
          <w:vertAlign w:val="superscript"/>
        </w:rPr>
        <w:t>o</w:t>
      </w:r>
      <w:r w:rsidRPr="00322776">
        <w:rPr>
          <w:bCs/>
          <w:noProof/>
          <w:sz w:val="22"/>
          <w:szCs w:val="22"/>
        </w:rPr>
        <w:t>C</w:t>
      </w:r>
      <w:r>
        <w:rPr>
          <w:sz w:val="22"/>
          <w:szCs w:val="22"/>
        </w:rPr>
        <w:t xml:space="preserve"> – 4.9</w:t>
      </w:r>
      <w:r w:rsidRPr="00E50BEF">
        <w:rPr>
          <w:bCs/>
          <w:noProof/>
          <w:sz w:val="22"/>
          <w:szCs w:val="22"/>
          <w:vertAlign w:val="superscript"/>
        </w:rPr>
        <w:t xml:space="preserve"> </w:t>
      </w:r>
      <w:r w:rsidRPr="00322776">
        <w:rPr>
          <w:bCs/>
          <w:noProof/>
          <w:sz w:val="22"/>
          <w:szCs w:val="22"/>
          <w:vertAlign w:val="superscript"/>
        </w:rPr>
        <w:t>o</w:t>
      </w:r>
      <w:r w:rsidRPr="00322776">
        <w:rPr>
          <w:bCs/>
          <w:noProof/>
          <w:sz w:val="22"/>
          <w:szCs w:val="22"/>
        </w:rPr>
        <w:t>C</w:t>
      </w:r>
      <w:r>
        <w:rPr>
          <w:sz w:val="22"/>
          <w:szCs w:val="22"/>
        </w:rPr>
        <w:t xml:space="preserve"> by 2100</w:t>
      </w:r>
      <w:r>
        <w:rPr>
          <w:rStyle w:val="FootnoteReference"/>
          <w:sz w:val="22"/>
          <w:szCs w:val="22"/>
        </w:rPr>
        <w:footnoteReference w:id="21"/>
      </w:r>
      <w:r>
        <w:rPr>
          <w:sz w:val="22"/>
          <w:szCs w:val="22"/>
        </w:rPr>
        <w:t>. This exceeds the Paris Agreement target. Even warming of 1.5</w:t>
      </w:r>
      <w:r w:rsidRPr="00E50BEF">
        <w:rPr>
          <w:bCs/>
          <w:noProof/>
          <w:sz w:val="22"/>
          <w:szCs w:val="22"/>
          <w:vertAlign w:val="superscript"/>
        </w:rPr>
        <w:t xml:space="preserve"> </w:t>
      </w:r>
      <w:r w:rsidRPr="00322776">
        <w:rPr>
          <w:bCs/>
          <w:noProof/>
          <w:sz w:val="22"/>
          <w:szCs w:val="22"/>
          <w:vertAlign w:val="superscript"/>
        </w:rPr>
        <w:t>o</w:t>
      </w:r>
      <w:r w:rsidRPr="00322776">
        <w:rPr>
          <w:bCs/>
          <w:noProof/>
          <w:sz w:val="22"/>
          <w:szCs w:val="22"/>
        </w:rPr>
        <w:t>C</w:t>
      </w:r>
      <w:r>
        <w:rPr>
          <w:sz w:val="22"/>
          <w:szCs w:val="22"/>
        </w:rPr>
        <w:t xml:space="preserve"> is</w:t>
      </w:r>
      <w:r w:rsidRPr="00322776">
        <w:rPr>
          <w:sz w:val="22"/>
          <w:szCs w:val="22"/>
        </w:rPr>
        <w:t xml:space="preserve"> not considered ‘safe’ for most nations; communities; ecosystems; and sectors and poses significant risks to natural and human systems (when compared to current global warming of 1</w:t>
      </w:r>
      <w:r w:rsidRPr="00322776">
        <w:rPr>
          <w:bCs/>
          <w:noProof/>
          <w:sz w:val="22"/>
          <w:szCs w:val="22"/>
          <w:vertAlign w:val="superscript"/>
        </w:rPr>
        <w:t>o</w:t>
      </w:r>
      <w:r w:rsidRPr="00322776">
        <w:rPr>
          <w:bCs/>
          <w:noProof/>
          <w:sz w:val="22"/>
          <w:szCs w:val="22"/>
        </w:rPr>
        <w:t>C</w:t>
      </w:r>
      <w:r w:rsidRPr="00322776">
        <w:rPr>
          <w:sz w:val="22"/>
          <w:szCs w:val="22"/>
        </w:rPr>
        <w:t>)</w:t>
      </w:r>
      <w:r>
        <w:rPr>
          <w:rStyle w:val="FootnoteReference"/>
          <w:sz w:val="22"/>
          <w:szCs w:val="22"/>
        </w:rPr>
        <w:footnoteReference w:id="22"/>
      </w:r>
    </w:p>
    <w:p w:rsidR="00645096" w:rsidRPr="00E50BEF" w:rsidRDefault="00645096" w:rsidP="00645096">
      <w:pPr>
        <w:pStyle w:val="ListParagraph"/>
        <w:numPr>
          <w:ilvl w:val="1"/>
          <w:numId w:val="20"/>
        </w:numPr>
        <w:spacing w:line="276" w:lineRule="auto"/>
        <w:ind w:left="993"/>
        <w:rPr>
          <w:sz w:val="22"/>
          <w:szCs w:val="22"/>
        </w:rPr>
      </w:pPr>
      <w:r>
        <w:rPr>
          <w:sz w:val="22"/>
          <w:szCs w:val="22"/>
        </w:rPr>
        <w:t>A</w:t>
      </w:r>
      <w:r w:rsidRPr="00E50BEF">
        <w:rPr>
          <w:sz w:val="22"/>
          <w:szCs w:val="22"/>
        </w:rPr>
        <w:t xml:space="preserve"> number of climate change impacts could be avoided by limiting global warming to 1.5ºC compared to 2ºC, or more. For instance, </w:t>
      </w:r>
      <w:r>
        <w:rPr>
          <w:sz w:val="22"/>
          <w:szCs w:val="22"/>
        </w:rPr>
        <w:t>c</w:t>
      </w:r>
      <w:r w:rsidRPr="00E50BEF">
        <w:rPr>
          <w:sz w:val="22"/>
          <w:szCs w:val="22"/>
        </w:rPr>
        <w:t>oral reefs would decline by 70-90 percent with global warming of 1.5°C, whereas virtually all (&gt; 99 percent) would be lost with 2ºC</w:t>
      </w:r>
      <w:r>
        <w:rPr>
          <w:sz w:val="22"/>
          <w:szCs w:val="22"/>
        </w:rPr>
        <w:t>; at 1.5</w:t>
      </w:r>
      <w:r w:rsidRPr="00E50BEF">
        <w:rPr>
          <w:sz w:val="22"/>
          <w:szCs w:val="22"/>
        </w:rPr>
        <w:t>°C</w:t>
      </w:r>
      <w:r>
        <w:rPr>
          <w:rStyle w:val="FootnoteReference"/>
          <w:sz w:val="22"/>
          <w:szCs w:val="22"/>
        </w:rPr>
        <w:footnoteReference w:id="23"/>
      </w:r>
      <w:r>
        <w:rPr>
          <w:sz w:val="22"/>
          <w:szCs w:val="22"/>
        </w:rPr>
        <w:t xml:space="preserve">, the frequency of warm extreme temperatures over land will increase by 149% over Northern Australia, at </w:t>
      </w:r>
      <w:r w:rsidRPr="00E50BEF">
        <w:rPr>
          <w:sz w:val="22"/>
          <w:szCs w:val="22"/>
        </w:rPr>
        <w:t>2ºC</w:t>
      </w:r>
      <w:r>
        <w:rPr>
          <w:sz w:val="22"/>
          <w:szCs w:val="22"/>
        </w:rPr>
        <w:t>, this increases to 406%</w:t>
      </w:r>
      <w:r>
        <w:rPr>
          <w:rStyle w:val="FootnoteReference"/>
          <w:sz w:val="22"/>
          <w:szCs w:val="22"/>
        </w:rPr>
        <w:footnoteReference w:id="24"/>
      </w:r>
      <w:r w:rsidRPr="00E50BEF">
        <w:rPr>
          <w:sz w:val="22"/>
          <w:szCs w:val="22"/>
        </w:rPr>
        <w:t xml:space="preserve"> </w:t>
      </w:r>
    </w:p>
    <w:p w:rsidR="00645096" w:rsidRDefault="00645096" w:rsidP="00645096">
      <w:pPr>
        <w:pStyle w:val="ListParagraph"/>
        <w:numPr>
          <w:ilvl w:val="0"/>
          <w:numId w:val="22"/>
        </w:numPr>
        <w:spacing w:line="276" w:lineRule="auto"/>
        <w:ind w:left="426"/>
        <w:rPr>
          <w:b/>
          <w:sz w:val="22"/>
          <w:szCs w:val="22"/>
        </w:rPr>
      </w:pPr>
      <w:r>
        <w:rPr>
          <w:sz w:val="22"/>
          <w:szCs w:val="22"/>
        </w:rPr>
        <w:t xml:space="preserve">The impacts include outlooks to 2100, yet climate change impacts are already affecting </w:t>
      </w:r>
      <w:proofErr w:type="spellStart"/>
      <w:r>
        <w:rPr>
          <w:sz w:val="22"/>
          <w:szCs w:val="22"/>
        </w:rPr>
        <w:t>Territorians</w:t>
      </w:r>
      <w:proofErr w:type="spellEnd"/>
      <w:r>
        <w:rPr>
          <w:sz w:val="22"/>
          <w:szCs w:val="22"/>
        </w:rPr>
        <w:t xml:space="preserve">. </w:t>
      </w:r>
    </w:p>
    <w:p w:rsidR="00645096" w:rsidRPr="00C95831" w:rsidRDefault="00645096" w:rsidP="00645096">
      <w:pPr>
        <w:pStyle w:val="ListParagraph"/>
        <w:numPr>
          <w:ilvl w:val="1"/>
          <w:numId w:val="22"/>
        </w:numPr>
        <w:spacing w:line="276" w:lineRule="auto"/>
        <w:ind w:left="993"/>
        <w:rPr>
          <w:b/>
          <w:sz w:val="22"/>
          <w:szCs w:val="22"/>
        </w:rPr>
      </w:pPr>
      <w:r w:rsidRPr="00C95831">
        <w:rPr>
          <w:sz w:val="22"/>
          <w:szCs w:val="22"/>
        </w:rPr>
        <w:lastRenderedPageBreak/>
        <w:t>For example, globally, 18 of the last 19 years were the warmest on record</w:t>
      </w:r>
      <w:r w:rsidRPr="00C95831">
        <w:rPr>
          <w:rStyle w:val="FootnoteReference"/>
          <w:sz w:val="22"/>
          <w:szCs w:val="22"/>
        </w:rPr>
        <w:footnoteReference w:id="25"/>
      </w:r>
      <w:r w:rsidRPr="00C95831">
        <w:rPr>
          <w:sz w:val="22"/>
          <w:szCs w:val="22"/>
        </w:rPr>
        <w:t>. A 2018 report from the Australia Institute found that in the Territory, the number of days over 35</w:t>
      </w:r>
      <w:r w:rsidRPr="00C95831">
        <w:rPr>
          <w:bCs/>
          <w:noProof/>
          <w:sz w:val="22"/>
          <w:szCs w:val="22"/>
          <w:vertAlign w:val="superscript"/>
        </w:rPr>
        <w:t xml:space="preserve"> o</w:t>
      </w:r>
      <w:r w:rsidRPr="00C95831">
        <w:rPr>
          <w:bCs/>
          <w:noProof/>
          <w:sz w:val="22"/>
          <w:szCs w:val="22"/>
        </w:rPr>
        <w:t>C</w:t>
      </w:r>
      <w:r w:rsidRPr="00C95831">
        <w:rPr>
          <w:sz w:val="22"/>
          <w:szCs w:val="22"/>
        </w:rPr>
        <w:t xml:space="preserve"> per year in Darwin has increased from 5.6 days per year in the early 20</w:t>
      </w:r>
      <w:r w:rsidRPr="00C95831">
        <w:rPr>
          <w:sz w:val="22"/>
          <w:szCs w:val="22"/>
          <w:vertAlign w:val="superscript"/>
        </w:rPr>
        <w:t>th</w:t>
      </w:r>
      <w:r w:rsidRPr="00C95831">
        <w:rPr>
          <w:sz w:val="22"/>
          <w:szCs w:val="22"/>
        </w:rPr>
        <w:t xml:space="preserve"> century to over 20 days per year in the last five years (days over 35</w:t>
      </w:r>
      <w:r w:rsidRPr="00C95831">
        <w:rPr>
          <w:bCs/>
          <w:noProof/>
          <w:sz w:val="22"/>
          <w:szCs w:val="22"/>
          <w:vertAlign w:val="superscript"/>
        </w:rPr>
        <w:t xml:space="preserve"> o</w:t>
      </w:r>
      <w:r w:rsidRPr="00C95831">
        <w:rPr>
          <w:bCs/>
          <w:noProof/>
          <w:sz w:val="22"/>
          <w:szCs w:val="22"/>
        </w:rPr>
        <w:t>C</w:t>
      </w:r>
      <w:r w:rsidRPr="00C95831">
        <w:rPr>
          <w:sz w:val="22"/>
          <w:szCs w:val="22"/>
        </w:rPr>
        <w:t xml:space="preserve"> and with &gt; 70% humidity are considered extremely dangerous). CSIRO climate models predict that without drastic reductions in greenhouse gas emissions, the number of days over 35</w:t>
      </w:r>
      <w:r w:rsidRPr="00C95831">
        <w:rPr>
          <w:bCs/>
          <w:noProof/>
          <w:sz w:val="22"/>
          <w:szCs w:val="22"/>
          <w:vertAlign w:val="superscript"/>
        </w:rPr>
        <w:t xml:space="preserve"> o</w:t>
      </w:r>
      <w:r w:rsidRPr="00C95831">
        <w:rPr>
          <w:bCs/>
          <w:noProof/>
          <w:sz w:val="22"/>
          <w:szCs w:val="22"/>
        </w:rPr>
        <w:t>C</w:t>
      </w:r>
      <w:r w:rsidRPr="00C95831">
        <w:rPr>
          <w:sz w:val="22"/>
          <w:szCs w:val="22"/>
        </w:rPr>
        <w:t xml:space="preserve"> would increase to 132 over the next 12 years. This would have severe implications on health; productivity; agriculture; construction; and tourism. Ecosystems would be severely affected and the standard of living would greatly decline</w:t>
      </w:r>
      <w:r w:rsidRPr="00C95831">
        <w:rPr>
          <w:rStyle w:val="FootnoteReference"/>
          <w:sz w:val="22"/>
          <w:szCs w:val="22"/>
        </w:rPr>
        <w:footnoteReference w:id="26"/>
      </w:r>
      <w:r w:rsidRPr="00C95831">
        <w:rPr>
          <w:sz w:val="22"/>
          <w:szCs w:val="22"/>
        </w:rPr>
        <w:t xml:space="preserve">   </w:t>
      </w:r>
    </w:p>
    <w:p w:rsidR="00645096" w:rsidRDefault="00645096" w:rsidP="00645096">
      <w:pPr>
        <w:pStyle w:val="ListParagraph"/>
        <w:numPr>
          <w:ilvl w:val="0"/>
          <w:numId w:val="23"/>
        </w:numPr>
        <w:spacing w:line="276" w:lineRule="auto"/>
        <w:ind w:left="426"/>
        <w:rPr>
          <w:b/>
          <w:sz w:val="22"/>
          <w:szCs w:val="22"/>
        </w:rPr>
      </w:pPr>
      <w:r>
        <w:rPr>
          <w:sz w:val="22"/>
          <w:szCs w:val="22"/>
        </w:rPr>
        <w:t xml:space="preserve">It must be noted, </w:t>
      </w:r>
      <w:r w:rsidRPr="0055399A">
        <w:rPr>
          <w:sz w:val="22"/>
          <w:szCs w:val="22"/>
        </w:rPr>
        <w:t>impacts will be felt disproportionately. The worst impacts are expected amongst those with the least resources or capacity to adapt; indigenous people; those working outdoors; children and the elderly; and those with agricultural or coastal dependent livelihoods</w:t>
      </w:r>
      <w:r w:rsidRPr="0055399A">
        <w:rPr>
          <w:rStyle w:val="FootnoteReference"/>
          <w:sz w:val="22"/>
          <w:szCs w:val="22"/>
        </w:rPr>
        <w:footnoteReference w:id="27"/>
      </w:r>
    </w:p>
    <w:p w:rsidR="00645096" w:rsidRPr="00C95831" w:rsidRDefault="00645096" w:rsidP="00645096">
      <w:pPr>
        <w:pStyle w:val="ListParagraph"/>
        <w:spacing w:line="276" w:lineRule="auto"/>
        <w:ind w:left="426"/>
        <w:rPr>
          <w:b/>
          <w:sz w:val="22"/>
          <w:szCs w:val="22"/>
        </w:rPr>
      </w:pPr>
    </w:p>
    <w:p w:rsidR="00645096" w:rsidRDefault="00645096" w:rsidP="00645096">
      <w:pPr>
        <w:ind w:left="66"/>
        <w:rPr>
          <w:b/>
        </w:rPr>
      </w:pPr>
      <w:r w:rsidRPr="0055399A">
        <w:rPr>
          <w:b/>
        </w:rPr>
        <w:t>Recommendation: As a matter of urgency, climate change risks for the Northern Territory need to be</w:t>
      </w:r>
      <w:r>
        <w:rPr>
          <w:b/>
        </w:rPr>
        <w:t xml:space="preserve"> comprehensively</w:t>
      </w:r>
      <w:r w:rsidRPr="0055399A">
        <w:rPr>
          <w:b/>
        </w:rPr>
        <w:t xml:space="preserve"> </w:t>
      </w:r>
      <w:r>
        <w:rPr>
          <w:b/>
        </w:rPr>
        <w:t>investigated and determined</w:t>
      </w:r>
      <w:r w:rsidRPr="0055399A">
        <w:rPr>
          <w:b/>
        </w:rPr>
        <w:t>. A climate change vulnerability assessment and adaptation strategy</w:t>
      </w:r>
      <w:r>
        <w:rPr>
          <w:b/>
        </w:rPr>
        <w:t xml:space="preserve"> then</w:t>
      </w:r>
      <w:r w:rsidRPr="0055399A">
        <w:rPr>
          <w:b/>
        </w:rPr>
        <w:t xml:space="preserve"> needs to be developed, taking into account both short- and long-term climate risks  </w:t>
      </w:r>
    </w:p>
    <w:p w:rsidR="00645096" w:rsidRDefault="00645096" w:rsidP="00645096">
      <w:pPr>
        <w:ind w:left="66"/>
        <w:rPr>
          <w:b/>
        </w:rPr>
      </w:pPr>
    </w:p>
    <w:p w:rsidR="00645096" w:rsidRDefault="00645096" w:rsidP="00645096">
      <w:pPr>
        <w:ind w:left="66"/>
        <w:rPr>
          <w:b/>
        </w:rPr>
      </w:pPr>
      <w:r>
        <w:rPr>
          <w:b/>
        </w:rPr>
        <w:t xml:space="preserve">References </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197AA9">
        <w:rPr>
          <w:b/>
          <w:sz w:val="20"/>
          <w:szCs w:val="20"/>
        </w:rPr>
        <w:fldChar w:fldCharType="begin" w:fldLock="1"/>
      </w:r>
      <w:r w:rsidRPr="00197AA9">
        <w:rPr>
          <w:b/>
          <w:sz w:val="20"/>
          <w:szCs w:val="20"/>
        </w:rPr>
        <w:instrText xml:space="preserve">ADDIN Mendeley Bibliography CSL_BIBLIOGRAPHY </w:instrText>
      </w:r>
      <w:r w:rsidRPr="00197AA9">
        <w:rPr>
          <w:b/>
          <w:sz w:val="20"/>
          <w:szCs w:val="20"/>
        </w:rPr>
        <w:fldChar w:fldCharType="separate"/>
      </w:r>
      <w:r w:rsidRPr="007B2E00">
        <w:rPr>
          <w:noProof/>
          <w:sz w:val="20"/>
          <w:lang w:val="en-US"/>
        </w:rPr>
        <w:t xml:space="preserve">ARENA. </w:t>
      </w:r>
      <w:r w:rsidRPr="007B2E00">
        <w:rPr>
          <w:i/>
          <w:iCs/>
          <w:noProof/>
          <w:sz w:val="20"/>
          <w:lang w:val="en-US"/>
        </w:rPr>
        <w:t>The Business of Renewables</w:t>
      </w:r>
      <w:r w:rsidRPr="007B2E00">
        <w:rPr>
          <w:noProof/>
          <w:sz w:val="20"/>
          <w:lang w:val="en-US"/>
        </w:rPr>
        <w:t>. Canberra, 2017.</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t xml:space="preserve">Burgess, Katie. “ACT Brings Forward Zero Net Emissions Deadline to 2045.” </w:t>
      </w:r>
      <w:r w:rsidRPr="007B2E00">
        <w:rPr>
          <w:i/>
          <w:iCs/>
          <w:noProof/>
          <w:sz w:val="20"/>
          <w:lang w:val="en-US"/>
        </w:rPr>
        <w:t>The Canberra Times</w:t>
      </w:r>
      <w:r w:rsidRPr="007B2E00">
        <w:rPr>
          <w:noProof/>
          <w:sz w:val="20"/>
          <w:lang w:val="en-US"/>
        </w:rPr>
        <w:t>, 2018.</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t>Carbon Brief. “The Impacts of Climate Change at 1.5C, 2C and Beyond,” 2018. https://interactive.carbonbrief.org/impacts-climate-change-one-point-five-degrees-two-degrees/?utm_source=web&amp;utm_campaign=Redirect.</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t xml:space="preserve">Department of Environment and Heritage Protection. </w:t>
      </w:r>
      <w:r w:rsidRPr="007B2E00">
        <w:rPr>
          <w:i/>
          <w:iCs/>
          <w:noProof/>
          <w:sz w:val="20"/>
          <w:lang w:val="en-US"/>
        </w:rPr>
        <w:t>Pathways to a Clean Growth Economy: Queensland Climate Transition Strategy</w:t>
      </w:r>
      <w:r w:rsidRPr="007B2E00">
        <w:rPr>
          <w:noProof/>
          <w:sz w:val="20"/>
          <w:lang w:val="en-US"/>
        </w:rPr>
        <w:t>. Brisbane, 2017. http://www.ehp.qld.gov.au/assets/documents/climate/qld-climate-transition-strategy.pdf.</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t xml:space="preserve">Earth Systems and Climate Change Hub. </w:t>
      </w:r>
      <w:r w:rsidRPr="007B2E00">
        <w:rPr>
          <w:i/>
          <w:iCs/>
          <w:noProof/>
          <w:sz w:val="20"/>
          <w:lang w:val="en-US"/>
        </w:rPr>
        <w:t>Climate Change Science for Northern Australia</w:t>
      </w:r>
      <w:r w:rsidRPr="007B2E00">
        <w:rPr>
          <w:noProof/>
          <w:sz w:val="20"/>
          <w:lang w:val="en-US"/>
        </w:rPr>
        <w:t>. Aspendale, 2017. www.http://nespclimate.com.au/climate-change-science-for-northern-australia/.</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t>Global Commission on the Economy and Climate. “Unlocking the Inclusive Growth Story of the 21st Century: Accelerating Climate Action In Urgent Times,” 2018, 207. https://newclimateeconomy.report/2018/.</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t xml:space="preserve">Goverment of NSW. </w:t>
      </w:r>
      <w:r w:rsidRPr="007B2E00">
        <w:rPr>
          <w:i/>
          <w:iCs/>
          <w:noProof/>
          <w:sz w:val="20"/>
          <w:lang w:val="en-US"/>
        </w:rPr>
        <w:t>Achieving Net-Zero Emissions by 2050</w:t>
      </w:r>
      <w:r w:rsidRPr="007B2E00">
        <w:rPr>
          <w:noProof/>
          <w:sz w:val="20"/>
          <w:lang w:val="en-US"/>
        </w:rPr>
        <w:t>. Sydney, 2016. https://www.environment.nsw.gov.au/-/media/OEH/Corporate-Site/Documents/Climate-change/achieving-net-zero-emissions-by-2050-fact-sheet-160604.pdf.</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t>Government of South Australia. “South Australian Climate Change Action,” 2017. https://www.environment.sa.gov.au/topics/climate-change/south-australias-greenhouse-gas-emissions.</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t xml:space="preserve">Hanna, Elizabeth, and Mark Ogge. </w:t>
      </w:r>
      <w:r w:rsidRPr="007B2E00">
        <w:rPr>
          <w:i/>
          <w:iCs/>
          <w:noProof/>
          <w:sz w:val="20"/>
          <w:lang w:val="en-US"/>
        </w:rPr>
        <w:t>Cooked with Gas: Extreme Heat in Darwin</w:t>
      </w:r>
      <w:r w:rsidRPr="007B2E00">
        <w:rPr>
          <w:noProof/>
          <w:sz w:val="20"/>
          <w:lang w:val="en-US"/>
        </w:rPr>
        <w:t>, 2018.</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lastRenderedPageBreak/>
        <w:t xml:space="preserve">Intergovernmental Panel on Climate Change (IPCC). </w:t>
      </w:r>
      <w:r w:rsidRPr="007B2E00">
        <w:rPr>
          <w:i/>
          <w:iCs/>
          <w:noProof/>
          <w:sz w:val="20"/>
          <w:lang w:val="en-US"/>
        </w:rPr>
        <w:t>IPCC Special Report on Global Warming of 1.5</w:t>
      </w:r>
      <w:r w:rsidRPr="007B2E00">
        <w:rPr>
          <w:i/>
          <w:iCs/>
          <w:noProof/>
          <w:sz w:val="20"/>
          <w:vertAlign w:val="superscript"/>
          <w:lang w:val="en-US"/>
        </w:rPr>
        <w:t>o</w:t>
      </w:r>
      <w:r w:rsidRPr="007B2E00">
        <w:rPr>
          <w:i/>
          <w:iCs/>
          <w:noProof/>
          <w:sz w:val="20"/>
          <w:lang w:val="en-US"/>
        </w:rPr>
        <w:t>C</w:t>
      </w:r>
      <w:r w:rsidRPr="007B2E00">
        <w:rPr>
          <w:noProof/>
          <w:sz w:val="20"/>
          <w:lang w:val="en-US"/>
        </w:rPr>
        <w:t>. Geneva, 2018. http://www.ipcc.ch/report/sr15/.</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t xml:space="preserve">IRENA. </w:t>
      </w:r>
      <w:r w:rsidRPr="007B2E00">
        <w:rPr>
          <w:i/>
          <w:iCs/>
          <w:noProof/>
          <w:sz w:val="20"/>
          <w:lang w:val="en-US"/>
        </w:rPr>
        <w:t>Renewable Power Generation Costs in 2017</w:t>
      </w:r>
      <w:r w:rsidRPr="007B2E00">
        <w:rPr>
          <w:noProof/>
          <w:sz w:val="20"/>
          <w:lang w:val="en-US"/>
        </w:rPr>
        <w:t>. Abu Dhabi, 2018. http://www.irena.org/publications/2018/Jan/Renewable-power-generation-costs-in-2017.</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t xml:space="preserve">Northern Territory Government. </w:t>
      </w:r>
      <w:r w:rsidRPr="007B2E00">
        <w:rPr>
          <w:i/>
          <w:iCs/>
          <w:noProof/>
          <w:sz w:val="20"/>
          <w:lang w:val="en-US"/>
        </w:rPr>
        <w:t>Climate Change: Mitigation and Adaptation Opportunities in the Northern Territory</w:t>
      </w:r>
      <w:r w:rsidRPr="007B2E00">
        <w:rPr>
          <w:noProof/>
          <w:sz w:val="20"/>
          <w:lang w:val="en-US"/>
        </w:rPr>
        <w:t>. Darwin, 2018. https://haveyoursay.nt.gov.au/39757/documents/88860.</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t xml:space="preserve">Pachauri, Rajendra K, Myles R Allen, Vicente R Barros, John Broome, Wolfgang Cramer, Renate Christ, John A Church, Leon Clarke, Qin Dahe, and Purnamita Dasgupta. </w:t>
      </w:r>
      <w:r w:rsidRPr="007B2E00">
        <w:rPr>
          <w:i/>
          <w:iCs/>
          <w:noProof/>
          <w:sz w:val="20"/>
          <w:lang w:val="en-US"/>
        </w:rPr>
        <w:t>Climate Change 2014: Synthesis Report. Contribution of Working Groups I, II and III to the Fifth Assessment Report of the Intergovernmental Panel on Climate Change</w:t>
      </w:r>
      <w:r w:rsidRPr="007B2E00">
        <w:rPr>
          <w:noProof/>
          <w:sz w:val="20"/>
          <w:lang w:val="en-US"/>
        </w:rPr>
        <w:t>. IPCC, 2014.</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t xml:space="preserve">Steffen, Will, Johan Rockström, Katherine Richardson, Timothy M. Lenton, Carl Folke, Diana Liverman, Colin P. Summerhayes, et al. “Trajectories of the Earth System in the Anthropocene.” </w:t>
      </w:r>
      <w:r w:rsidRPr="007B2E00">
        <w:rPr>
          <w:i/>
          <w:iCs/>
          <w:noProof/>
          <w:sz w:val="20"/>
          <w:lang w:val="en-US"/>
        </w:rPr>
        <w:t>Proceedings of the National Academy of Sciences</w:t>
      </w:r>
      <w:r w:rsidRPr="007B2E00">
        <w:rPr>
          <w:noProof/>
          <w:sz w:val="20"/>
          <w:lang w:val="en-US"/>
        </w:rPr>
        <w:t xml:space="preserve"> 115, no. 33 (2018): 8252–59. doi:10.1073/pnas.1810141115.</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t>Tasmanian Government. “Tasmania Achieves Zero Net Emissions for the First Time,” 2018.</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t xml:space="preserve">The Global Commission on the Economy and Climate. </w:t>
      </w:r>
      <w:r w:rsidRPr="007B2E00">
        <w:rPr>
          <w:i/>
          <w:iCs/>
          <w:noProof/>
          <w:sz w:val="20"/>
          <w:lang w:val="en-US"/>
        </w:rPr>
        <w:t>Unlocking the Inclusive Growth Story of the 21st Century</w:t>
      </w:r>
      <w:r w:rsidRPr="007B2E00">
        <w:rPr>
          <w:noProof/>
          <w:sz w:val="20"/>
          <w:lang w:val="en-US"/>
        </w:rPr>
        <w:t>, 2018. https://newclimateeconomy.report/2018/.</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t xml:space="preserve">Tyndall Centre for Climate Change Research Manchester, CEMUS, Upsala University, SLU, and Teesside University. </w:t>
      </w:r>
      <w:r w:rsidRPr="007B2E00">
        <w:rPr>
          <w:i/>
          <w:iCs/>
          <w:noProof/>
          <w:sz w:val="20"/>
          <w:lang w:val="en-US"/>
        </w:rPr>
        <w:t>Natural Gas and Climate Change</w:t>
      </w:r>
      <w:r w:rsidRPr="007B2E00">
        <w:rPr>
          <w:noProof/>
          <w:sz w:val="20"/>
          <w:lang w:val="en-US"/>
        </w:rPr>
        <w:t>. Manchester, 2017. http://papers.ssrn.com/abstract=2603182%5Cnhttp://papers.ssrn.com/sol3/papers.cfm?abstract_id=2603182.</w:t>
      </w:r>
    </w:p>
    <w:p w:rsidR="00645096" w:rsidRPr="007B2E00" w:rsidRDefault="00645096" w:rsidP="00645096">
      <w:pPr>
        <w:widowControl w:val="0"/>
        <w:autoSpaceDE w:val="0"/>
        <w:autoSpaceDN w:val="0"/>
        <w:adjustRightInd w:val="0"/>
        <w:spacing w:line="240" w:lineRule="auto"/>
        <w:ind w:left="480" w:hanging="480"/>
        <w:rPr>
          <w:noProof/>
          <w:sz w:val="20"/>
          <w:lang w:val="en-US"/>
        </w:rPr>
      </w:pPr>
      <w:r w:rsidRPr="007B2E00">
        <w:rPr>
          <w:noProof/>
          <w:sz w:val="20"/>
          <w:lang w:val="en-US"/>
        </w:rPr>
        <w:t xml:space="preserve">UNFCCC. </w:t>
      </w:r>
      <w:r w:rsidRPr="007B2E00">
        <w:rPr>
          <w:i/>
          <w:iCs/>
          <w:noProof/>
          <w:sz w:val="20"/>
          <w:lang w:val="en-US"/>
        </w:rPr>
        <w:t>Paris Agreement Article 2(1)(A)</w:t>
      </w:r>
      <w:r w:rsidRPr="007B2E00">
        <w:rPr>
          <w:noProof/>
          <w:sz w:val="20"/>
          <w:lang w:val="en-US"/>
        </w:rPr>
        <w:t>, 2015. http://unfccc.int/files/ essential_background/convention/application/pdf/english_paris_agreement.pdf.</w:t>
      </w:r>
    </w:p>
    <w:p w:rsidR="00645096" w:rsidRPr="007B2E00" w:rsidRDefault="00645096" w:rsidP="00645096">
      <w:pPr>
        <w:widowControl w:val="0"/>
        <w:autoSpaceDE w:val="0"/>
        <w:autoSpaceDN w:val="0"/>
        <w:adjustRightInd w:val="0"/>
        <w:spacing w:line="240" w:lineRule="auto"/>
        <w:ind w:left="480" w:hanging="480"/>
        <w:rPr>
          <w:noProof/>
          <w:sz w:val="20"/>
        </w:rPr>
      </w:pPr>
      <w:r w:rsidRPr="007B2E00">
        <w:rPr>
          <w:noProof/>
          <w:sz w:val="20"/>
          <w:lang w:val="en-US"/>
        </w:rPr>
        <w:t>Victoria State Government. “Emissions Reduction Targets,” 2018.</w:t>
      </w:r>
    </w:p>
    <w:p w:rsidR="00645096" w:rsidRPr="00DA6B87" w:rsidRDefault="00645096" w:rsidP="00645096">
      <w:pPr>
        <w:widowControl w:val="0"/>
        <w:autoSpaceDE w:val="0"/>
        <w:autoSpaceDN w:val="0"/>
        <w:adjustRightInd w:val="0"/>
        <w:spacing w:line="240" w:lineRule="auto"/>
        <w:ind w:left="480" w:hanging="480"/>
        <w:rPr>
          <w:b/>
        </w:rPr>
      </w:pPr>
      <w:r w:rsidRPr="00197AA9">
        <w:rPr>
          <w:b/>
          <w:sz w:val="20"/>
          <w:szCs w:val="20"/>
        </w:rPr>
        <w:fldChar w:fldCharType="end"/>
      </w:r>
    </w:p>
    <w:p w:rsidR="00E13A17" w:rsidRDefault="00E13A17" w:rsidP="00187D90">
      <w:pPr>
        <w:shd w:val="clear" w:color="auto" w:fill="FFFFFF"/>
        <w:spacing w:after="0"/>
        <w:rPr>
          <w:rFonts w:ascii="Calibri Light" w:hAnsi="Calibri Light"/>
          <w:sz w:val="24"/>
          <w:szCs w:val="24"/>
        </w:rPr>
      </w:pPr>
    </w:p>
    <w:p w:rsidR="00E13A17" w:rsidRDefault="00E13A17" w:rsidP="00187D90">
      <w:pPr>
        <w:shd w:val="clear" w:color="auto" w:fill="FFFFFF"/>
        <w:spacing w:after="0"/>
        <w:rPr>
          <w:rFonts w:ascii="Calibri Light" w:hAnsi="Calibri Light"/>
          <w:sz w:val="24"/>
          <w:szCs w:val="24"/>
        </w:rPr>
      </w:pPr>
    </w:p>
    <w:p w:rsidR="00E13A17" w:rsidRDefault="00E13A17" w:rsidP="00187D90">
      <w:pPr>
        <w:shd w:val="clear" w:color="auto" w:fill="FFFFFF"/>
        <w:spacing w:after="0"/>
        <w:rPr>
          <w:rFonts w:ascii="Calibri Light" w:hAnsi="Calibri Light"/>
          <w:sz w:val="24"/>
          <w:szCs w:val="24"/>
        </w:rPr>
      </w:pPr>
    </w:p>
    <w:p w:rsidR="00E13A17" w:rsidRPr="00564A51" w:rsidRDefault="00E13A17" w:rsidP="00187D90">
      <w:pPr>
        <w:shd w:val="clear" w:color="auto" w:fill="FFFFFF"/>
        <w:spacing w:after="0"/>
        <w:rPr>
          <w:rFonts w:ascii="Calibri Light" w:hAnsi="Calibri Light"/>
          <w:sz w:val="24"/>
          <w:szCs w:val="24"/>
        </w:rPr>
      </w:pPr>
    </w:p>
    <w:sectPr w:rsidR="00E13A17" w:rsidRPr="00564A51" w:rsidSect="00B3199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92" w:rsidRDefault="00FF0692" w:rsidP="00E57541">
      <w:pPr>
        <w:spacing w:after="0" w:line="240" w:lineRule="auto"/>
      </w:pPr>
      <w:r>
        <w:separator/>
      </w:r>
    </w:p>
  </w:endnote>
  <w:endnote w:type="continuationSeparator" w:id="0">
    <w:p w:rsidR="00FF0692" w:rsidRDefault="00FF0692" w:rsidP="00E5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92" w:rsidRDefault="00FF0692" w:rsidP="00E57541">
      <w:pPr>
        <w:spacing w:after="0" w:line="240" w:lineRule="auto"/>
      </w:pPr>
      <w:r>
        <w:separator/>
      </w:r>
    </w:p>
  </w:footnote>
  <w:footnote w:type="continuationSeparator" w:id="0">
    <w:p w:rsidR="00FF0692" w:rsidRDefault="00FF0692" w:rsidP="00E57541">
      <w:pPr>
        <w:spacing w:after="0" w:line="240" w:lineRule="auto"/>
      </w:pPr>
      <w:r>
        <w:continuationSeparator/>
      </w:r>
    </w:p>
  </w:footnote>
  <w:footnote w:id="1">
    <w:p w:rsidR="00645096" w:rsidRPr="00630713" w:rsidRDefault="00645096" w:rsidP="00645096">
      <w:pPr>
        <w:pStyle w:val="FootnoteText"/>
        <w:rPr>
          <w:sz w:val="18"/>
          <w:szCs w:val="18"/>
        </w:rPr>
      </w:pPr>
      <w:r>
        <w:rPr>
          <w:rStyle w:val="FootnoteReference"/>
        </w:rPr>
        <w:footnoteRef/>
      </w:r>
      <w:r>
        <w:t xml:space="preserve"> </w:t>
      </w:r>
      <w:r w:rsidRPr="00630713">
        <w:rPr>
          <w:sz w:val="18"/>
          <w:szCs w:val="18"/>
        </w:rPr>
        <w:fldChar w:fldCharType="begin" w:fldLock="1"/>
      </w:r>
      <w:r w:rsidRPr="00630713">
        <w:rPr>
          <w:sz w:val="18"/>
          <w:szCs w:val="18"/>
        </w:rPr>
        <w:instrText>ADDIN CSL_CITATION {"citationItems":[{"id":"ITEM-1","itemData":{"author":[{"dropping-particle":"","family":"Intergovernmental Panel on Climate Change (IPCC)","given":"","non-dropping-particle":"","parse-names":false,"suffix":""}],"id":"ITEM-1","issued":{"date-parts":[["2018"]]},"publisher-place":"Geneva","title":"IPCC Special Report on Global Warming of 1.5ºC","type":"report"},"uris":["http://www.mendeley.com/documents/?uuid=757156b7-15f9-4201-b41b-dcea5f6cf757"]},{"id":"ITEM-2","itemData":{"ISBN":"9291691437","author":[{"dropping-particle":"","family":"Pachauri","given":"Rajendra K","non-dropping-particle":"","parse-names":false,"suffix":""},{"dropping-particle":"","family":"Allen","given":"Myles R","non-dropping-particle":"","parse-names":false,"suffix":""},{"dropping-particle":"","family":"Barros","given":"Vicente R","non-dropping-particle":"","parse-names":false,"suffix":""},{"dropping-particle":"","family":"Broome","given":"John","non-dropping-particle":"","parse-names":false,"suffix":""},{"dropping-particle":"","family":"Cramer","given":"Wolfgang","non-dropping-particle":"","parse-names":false,"suffix":""},{"dropping-particle":"","family":"Christ","given":"Renate","non-dropping-particle":"","parse-names":false,"suffix":""},{"dropping-particle":"","family":"Church","given":"John A","non-dropping-particle":"","parse-names":false,"suffix":""},{"dropping-particle":"","family":"Clarke","given":"Leon","non-dropping-particle":"","parse-names":false,"suffix":""},{"dropping-particle":"","family":"Dahe","given":"Qin","non-dropping-particle":"","parse-names":false,"suffix":""},{"dropping-particle":"","family":"Dasgupta","given":"Purnamita","non-dropping-particle":"","parse-names":false,"suffix":""}],"id":"ITEM-2","issued":{"date-parts":[["2014"]]},"publisher":"IPCC","title":"Climate change 2014: synthesis report. Contribution of Working Groups I, II and III to the fifth assessment report of the Intergovernmental Panel on Climate Change","type":"book"},"uris":["http://www.mendeley.com/documents/?uuid=602df78c-7b88-4031-9640-7c4e7b23844f"]},{"id":"ITEM-3","itemData":{"DOI":"10.1073/pnas.1810141115","ISBN":"9111267038","ISSN":"0027-8424","PMID":"30082409","abstract":"We explore the risk that self-reinforcing feedbacks could push the Earth System toward a planetary threshold that, if crossed, could prevent stabilization of the climate at intermediate temperature rises and cause continued warming on a \"Hothouse Earth\" pathway even as human emissions are reduced. Crossing the threshold would lead to a much higher global average temperature than any interglacial in the past 1.2 million years and to sea levels significantly higher than at any time in the Holocene. We examine the evidence that such a threshold might exist and where it might be. If the threshold is crossed, the resulting trajectory would likely cause serious disruptions to ecosystems, society, and economies. Collective human action is required to steer the Earth System away from a potential threshold and stabilize it in a habitable interglacial-like state. Such action entails stewardship of the entire Earth System-biosphere, climate, and societies-and could include decarbonization of the global economy, enhancement of biosphere carbon sinks, behavioral changes, technological innovations, new governance arrangements, and transformed social values.","author":[{"dropping-particle":"","family":"Steffen","given":"Will","non-dropping-particle":"","parse-names":false,"suffix":""},{"dropping-particle":"","family":"Rockström","given":"Johan","non-dropping-particle":"","parse-names":false,"suffix":""},{"dropping-particle":"","family":"Richardson","given":"Katherine","non-dropping-particle":"","parse-names":false,"suffix":""},{"dropping-particle":"","family":"Lenton","given":"Timothy M.","non-dropping-particle":"","parse-names":false,"suffix":""},{"dropping-particle":"","family":"Folke","given":"Carl","non-dropping-particle":"","parse-names":false,"suffix":""},{"dropping-particle":"","family":"Liverman","given":"Diana","non-dropping-particle":"","parse-names":false,"suffix":""},{"dropping-particle":"","family":"Summerhayes","given":"Colin P.","non-dropping-particle":"","parse-names":false,"suffix":""},{"dropping-particle":"","family":"Barnosky","given":"Anthony D.","non-dropping-particle":"","parse-names":false,"suffix":""},{"dropping-particle":"","family":"Cornell","given":"Sarah E.","non-dropping-particle":"","parse-names":false,"suffix":""},{"dropping-particle":"","family":"Crucifix","given":"Michel","non-dropping-particle":"","parse-names":false,"suffix":""},{"dropping-particle":"","family":"Donges","given":"Jonathan F.","non-dropping-particle":"","parse-names":false,"suffix":""},{"dropping-particle":"","family":"Fetzer","given":"Ingo","non-dropping-particle":"","parse-names":false,"suffix":""},{"dropping-particle":"","family":"Lade","given":"Steven J.","non-dropping-particle":"","parse-names":false,"suffix":""},{"dropping-particle":"","family":"Scheffer","given":"Marten","non-dropping-particle":"","parse-names":false,"suffix":""},{"dropping-particle":"","family":"Winkelmann","given":"Ricarda","non-dropping-particle":"","parse-names":false,"suffix":""},{"dropping-particle":"","family":"Schellnhuber","given":"Hans Joachim","non-dropping-particle":"","parse-names":false,"suffix":""}],"container-title":"Proceedings of the National Academy of Sciences","id":"ITEM-3","issue":"33","issued":{"date-parts":[["2018"]]},"page":"8252-8259","title":"Trajectories of the Earth System in the Anthropocene","type":"article-journal","volume":"115"},"uris":["http://www.mendeley.com/documents/?uuid=359b6aa7-4663-46b5-bd28-3e9b2a0ee53a"]}],"mendeley":{"formattedCitation":"Intergovernmental Panel on Climate Change (IPCC), &lt;i&gt;IPCC Special Report on Global Warming of 1.5&lt;sup&gt;o&lt;/sup&gt;C&lt;/i&gt;; Pachauri et al., &lt;i&gt;Climate Change 2014: Synthesis Report. Contribution of Working Groups I, II and III to the Fifth Assessment Report of the Intergovernmental Panel on Climate Change&lt;/i&gt;; Steffen et al., “Trajectories of the Earth System in the Anthropocene.”","plainTextFormattedCitation":"Intergovernmental Panel on Climate Change (IPCC), IPCC Special Report on Global Warming of 1.5oC; Pachauri et al., Climate Change 2014: Synthesis Report. Contribution of Working Groups I, II and III to the Fifth Assessment Report of the Intergovernmental Panel on Climate Change; Steffen et al., “Trajectories of the Earth System in the Anthropocene.”","previouslyFormattedCitation":"Intergovernmental Panel on Climate Change (IPCC), &lt;i&gt;IPCC Special Report on Global Warming of 1.5&lt;sup&gt;o&lt;/sup&gt;C&lt;/i&gt;; Pachauri et al., &lt;i&gt;Climate Change 2014: Synthesis Report. Contribution of Working Groups I, II and III to the Fifth Assessment Report of the Intergovernmental Panel on Climate Change&lt;/i&gt;; Steffen et al., “Trajectories of the Earth System in the Anthropocene.”"},"properties":{"noteIndex":1},"schema":"https://github.com/citation-style-language/schema/raw/master/csl-citation.json"}</w:instrText>
      </w:r>
      <w:r w:rsidRPr="00630713">
        <w:rPr>
          <w:sz w:val="18"/>
          <w:szCs w:val="18"/>
        </w:rPr>
        <w:fldChar w:fldCharType="separate"/>
      </w:r>
      <w:r w:rsidRPr="00630713">
        <w:rPr>
          <w:bCs/>
          <w:noProof/>
          <w:sz w:val="18"/>
          <w:szCs w:val="18"/>
          <w:lang w:val="en-US"/>
        </w:rPr>
        <w:t xml:space="preserve">Intergovernmental Panel on Climate Change (IPCC), </w:t>
      </w:r>
      <w:r w:rsidRPr="00630713">
        <w:rPr>
          <w:bCs/>
          <w:i/>
          <w:noProof/>
          <w:sz w:val="18"/>
          <w:szCs w:val="18"/>
          <w:lang w:val="en-US"/>
        </w:rPr>
        <w:t>IPCC Special Report on Global Warming of 1.5</w:t>
      </w:r>
      <w:r w:rsidRPr="00630713">
        <w:rPr>
          <w:bCs/>
          <w:i/>
          <w:noProof/>
          <w:sz w:val="18"/>
          <w:szCs w:val="18"/>
          <w:vertAlign w:val="superscript"/>
          <w:lang w:val="en-US"/>
        </w:rPr>
        <w:t>o</w:t>
      </w:r>
      <w:r w:rsidRPr="00630713">
        <w:rPr>
          <w:bCs/>
          <w:i/>
          <w:noProof/>
          <w:sz w:val="18"/>
          <w:szCs w:val="18"/>
          <w:lang w:val="en-US"/>
        </w:rPr>
        <w:t>C</w:t>
      </w:r>
      <w:r w:rsidRPr="00630713">
        <w:rPr>
          <w:bCs/>
          <w:noProof/>
          <w:sz w:val="18"/>
          <w:szCs w:val="18"/>
          <w:lang w:val="en-US"/>
        </w:rPr>
        <w:t xml:space="preserve">; Pachauri et al., </w:t>
      </w:r>
      <w:r w:rsidRPr="00630713">
        <w:rPr>
          <w:bCs/>
          <w:i/>
          <w:noProof/>
          <w:sz w:val="18"/>
          <w:szCs w:val="18"/>
          <w:lang w:val="en-US"/>
        </w:rPr>
        <w:t>Climate Change 2014: Synthesis Report. Contribution of Working Groups I, II and III to the Fifth Assessment Report of the Intergovernmental Panel on Climate Change</w:t>
      </w:r>
      <w:r w:rsidRPr="00630713">
        <w:rPr>
          <w:bCs/>
          <w:noProof/>
          <w:sz w:val="18"/>
          <w:szCs w:val="18"/>
          <w:lang w:val="en-US"/>
        </w:rPr>
        <w:t>; Steffen et al., “Trajectories of the Earth System in the Anthropocene.”</w:t>
      </w:r>
      <w:r w:rsidRPr="00630713">
        <w:rPr>
          <w:sz w:val="18"/>
          <w:szCs w:val="18"/>
        </w:rPr>
        <w:fldChar w:fldCharType="end"/>
      </w:r>
    </w:p>
  </w:footnote>
  <w:footnote w:id="2">
    <w:p w:rsidR="00645096" w:rsidRPr="00630713" w:rsidRDefault="00645096" w:rsidP="00645096">
      <w:pPr>
        <w:pStyle w:val="FootnoteText"/>
        <w:rPr>
          <w:sz w:val="18"/>
          <w:szCs w:val="18"/>
        </w:rPr>
      </w:pPr>
      <w:r w:rsidRPr="00630713">
        <w:rPr>
          <w:rStyle w:val="FootnoteReference"/>
          <w:sz w:val="18"/>
          <w:szCs w:val="18"/>
        </w:rPr>
        <w:footnoteRef/>
      </w:r>
      <w:r w:rsidRPr="00630713">
        <w:rPr>
          <w:sz w:val="18"/>
          <w:szCs w:val="18"/>
        </w:rPr>
        <w:t xml:space="preserve"> </w:t>
      </w:r>
      <w:r w:rsidRPr="00630713">
        <w:rPr>
          <w:sz w:val="18"/>
          <w:szCs w:val="18"/>
        </w:rPr>
        <w:fldChar w:fldCharType="begin" w:fldLock="1"/>
      </w:r>
      <w:r w:rsidRPr="00630713">
        <w:rPr>
          <w:sz w:val="18"/>
          <w:szCs w:val="18"/>
        </w:rPr>
        <w:instrText>ADDIN CSL_CITATION {"citationItems":[{"id":"ITEM-1","itemData":{"author":[{"dropping-particle":"","family":"UNFCCC","given":"","non-dropping-particle":"","parse-names":false,"suffix":""}],"id":"ITEM-1","issued":{"date-parts":[["2015"]]},"title":"Paris Agreement Article 2(1)(a)","type":"legislation"},"uris":["http://www.mendeley.com/documents/?uuid=1e2fe87f-e46d-473e-9d3c-4830ed32e06c"]}],"mendeley":{"formattedCitation":"UNFCCC, &lt;i&gt;Paris Agreement Article 2(1)(A)&lt;/i&gt;.","plainTextFormattedCitation":"UNFCCC, Paris Agreement Article 2(1)(A).","previouslyFormattedCitation":"UNFCCC, &lt;i&gt;Paris Agreement Article 2(1)(A)&lt;/i&gt;."},"properties":{"noteIndex":2},"schema":"https://github.com/citation-style-language/schema/raw/master/csl-citation.json"}</w:instrText>
      </w:r>
      <w:r w:rsidRPr="00630713">
        <w:rPr>
          <w:sz w:val="18"/>
          <w:szCs w:val="18"/>
        </w:rPr>
        <w:fldChar w:fldCharType="separate"/>
      </w:r>
      <w:r w:rsidRPr="00630713">
        <w:rPr>
          <w:noProof/>
          <w:sz w:val="18"/>
          <w:szCs w:val="18"/>
        </w:rPr>
        <w:t xml:space="preserve">UNFCCC, </w:t>
      </w:r>
      <w:r w:rsidRPr="00630713">
        <w:rPr>
          <w:i/>
          <w:noProof/>
          <w:sz w:val="18"/>
          <w:szCs w:val="18"/>
        </w:rPr>
        <w:t>Paris Agreement Article 2(1)(A)</w:t>
      </w:r>
      <w:r w:rsidRPr="00630713">
        <w:rPr>
          <w:noProof/>
          <w:sz w:val="18"/>
          <w:szCs w:val="18"/>
        </w:rPr>
        <w:t>.</w:t>
      </w:r>
      <w:r w:rsidRPr="00630713">
        <w:rPr>
          <w:sz w:val="18"/>
          <w:szCs w:val="18"/>
        </w:rPr>
        <w:fldChar w:fldCharType="end"/>
      </w:r>
    </w:p>
  </w:footnote>
  <w:footnote w:id="3">
    <w:p w:rsidR="00645096" w:rsidRDefault="00645096" w:rsidP="00645096">
      <w:pPr>
        <w:pStyle w:val="FootnoteText"/>
      </w:pPr>
      <w:r w:rsidRPr="00630713">
        <w:rPr>
          <w:rStyle w:val="FootnoteReference"/>
          <w:sz w:val="18"/>
          <w:szCs w:val="18"/>
        </w:rPr>
        <w:footnoteRef/>
      </w:r>
      <w:r w:rsidRPr="00630713">
        <w:rPr>
          <w:sz w:val="18"/>
          <w:szCs w:val="18"/>
        </w:rPr>
        <w:t xml:space="preserve"> </w:t>
      </w:r>
      <w:r w:rsidRPr="00630713">
        <w:rPr>
          <w:sz w:val="18"/>
          <w:szCs w:val="18"/>
        </w:rPr>
        <w:fldChar w:fldCharType="begin" w:fldLock="1"/>
      </w:r>
      <w:r>
        <w:rPr>
          <w:sz w:val="18"/>
          <w:szCs w:val="18"/>
        </w:rPr>
        <w:instrText>ADDIN CSL_CITATION {"citationItems":[{"id":"ITEM-1","itemData":{"author":[{"dropping-particle":"","family":"Intergovernmental Panel on Climate Change (IPCC)","given":"","non-dropping-particle":"","parse-names":false,"suffix":""}],"id":"ITEM-1","issued":{"date-parts":[["2018"]]},"publisher-place":"Geneva","title":"IPCC Special Report on Global Warming of 1.5ºC","type":"report"},"uris":["http://www.mendeley.com/documents/?uuid=757156b7-15f9-4201-b41b-dcea5f6cf757"]}],"mendeley":{"formattedCitation":"Intergovernmental Panel on Climate Change (IPCC), &lt;i&gt;IPCC Special Report on Global Warming of 1.5&lt;sup&gt;o&lt;/sup&gt;C&lt;/i&gt;.","plainTextFormattedCitation":"Intergovernmental Panel on Climate Change (IPCC), IPCC Special Report on Global Warming of 1.5oC.","previouslyFormattedCitation":"Intergovernmental Panel on Climate Change (IPCC), &lt;i&gt;IPCC Special Report on Global Warming of 1.5&lt;sup&gt;o&lt;/sup&gt;C&lt;/i&gt;."},"properties":{"noteIndex":3},"schema":"https://github.com/citation-style-language/schema/raw/master/csl-citation.json"}</w:instrText>
      </w:r>
      <w:r w:rsidRPr="00630713">
        <w:rPr>
          <w:sz w:val="18"/>
          <w:szCs w:val="18"/>
        </w:rPr>
        <w:fldChar w:fldCharType="separate"/>
      </w:r>
      <w:r w:rsidRPr="00630713">
        <w:rPr>
          <w:noProof/>
          <w:sz w:val="18"/>
          <w:szCs w:val="18"/>
        </w:rPr>
        <w:t xml:space="preserve">Intergovernmental Panel on Climate Change (IPCC), </w:t>
      </w:r>
      <w:r w:rsidRPr="00630713">
        <w:rPr>
          <w:i/>
          <w:noProof/>
          <w:sz w:val="18"/>
          <w:szCs w:val="18"/>
        </w:rPr>
        <w:t>IPCC Special Report on Global Warming of 1.5</w:t>
      </w:r>
      <w:r w:rsidRPr="00630713">
        <w:rPr>
          <w:i/>
          <w:noProof/>
          <w:sz w:val="18"/>
          <w:szCs w:val="18"/>
          <w:vertAlign w:val="superscript"/>
        </w:rPr>
        <w:t>o</w:t>
      </w:r>
      <w:r w:rsidRPr="00630713">
        <w:rPr>
          <w:i/>
          <w:noProof/>
          <w:sz w:val="18"/>
          <w:szCs w:val="18"/>
        </w:rPr>
        <w:t>C</w:t>
      </w:r>
      <w:r w:rsidRPr="00630713">
        <w:rPr>
          <w:noProof/>
          <w:sz w:val="18"/>
          <w:szCs w:val="18"/>
        </w:rPr>
        <w:t>.</w:t>
      </w:r>
      <w:r w:rsidRPr="00630713">
        <w:rPr>
          <w:sz w:val="18"/>
          <w:szCs w:val="18"/>
        </w:rPr>
        <w:fldChar w:fldCharType="end"/>
      </w:r>
    </w:p>
  </w:footnote>
  <w:footnote w:id="4">
    <w:p w:rsidR="00645096" w:rsidRPr="00444373" w:rsidRDefault="00645096" w:rsidP="00645096">
      <w:pPr>
        <w:pStyle w:val="FootnoteText"/>
        <w:rPr>
          <w:sz w:val="16"/>
          <w:szCs w:val="16"/>
        </w:rPr>
      </w:pPr>
      <w:r w:rsidRPr="00444373">
        <w:rPr>
          <w:rStyle w:val="FootnoteReference"/>
          <w:sz w:val="16"/>
          <w:szCs w:val="16"/>
        </w:rPr>
        <w:footnoteRef/>
      </w:r>
      <w:r w:rsidRPr="00444373">
        <w:rPr>
          <w:sz w:val="16"/>
          <w:szCs w:val="16"/>
        </w:rPr>
        <w:t xml:space="preserve"> </w:t>
      </w:r>
      <w:r w:rsidRPr="00444373">
        <w:rPr>
          <w:sz w:val="16"/>
          <w:szCs w:val="16"/>
        </w:rPr>
        <w:fldChar w:fldCharType="begin" w:fldLock="1"/>
      </w:r>
      <w:r w:rsidRPr="00444373">
        <w:rPr>
          <w:sz w:val="16"/>
          <w:szCs w:val="16"/>
        </w:rPr>
        <w:instrText>ADDIN CSL_CITATION {"citationItems":[{"id":"ITEM-1","itemData":{"author":[{"dropping-particle":"","family":"Northern Territory Government","given":"","non-dropping-particle":"","parse-names":false,"suffix":""}],"id":"ITEM-1","issued":{"date-parts":[["2018"]]},"number-of-pages":"1-36","publisher-place":"Darwin","title":"Climate change: Mitigation and adaptation opportunities in the Northern Territory","type":"report"},"uris":["http://www.mendeley.com/documents/?uuid=eb4b2772-a7d6-44e2-a984-7c1c1d48a328"]}],"mendeley":{"formattedCitation":"Northern Territory Government, &lt;i&gt;Climate Change: Mitigation and Adaptation Opportunities in the Northern Territory&lt;/i&gt;.","plainTextFormattedCitation":"Northern Territory Government, Climate Change: Mitigation and Adaptation Opportunities in the Northern Territory.","previouslyFormattedCitation":"Northern Territory Government, &lt;i&gt;Climate Change: Mitigation and Adaptation Opportunities in the Northern Territory&lt;/i&gt;."},"properties":{"noteIndex":4},"schema":"https://github.com/citation-style-language/schema/raw/master/csl-citation.json"}</w:instrText>
      </w:r>
      <w:r w:rsidRPr="00444373">
        <w:rPr>
          <w:sz w:val="16"/>
          <w:szCs w:val="16"/>
        </w:rPr>
        <w:fldChar w:fldCharType="separate"/>
      </w:r>
      <w:r w:rsidRPr="00444373">
        <w:rPr>
          <w:noProof/>
          <w:sz w:val="16"/>
          <w:szCs w:val="16"/>
        </w:rPr>
        <w:t xml:space="preserve">Northern Territory Government, </w:t>
      </w:r>
      <w:r w:rsidRPr="00444373">
        <w:rPr>
          <w:i/>
          <w:noProof/>
          <w:sz w:val="16"/>
          <w:szCs w:val="16"/>
        </w:rPr>
        <w:t>Climate Change: Mitigation and Adaptation Opportunities in the Northern Territory</w:t>
      </w:r>
      <w:r w:rsidRPr="00444373">
        <w:rPr>
          <w:noProof/>
          <w:sz w:val="16"/>
          <w:szCs w:val="16"/>
        </w:rPr>
        <w:t>.</w:t>
      </w:r>
      <w:r w:rsidRPr="00444373">
        <w:rPr>
          <w:sz w:val="16"/>
          <w:szCs w:val="16"/>
        </w:rPr>
        <w:fldChar w:fldCharType="end"/>
      </w:r>
    </w:p>
  </w:footnote>
  <w:footnote w:id="5">
    <w:p w:rsidR="00645096" w:rsidRPr="00444373" w:rsidRDefault="00645096" w:rsidP="00645096">
      <w:pPr>
        <w:pStyle w:val="FootnoteText"/>
        <w:rPr>
          <w:sz w:val="16"/>
          <w:szCs w:val="16"/>
        </w:rPr>
      </w:pPr>
      <w:r w:rsidRPr="00444373">
        <w:rPr>
          <w:rStyle w:val="FootnoteReference"/>
          <w:sz w:val="16"/>
          <w:szCs w:val="16"/>
        </w:rPr>
        <w:footnoteRef/>
      </w:r>
      <w:r w:rsidRPr="00444373">
        <w:rPr>
          <w:sz w:val="16"/>
          <w:szCs w:val="16"/>
        </w:rPr>
        <w:t xml:space="preserve"> </w:t>
      </w:r>
      <w:r w:rsidRPr="00444373">
        <w:rPr>
          <w:sz w:val="16"/>
          <w:szCs w:val="16"/>
        </w:rPr>
        <w:fldChar w:fldCharType="begin" w:fldLock="1"/>
      </w:r>
      <w:r w:rsidRPr="00444373">
        <w:rPr>
          <w:sz w:val="16"/>
          <w:szCs w:val="16"/>
        </w:rPr>
        <w:instrText>ADDIN CSL_CITATION {"citationItems":[{"id":"ITEM-1","itemData":{"ISBN":"9291691437","author":[{"dropping-particle":"","family":"Pachauri","given":"Rajendra K","non-dropping-particle":"","parse-names":false,"suffix":""},{"dropping-particle":"","family":"Allen","given":"Myles R","non-dropping-particle":"","parse-names":false,"suffix":""},{"dropping-particle":"","family":"Barros","given":"Vicente R","non-dropping-particle":"","parse-names":false,"suffix":""},{"dropping-particle":"","family":"Broome","given":"John","non-dropping-particle":"","parse-names":false,"suffix":""},{"dropping-particle":"","family":"Cramer","given":"Wolfgang","non-dropping-particle":"","parse-names":false,"suffix":""},{"dropping-particle":"","family":"Christ","given":"Renate","non-dropping-particle":"","parse-names":false,"suffix":""},{"dropping-particle":"","family":"Church","given":"John A","non-dropping-particle":"","parse-names":false,"suffix":""},{"dropping-particle":"","family":"Clarke","given":"Leon","non-dropping-particle":"","parse-names":false,"suffix":""},{"dropping-particle":"","family":"Dahe","given":"Qin","non-dropping-particle":"","parse-names":false,"suffix":""},{"dropping-particle":"","family":"Dasgupta","given":"Purnamita","non-dropping-particle":"","parse-names":false,"suffix":""}],"id":"ITEM-1","issued":{"date-parts":[["2014"]]},"publisher":"IPCC","title":"Climate change 2014: synthesis report. Contribution of Working Groups I, II and III to the fifth assessment report of the Intergovernmental Panel on Climate Change","type":"book"},"uris":["http://www.mendeley.com/documents/?uuid=602df78c-7b88-4031-9640-7c4e7b23844f"]}],"mendeley":{"formattedCitation":"Pachauri et al., &lt;i&gt;Climate Change 2014: Synthesis Report. Contribution of Working Groups I, II and III to the Fifth Assessment Report of the Intergovernmental Panel on Climate Change&lt;/i&gt;.","plainTextFormattedCitation":"Pachauri et al., Climate Change 2014: Synthesis Report. Contribution of Working Groups I, II and III to the Fifth Assessment Report of the Intergovernmental Panel on Climate Change.","previouslyFormattedCitation":"Pachauri et al., &lt;i&gt;Climate Change 2014: Synthesis Report. Contribution of Working Groups I, II and III to the Fifth Assessment Report of the Intergovernmental Panel on Climate Change&lt;/i&gt;."},"properties":{"noteIndex":5},"schema":"https://github.com/citation-style-language/schema/raw/master/csl-citation.json"}</w:instrText>
      </w:r>
      <w:r w:rsidRPr="00444373">
        <w:rPr>
          <w:sz w:val="16"/>
          <w:szCs w:val="16"/>
        </w:rPr>
        <w:fldChar w:fldCharType="separate"/>
      </w:r>
      <w:r w:rsidRPr="00444373">
        <w:rPr>
          <w:noProof/>
          <w:sz w:val="16"/>
          <w:szCs w:val="16"/>
        </w:rPr>
        <w:t xml:space="preserve">Pachauri et al., </w:t>
      </w:r>
      <w:r w:rsidRPr="00444373">
        <w:rPr>
          <w:i/>
          <w:noProof/>
          <w:sz w:val="16"/>
          <w:szCs w:val="16"/>
        </w:rPr>
        <w:t>Climate Change 2014: Synthesis Report. Contribution of Working Groups I, II and III to the Fifth Assessment Report of the Intergovernmental Panel on Climate Change</w:t>
      </w:r>
      <w:r w:rsidRPr="00444373">
        <w:rPr>
          <w:noProof/>
          <w:sz w:val="16"/>
          <w:szCs w:val="16"/>
        </w:rPr>
        <w:t>.</w:t>
      </w:r>
      <w:r w:rsidRPr="00444373">
        <w:rPr>
          <w:sz w:val="16"/>
          <w:szCs w:val="16"/>
        </w:rPr>
        <w:fldChar w:fldCharType="end"/>
      </w:r>
    </w:p>
  </w:footnote>
  <w:footnote w:id="6">
    <w:p w:rsidR="00645096" w:rsidRPr="00444373" w:rsidRDefault="00645096" w:rsidP="00645096">
      <w:pPr>
        <w:pStyle w:val="FootnoteText"/>
        <w:rPr>
          <w:sz w:val="16"/>
          <w:szCs w:val="16"/>
        </w:rPr>
      </w:pPr>
      <w:r w:rsidRPr="00444373">
        <w:rPr>
          <w:rStyle w:val="FootnoteReference"/>
          <w:sz w:val="16"/>
          <w:szCs w:val="16"/>
        </w:rPr>
        <w:footnoteRef/>
      </w:r>
      <w:r w:rsidRPr="00444373">
        <w:rPr>
          <w:sz w:val="16"/>
          <w:szCs w:val="16"/>
        </w:rPr>
        <w:t xml:space="preserve"> </w:t>
      </w:r>
      <w:r w:rsidRPr="00444373">
        <w:rPr>
          <w:sz w:val="16"/>
          <w:szCs w:val="16"/>
        </w:rPr>
        <w:fldChar w:fldCharType="begin" w:fldLock="1"/>
      </w:r>
      <w:r w:rsidRPr="00444373">
        <w:rPr>
          <w:sz w:val="16"/>
          <w:szCs w:val="16"/>
        </w:rPr>
        <w:instrText>ADDIN CSL_CITATION {"citationItems":[{"id":"ITEM-1","itemData":{"author":[{"dropping-particle":"","family":"Intergovernmental Panel on Climate Change (IPCC)","given":"","non-dropping-particle":"","parse-names":false,"suffix":""}],"id":"ITEM-1","issued":{"date-parts":[["2018"]]},"publisher-place":"Geneva","title":"IPCC Special Report on Global Warming of 1.5ºC","type":"report"},"uris":["http://www.mendeley.com/documents/?uuid=757156b7-15f9-4201-b41b-dcea5f6cf757"]}],"mendeley":{"formattedCitation":"Intergovernmental Panel on Climate Change (IPCC), &lt;i&gt;IPCC Special Report on Global Warming of 1.5&lt;sup&gt;o&lt;/sup&gt;C&lt;/i&gt;.","plainTextFormattedCitation":"Intergovernmental Panel on Climate Change (IPCC), IPCC Special Report on Global Warming of 1.5oC.","previouslyFormattedCitation":"Intergovernmental Panel on Climate Change (IPCC), &lt;i&gt;IPCC Special Report on Global Warming of 1.5&lt;sup&gt;o&lt;/sup&gt;C&lt;/i&gt;."},"properties":{"noteIndex":6},"schema":"https://github.com/citation-style-language/schema/raw/master/csl-citation.json"}</w:instrText>
      </w:r>
      <w:r w:rsidRPr="00444373">
        <w:rPr>
          <w:sz w:val="16"/>
          <w:szCs w:val="16"/>
        </w:rPr>
        <w:fldChar w:fldCharType="separate"/>
      </w:r>
      <w:r w:rsidRPr="00444373">
        <w:rPr>
          <w:noProof/>
          <w:sz w:val="16"/>
          <w:szCs w:val="16"/>
        </w:rPr>
        <w:t xml:space="preserve">Intergovernmental Panel on Climate Change (IPCC), </w:t>
      </w:r>
      <w:r w:rsidRPr="00444373">
        <w:rPr>
          <w:i/>
          <w:noProof/>
          <w:sz w:val="16"/>
          <w:szCs w:val="16"/>
        </w:rPr>
        <w:t>IPCC Special Report on Global Warming of 1.5</w:t>
      </w:r>
      <w:r w:rsidRPr="00444373">
        <w:rPr>
          <w:i/>
          <w:noProof/>
          <w:sz w:val="16"/>
          <w:szCs w:val="16"/>
          <w:vertAlign w:val="superscript"/>
        </w:rPr>
        <w:t>o</w:t>
      </w:r>
      <w:r w:rsidRPr="00444373">
        <w:rPr>
          <w:i/>
          <w:noProof/>
          <w:sz w:val="16"/>
          <w:szCs w:val="16"/>
        </w:rPr>
        <w:t>C</w:t>
      </w:r>
      <w:r w:rsidRPr="00444373">
        <w:rPr>
          <w:noProof/>
          <w:sz w:val="16"/>
          <w:szCs w:val="16"/>
        </w:rPr>
        <w:t>.</w:t>
      </w:r>
      <w:r w:rsidRPr="00444373">
        <w:rPr>
          <w:sz w:val="16"/>
          <w:szCs w:val="16"/>
        </w:rPr>
        <w:fldChar w:fldCharType="end"/>
      </w:r>
    </w:p>
  </w:footnote>
  <w:footnote w:id="7">
    <w:p w:rsidR="00645096" w:rsidRPr="00444373" w:rsidRDefault="00645096" w:rsidP="00645096">
      <w:pPr>
        <w:pStyle w:val="FootnoteText"/>
        <w:rPr>
          <w:sz w:val="16"/>
          <w:szCs w:val="16"/>
        </w:rPr>
      </w:pPr>
      <w:r w:rsidRPr="00444373">
        <w:rPr>
          <w:rStyle w:val="FootnoteReference"/>
          <w:sz w:val="16"/>
          <w:szCs w:val="16"/>
        </w:rPr>
        <w:footnoteRef/>
      </w:r>
      <w:r w:rsidRPr="00444373">
        <w:rPr>
          <w:sz w:val="16"/>
          <w:szCs w:val="16"/>
        </w:rPr>
        <w:t xml:space="preserve"> </w:t>
      </w:r>
      <w:r w:rsidRPr="00444373">
        <w:rPr>
          <w:sz w:val="16"/>
          <w:szCs w:val="16"/>
        </w:rPr>
        <w:fldChar w:fldCharType="begin" w:fldLock="1"/>
      </w:r>
      <w:r w:rsidRPr="00444373">
        <w:rPr>
          <w:sz w:val="16"/>
          <w:szCs w:val="16"/>
        </w:rPr>
        <w:instrText>ADDIN CSL_CITATION {"citationItems":[{"id":"ITEM-1","itemData":{"author":[{"dropping-particle":"","family":"Intergovernmental Panel on Climate Change (IPCC)","given":"","non-dropping-particle":"","parse-names":false,"suffix":""}],"id":"ITEM-1","issued":{"date-parts":[["2018"]]},"publisher-place":"Geneva","title":"IPCC Special Report on Global Warming of 1.5ºC","type":"report"},"uris":["http://www.mendeley.com/documents/?uuid=757156b7-15f9-4201-b41b-dcea5f6cf757"]}],"mendeley":{"formattedCitation":"Ibid.","plainTextFormattedCitation":"Ibid.","previouslyFormattedCitation":"Ibid."},"properties":{"noteIndex":7},"schema":"https://github.com/citation-style-language/schema/raw/master/csl-citation.json"}</w:instrText>
      </w:r>
      <w:r w:rsidRPr="00444373">
        <w:rPr>
          <w:sz w:val="16"/>
          <w:szCs w:val="16"/>
        </w:rPr>
        <w:fldChar w:fldCharType="separate"/>
      </w:r>
      <w:r w:rsidRPr="00444373">
        <w:rPr>
          <w:noProof/>
          <w:sz w:val="16"/>
          <w:szCs w:val="16"/>
        </w:rPr>
        <w:t>Ibid.</w:t>
      </w:r>
      <w:r w:rsidRPr="00444373">
        <w:rPr>
          <w:sz w:val="16"/>
          <w:szCs w:val="16"/>
        </w:rPr>
        <w:fldChar w:fldCharType="end"/>
      </w:r>
    </w:p>
  </w:footnote>
  <w:footnote w:id="8">
    <w:p w:rsidR="00645096" w:rsidRPr="00444373" w:rsidRDefault="00645096" w:rsidP="00645096">
      <w:pPr>
        <w:pStyle w:val="FootnoteText"/>
        <w:rPr>
          <w:sz w:val="16"/>
          <w:szCs w:val="16"/>
        </w:rPr>
      </w:pPr>
      <w:r w:rsidRPr="00444373">
        <w:rPr>
          <w:rStyle w:val="FootnoteReference"/>
          <w:sz w:val="16"/>
          <w:szCs w:val="16"/>
        </w:rPr>
        <w:footnoteRef/>
      </w:r>
      <w:r w:rsidRPr="00444373">
        <w:rPr>
          <w:sz w:val="16"/>
          <w:szCs w:val="16"/>
        </w:rPr>
        <w:t xml:space="preserve"> </w:t>
      </w:r>
      <w:r w:rsidRPr="00444373">
        <w:rPr>
          <w:sz w:val="16"/>
          <w:szCs w:val="16"/>
        </w:rPr>
        <w:fldChar w:fldCharType="begin" w:fldLock="1"/>
      </w:r>
      <w:r>
        <w:rPr>
          <w:sz w:val="16"/>
          <w:szCs w:val="16"/>
        </w:rPr>
        <w:instrText>ADDIN CSL_CITATION {"citationItems":[{"id":"ITEM-1","itemData":{"abstract":"The development of unconventional gas extraction has led to significant declines in gas prices, recently followed by a large drop of oil prices. This is also the year which is supposed to deliver the long awaited post 2020 climate agreement. This article brings different pieces of research together, delving on both issues. First, we review the regional implications of a possible agreement at the UNFCCC meeting in Paris. We assess the impact of abundant natural gas on climate change. Finally, we conclude with an analysis of the interplay of natural gas and climate policy in Europe.","author":[{"dropping-particle":"","family":"Tyndall Centre for Climate Change Research Manchester","given":"","non-dropping-particle":"","parse-names":false,"suffix":""},{"dropping-particle":"","family":"CEMUS","given":"","non-dropping-particle":"","parse-names":false,"suffix":""},{"dropping-particle":"","family":"Upsala University","given":"","non-dropping-particle":"","parse-names":false,"suffix":""},{"dropping-particle":"","family":"SLU","given":"","non-dropping-particle":"","parse-names":false,"suffix":""},{"dropping-particle":"","family":"Teesside University","given":"","non-dropping-particle":"","parse-names":false,"suffix":""}],"id":"ITEM-1","issue":"October","issued":{"date-parts":[["2017"]]},"number-of-pages":"58","publisher-place":"Manchester","title":"Natural Gas and Climate Change","type":"report"},"uris":["http://www.mendeley.com/documents/?uuid=d389b3c2-fe06-494e-b7db-32306249fdb2"]}],"mendeley":{"formattedCitation":"Tyndall Centre for Climate Change Research Manchester et al., &lt;i&gt;Natural Gas and Climate Change&lt;/i&gt;.","plainTextFormattedCitation":"Tyndall Centre for Climate Change Research Manchester et al., Natural Gas and Climate Change.","previouslyFormattedCitation":"Tyndall Centre for Climate Change Research Manchester et al., &lt;i&gt;Natural Gas and Climate Change&lt;/i&gt;."},"properties":{"noteIndex":8},"schema":"https://github.com/citation-style-language/schema/raw/master/csl-citation.json"}</w:instrText>
      </w:r>
      <w:r w:rsidRPr="00444373">
        <w:rPr>
          <w:sz w:val="16"/>
          <w:szCs w:val="16"/>
        </w:rPr>
        <w:fldChar w:fldCharType="separate"/>
      </w:r>
      <w:r w:rsidRPr="00444373">
        <w:rPr>
          <w:noProof/>
          <w:sz w:val="16"/>
          <w:szCs w:val="16"/>
        </w:rPr>
        <w:t xml:space="preserve">Tyndall Centre for Climate Change Research Manchester et al., </w:t>
      </w:r>
      <w:r w:rsidRPr="00444373">
        <w:rPr>
          <w:i/>
          <w:noProof/>
          <w:sz w:val="16"/>
          <w:szCs w:val="16"/>
        </w:rPr>
        <w:t>Natural Gas and Climate Change</w:t>
      </w:r>
      <w:r w:rsidRPr="00444373">
        <w:rPr>
          <w:noProof/>
          <w:sz w:val="16"/>
          <w:szCs w:val="16"/>
        </w:rPr>
        <w:t>.</w:t>
      </w:r>
      <w:r w:rsidRPr="00444373">
        <w:rPr>
          <w:sz w:val="16"/>
          <w:szCs w:val="16"/>
        </w:rPr>
        <w:fldChar w:fldCharType="end"/>
      </w:r>
    </w:p>
  </w:footnote>
  <w:footnote w:id="9">
    <w:p w:rsidR="00645096" w:rsidRPr="00444373" w:rsidRDefault="00645096" w:rsidP="00645096">
      <w:pPr>
        <w:pStyle w:val="FootnoteText"/>
        <w:rPr>
          <w:sz w:val="16"/>
          <w:szCs w:val="16"/>
        </w:rPr>
      </w:pPr>
      <w:r w:rsidRPr="00444373">
        <w:rPr>
          <w:rStyle w:val="FootnoteReference"/>
          <w:sz w:val="16"/>
          <w:szCs w:val="16"/>
        </w:rPr>
        <w:footnoteRef/>
      </w:r>
      <w:r w:rsidRPr="00444373">
        <w:rPr>
          <w:sz w:val="16"/>
          <w:szCs w:val="16"/>
        </w:rPr>
        <w:t xml:space="preserve"> </w:t>
      </w:r>
      <w:r w:rsidRPr="00444373">
        <w:rPr>
          <w:sz w:val="16"/>
          <w:szCs w:val="16"/>
        </w:rPr>
        <w:fldChar w:fldCharType="begin" w:fldLock="1"/>
      </w:r>
      <w:r>
        <w:rPr>
          <w:sz w:val="16"/>
          <w:szCs w:val="16"/>
        </w:rPr>
        <w:instrText>ADDIN CSL_CITATION {"citationItems":[{"id":"ITEM-1","itemData":{"author":[{"dropping-particle":"","family":"Victoria State Government","given":"","non-dropping-particle":"","parse-names":false,"suffix":""}],"id":"ITEM-1","issued":{"date-parts":[["2018"]]},"title":"Emissions reduction targets","type":"webpage"},"uris":["http://www.mendeley.com/documents/?uuid=699b9d27-e397-4115-abf9-86f2dc98b754"]}],"mendeley":{"formattedCitation":"Victoria State Government, “Emissions Reduction Targets.”","plainTextFormattedCitation":"Victoria State Government, “Emissions Reduction Targets.”","previouslyFormattedCitation":"Victoria State Government, “Emissions Reduction Targets.”"},"properties":{"noteIndex":9},"schema":"https://github.com/citation-style-language/schema/raw/master/csl-citation.json"}</w:instrText>
      </w:r>
      <w:r w:rsidRPr="00444373">
        <w:rPr>
          <w:sz w:val="16"/>
          <w:szCs w:val="16"/>
        </w:rPr>
        <w:fldChar w:fldCharType="separate"/>
      </w:r>
      <w:r w:rsidRPr="00444373">
        <w:rPr>
          <w:noProof/>
          <w:sz w:val="16"/>
          <w:szCs w:val="16"/>
        </w:rPr>
        <w:t>Victoria State Government, “Emissions Reduction Targets.”</w:t>
      </w:r>
      <w:r w:rsidRPr="00444373">
        <w:rPr>
          <w:sz w:val="16"/>
          <w:szCs w:val="16"/>
        </w:rPr>
        <w:fldChar w:fldCharType="end"/>
      </w:r>
    </w:p>
  </w:footnote>
  <w:footnote w:id="10">
    <w:p w:rsidR="00645096" w:rsidRPr="00444373" w:rsidRDefault="00645096" w:rsidP="00645096">
      <w:pPr>
        <w:pStyle w:val="FootnoteText"/>
        <w:rPr>
          <w:sz w:val="16"/>
          <w:szCs w:val="16"/>
        </w:rPr>
      </w:pPr>
      <w:r w:rsidRPr="00444373">
        <w:rPr>
          <w:rStyle w:val="FootnoteReference"/>
          <w:sz w:val="16"/>
          <w:szCs w:val="16"/>
        </w:rPr>
        <w:footnoteRef/>
      </w:r>
      <w:r w:rsidRPr="00444373">
        <w:rPr>
          <w:sz w:val="16"/>
          <w:szCs w:val="16"/>
        </w:rPr>
        <w:t xml:space="preserve"> </w:t>
      </w:r>
      <w:r w:rsidRPr="00444373">
        <w:rPr>
          <w:sz w:val="16"/>
          <w:szCs w:val="16"/>
        </w:rPr>
        <w:fldChar w:fldCharType="begin" w:fldLock="1"/>
      </w:r>
      <w:r>
        <w:rPr>
          <w:sz w:val="16"/>
          <w:szCs w:val="16"/>
        </w:rPr>
        <w:instrText>ADDIN CSL_CITATION {"citationItems":[{"id":"ITEM-1","itemData":{"abstract":"Sea Cliff Bridge (credit: Olga Kashubin/Shutterstock.com) 1 Achieving net-zero emissions by 2050 The NSW Government has committed to an aspirational objective of achieving net-zero emissions by 2050. This aspirational objective is intended to provide a clear statement of the government's intent, commitment, and level of ambition and to set expectations about future emissions pathways that will help the private sector and government agencies to plan and act. It is consistent with the Paris Agreement which the Commonwealth Government has committed to ratifying, and is intended to complement, rather than replicate or duplicate the Commonwealth Government's shorter term national emissions reduction targets. WHAT DOES NET-ZERO EMISSIONS MEAN? Net-zero emissions means NSW emissions will be balanced by carbon storage. The more emissions are reduced, the less sequestration is needed to achieve net-zero.","author":[{"dropping-particle":"","family":"Goverment of NSW","given":"","non-dropping-particle":"","parse-names":false,"suffix":""}],"id":"ITEM-1","issued":{"date-parts":[["2016"]]},"number-of-pages":"1-3","publisher-place":"Sydney","title":"Achieving net-zero emissions by 2050","type":"report"},"uris":["http://www.mendeley.com/documents/?uuid=b6a3adfa-5231-4872-9ce1-7dbdcc3bd4a9"]}],"mendeley":{"formattedCitation":"Goverment of NSW, &lt;i&gt;Achieving Net-Zero Emissions by 2050&lt;/i&gt;.","plainTextFormattedCitation":"Goverment of NSW, Achieving Net-Zero Emissions by 2050.","previouslyFormattedCitation":"Goverment of NSW, &lt;i&gt;Achieving Net-Zero Emissions by 2050&lt;/i&gt;."},"properties":{"noteIndex":10},"schema":"https://github.com/citation-style-language/schema/raw/master/csl-citation.json"}</w:instrText>
      </w:r>
      <w:r w:rsidRPr="00444373">
        <w:rPr>
          <w:sz w:val="16"/>
          <w:szCs w:val="16"/>
        </w:rPr>
        <w:fldChar w:fldCharType="separate"/>
      </w:r>
      <w:r w:rsidRPr="00444373">
        <w:rPr>
          <w:noProof/>
          <w:sz w:val="16"/>
          <w:szCs w:val="16"/>
        </w:rPr>
        <w:t xml:space="preserve">Goverment of NSW, </w:t>
      </w:r>
      <w:r w:rsidRPr="00444373">
        <w:rPr>
          <w:i/>
          <w:noProof/>
          <w:sz w:val="16"/>
          <w:szCs w:val="16"/>
        </w:rPr>
        <w:t>Achieving Net-Zero Emissions by 2050</w:t>
      </w:r>
      <w:r w:rsidRPr="00444373">
        <w:rPr>
          <w:noProof/>
          <w:sz w:val="16"/>
          <w:szCs w:val="16"/>
        </w:rPr>
        <w:t>.</w:t>
      </w:r>
      <w:r w:rsidRPr="00444373">
        <w:rPr>
          <w:sz w:val="16"/>
          <w:szCs w:val="16"/>
        </w:rPr>
        <w:fldChar w:fldCharType="end"/>
      </w:r>
    </w:p>
  </w:footnote>
  <w:footnote w:id="11">
    <w:p w:rsidR="00645096" w:rsidRPr="00444373" w:rsidRDefault="00645096" w:rsidP="00645096">
      <w:pPr>
        <w:pStyle w:val="FootnoteText"/>
        <w:rPr>
          <w:sz w:val="16"/>
          <w:szCs w:val="16"/>
        </w:rPr>
      </w:pPr>
      <w:r w:rsidRPr="00444373">
        <w:rPr>
          <w:rStyle w:val="FootnoteReference"/>
          <w:sz w:val="16"/>
          <w:szCs w:val="16"/>
        </w:rPr>
        <w:footnoteRef/>
      </w:r>
      <w:r w:rsidRPr="00444373">
        <w:rPr>
          <w:sz w:val="16"/>
          <w:szCs w:val="16"/>
        </w:rPr>
        <w:t xml:space="preserve"> </w:t>
      </w:r>
      <w:r w:rsidRPr="00444373">
        <w:rPr>
          <w:sz w:val="16"/>
          <w:szCs w:val="16"/>
        </w:rPr>
        <w:fldChar w:fldCharType="begin" w:fldLock="1"/>
      </w:r>
      <w:r>
        <w:rPr>
          <w:sz w:val="16"/>
          <w:szCs w:val="16"/>
        </w:rPr>
        <w:instrText>ADDIN CSL_CITATION {"citationItems":[{"id":"ITEM-1","itemData":{"author":[{"dropping-particle":"","family":"Tasmanian Government","given":"","non-dropping-particle":"","parse-names":false,"suffix":""}],"id":"ITEM-1","issued":{"date-parts":[["2018"]]},"title":"Tasmania achieves zero net emissions for the first time","type":"webpage"},"uris":["http://www.mendeley.com/documents/?uuid=379498fe-c42f-4d1d-a41d-10a988234252"]}],"mendeley":{"formattedCitation":"Tasmanian Government, “Tasmania Achieves Zero Net Emissions for the First Time.”","plainTextFormattedCitation":"Tasmanian Government, “Tasmania Achieves Zero Net Emissions for the First Time.”","previouslyFormattedCitation":"Tasmanian Government, “Tasmania Achieves Zero Net Emissions for the First Time.”"},"properties":{"noteIndex":11},"schema":"https://github.com/citation-style-language/schema/raw/master/csl-citation.json"}</w:instrText>
      </w:r>
      <w:r w:rsidRPr="00444373">
        <w:rPr>
          <w:sz w:val="16"/>
          <w:szCs w:val="16"/>
        </w:rPr>
        <w:fldChar w:fldCharType="separate"/>
      </w:r>
      <w:r w:rsidRPr="00444373">
        <w:rPr>
          <w:noProof/>
          <w:sz w:val="16"/>
          <w:szCs w:val="16"/>
        </w:rPr>
        <w:t>Tasmanian Government, “Tasmania Achieves Zero Net Emissions for the First Time.”</w:t>
      </w:r>
      <w:r w:rsidRPr="00444373">
        <w:rPr>
          <w:sz w:val="16"/>
          <w:szCs w:val="16"/>
        </w:rPr>
        <w:fldChar w:fldCharType="end"/>
      </w:r>
    </w:p>
  </w:footnote>
  <w:footnote w:id="12">
    <w:p w:rsidR="00645096" w:rsidRPr="00444373" w:rsidRDefault="00645096" w:rsidP="00645096">
      <w:pPr>
        <w:pStyle w:val="FootnoteText"/>
        <w:rPr>
          <w:sz w:val="16"/>
          <w:szCs w:val="16"/>
        </w:rPr>
      </w:pPr>
      <w:r w:rsidRPr="00444373">
        <w:rPr>
          <w:rStyle w:val="FootnoteReference"/>
          <w:sz w:val="16"/>
          <w:szCs w:val="16"/>
        </w:rPr>
        <w:footnoteRef/>
      </w:r>
      <w:r w:rsidRPr="00444373">
        <w:rPr>
          <w:sz w:val="16"/>
          <w:szCs w:val="16"/>
        </w:rPr>
        <w:t xml:space="preserve"> </w:t>
      </w:r>
      <w:r w:rsidRPr="00444373">
        <w:rPr>
          <w:sz w:val="16"/>
          <w:szCs w:val="16"/>
        </w:rPr>
        <w:fldChar w:fldCharType="begin" w:fldLock="1"/>
      </w:r>
      <w:r>
        <w:rPr>
          <w:sz w:val="16"/>
          <w:szCs w:val="16"/>
        </w:rPr>
        <w:instrText>ADDIN CSL_CITATION {"citationItems":[{"id":"ITEM-1","itemData":{"URL":"https://www.environment.sa.gov.au/topics/climate-change/south-australias-greenhouse-gas-emissions","author":[{"dropping-particle":"","family":"Government of South Australia","given":"","non-dropping-particle":"","parse-names":false,"suffix":""}],"id":"ITEM-1","issued":{"date-parts":[["2017"]]},"title":"South Australian Climate Change Action","type":"webpage"},"uris":["http://www.mendeley.com/documents/?uuid=c0e0bfec-651b-4dbc-a553-a5aa891f2017"]}],"mendeley":{"formattedCitation":"Government of South Australia, “South Australian Climate Change Action.”","plainTextFormattedCitation":"Government of South Australia, “South Australian Climate Change Action.”","previouslyFormattedCitation":"Government of South Australia, “South Australian Climate Change Action.”"},"properties":{"noteIndex":12},"schema":"https://github.com/citation-style-language/schema/raw/master/csl-citation.json"}</w:instrText>
      </w:r>
      <w:r w:rsidRPr="00444373">
        <w:rPr>
          <w:sz w:val="16"/>
          <w:szCs w:val="16"/>
        </w:rPr>
        <w:fldChar w:fldCharType="separate"/>
      </w:r>
      <w:r w:rsidRPr="00444373">
        <w:rPr>
          <w:noProof/>
          <w:sz w:val="16"/>
          <w:szCs w:val="16"/>
        </w:rPr>
        <w:t>Government of South Australia, “South Australian Climate Change Action.”</w:t>
      </w:r>
      <w:r w:rsidRPr="00444373">
        <w:rPr>
          <w:sz w:val="16"/>
          <w:szCs w:val="16"/>
        </w:rPr>
        <w:fldChar w:fldCharType="end"/>
      </w:r>
    </w:p>
  </w:footnote>
  <w:footnote w:id="13">
    <w:p w:rsidR="00645096" w:rsidRPr="00444373" w:rsidRDefault="00645096" w:rsidP="00645096">
      <w:pPr>
        <w:pStyle w:val="FootnoteText"/>
        <w:rPr>
          <w:sz w:val="16"/>
          <w:szCs w:val="16"/>
        </w:rPr>
      </w:pPr>
      <w:r w:rsidRPr="00444373">
        <w:rPr>
          <w:rStyle w:val="FootnoteReference"/>
          <w:sz w:val="16"/>
          <w:szCs w:val="16"/>
        </w:rPr>
        <w:footnoteRef/>
      </w:r>
      <w:r w:rsidRPr="00444373">
        <w:rPr>
          <w:sz w:val="16"/>
          <w:szCs w:val="16"/>
        </w:rPr>
        <w:t xml:space="preserve"> </w:t>
      </w:r>
      <w:r w:rsidRPr="00444373">
        <w:rPr>
          <w:sz w:val="16"/>
          <w:szCs w:val="16"/>
        </w:rPr>
        <w:fldChar w:fldCharType="begin" w:fldLock="1"/>
      </w:r>
      <w:r>
        <w:rPr>
          <w:sz w:val="16"/>
          <w:szCs w:val="16"/>
        </w:rPr>
        <w:instrText>ADDIN CSL_CITATION {"citationItems":[{"id":"ITEM-1","itemData":{"abstract":"Queenslanders want action on climate change. In an overwhelming response to our discussion paper Advancing Climate Action in Queensland: Making the transition to a low carbon future, Queenslanders told us that action on climate change is needed now to create new jobs and sustainable communities in Queensland. From tourism operators on the Great Barrier Reef, who witnessed the worst coral bleaching event ever seen, to resource communities keen to ensure the long term viability of jobs, to business looking for the markets of the future, to Indigenous communities who see the opportunity for home-grown, carbon-exporting industries: all want a strong economy and a healthy environment for our kids to enjoy. Stronger national action remains the most effective and least-cost way to reduce Australia's—and Queensland's—carbon pollution. The Palaszczuk Government will continue to advocate for clear and credible national climate and energy policy settings that will cap and drive down carbon pollution, in accordance with our international obligations. But we are also acting now to ensure our communities and workforce are ready to capitalise on the opportunities of the global transition, and that we are putting in place the right measures to attract the new investment and industries of the clean growth economy. The International Renewable Energy Agency, along with International Energy Agency, estimate the global compact to keep global warming to well below 2 degrees Celsius will add $19 trillion to the world economy and create 6 million new jobs. We will create our fair share of these jobs of the future here in Queensland. In this Climate Transition Strategy we set out how we will set Queensland on the pathway to transition to a clean growth economy. The first step is to set a goal, and that is for Queensland to achieve zero net emissions by 2050. We will also: • Generate 50% of Queensland's energy from renewable sources by 2030. • Continue to advocate for national policies that will reduce carbon pollution. • Lead by example by working to reduce the carbon pollution created by government operations and buildings. • Take actions that will help create the jobs of the future in Queensland. • Support businesses and households to increase their sustainability and decrease their expenses. Queensland is already experiencing the impacts of a changing climate. Alongside this transition strategy is the Queensland Climate Adaptation Strategy 'Pathways to a climate resilient Qu…","author":[{"dropping-particle":"","family":"Department of Environment and Heritage Protection","given":"","non-dropping-particle":"","parse-names":false,"suffix":""}],"id":"ITEM-1","issued":{"date-parts":[["2017"]]},"number-of-pages":"37","publisher-place":"Brisbane","title":"Pathways to a clean growth economy: Queensland Climate Transition Strategy","type":"report"},"uris":["http://www.mendeley.com/documents/?uuid=1e19601d-8562-4afe-ad5a-4fd0700e72ee"]}],"mendeley":{"formattedCitation":"Department of Environment and Heritage Protection, &lt;i&gt;Pathways to a Clean Growth Economy: Queensland Climate Transition Strategy&lt;/i&gt;.","plainTextFormattedCitation":"Department of Environment and Heritage Protection, Pathways to a Clean Growth Economy: Queensland Climate Transition Strategy.","previouslyFormattedCitation":"Department of Environment and Heritage Protection, &lt;i&gt;Pathways to a Clean Growth Economy: Queensland Climate Transition Strategy&lt;/i&gt;."},"properties":{"noteIndex":13},"schema":"https://github.com/citation-style-language/schema/raw/master/csl-citation.json"}</w:instrText>
      </w:r>
      <w:r w:rsidRPr="00444373">
        <w:rPr>
          <w:sz w:val="16"/>
          <w:szCs w:val="16"/>
        </w:rPr>
        <w:fldChar w:fldCharType="separate"/>
      </w:r>
      <w:r w:rsidRPr="00444373">
        <w:rPr>
          <w:noProof/>
          <w:sz w:val="16"/>
          <w:szCs w:val="16"/>
        </w:rPr>
        <w:t xml:space="preserve">Department of Environment and Heritage Protection, </w:t>
      </w:r>
      <w:r w:rsidRPr="00444373">
        <w:rPr>
          <w:i/>
          <w:noProof/>
          <w:sz w:val="16"/>
          <w:szCs w:val="16"/>
        </w:rPr>
        <w:t>Pathways to a Clean Growth Economy: Queensland Climate Transition Strategy</w:t>
      </w:r>
      <w:r w:rsidRPr="00444373">
        <w:rPr>
          <w:noProof/>
          <w:sz w:val="16"/>
          <w:szCs w:val="16"/>
        </w:rPr>
        <w:t>.</w:t>
      </w:r>
      <w:r w:rsidRPr="00444373">
        <w:rPr>
          <w:sz w:val="16"/>
          <w:szCs w:val="16"/>
        </w:rPr>
        <w:fldChar w:fldCharType="end"/>
      </w:r>
    </w:p>
  </w:footnote>
  <w:footnote w:id="14">
    <w:p w:rsidR="00645096" w:rsidRPr="00444373" w:rsidRDefault="00645096" w:rsidP="00645096">
      <w:pPr>
        <w:pStyle w:val="FootnoteText"/>
        <w:rPr>
          <w:sz w:val="16"/>
          <w:szCs w:val="16"/>
        </w:rPr>
      </w:pPr>
      <w:r w:rsidRPr="00444373">
        <w:rPr>
          <w:rStyle w:val="FootnoteReference"/>
          <w:sz w:val="16"/>
          <w:szCs w:val="16"/>
        </w:rPr>
        <w:footnoteRef/>
      </w:r>
      <w:r w:rsidRPr="00444373">
        <w:rPr>
          <w:sz w:val="16"/>
          <w:szCs w:val="16"/>
        </w:rPr>
        <w:t xml:space="preserve"> </w:t>
      </w:r>
      <w:r w:rsidRPr="00444373">
        <w:rPr>
          <w:sz w:val="16"/>
          <w:szCs w:val="16"/>
        </w:rPr>
        <w:fldChar w:fldCharType="begin" w:fldLock="1"/>
      </w:r>
      <w:r>
        <w:rPr>
          <w:sz w:val="16"/>
          <w:szCs w:val="16"/>
        </w:rPr>
        <w:instrText>ADDIN CSL_CITATION {"citationItems":[{"id":"ITEM-1","itemData":{"author":[{"dropping-particle":"","family":"Burgess","given":"Katie","non-dropping-particle":"","parse-names":false,"suffix":""}],"container-title":"The Canberra Times","id":"ITEM-1","issued":{"date-parts":[["2018"]]},"title":"ACT brings forward zero net emissions deadline to 2045","type":"webpage"},"uris":["http://www.mendeley.com/documents/?uuid=1467420e-2fbc-4d46-99f4-3625af13cc61"]}],"mendeley":{"formattedCitation":"Burgess, “ACT Brings Forward Zero Net Emissions Deadline to 2045.”","plainTextFormattedCitation":"Burgess, “ACT Brings Forward Zero Net Emissions Deadline to 2045.”","previouslyFormattedCitation":"Burgess, “ACT Brings Forward Zero Net Emissions Deadline to 2045.”"},"properties":{"noteIndex":14},"schema":"https://github.com/citation-style-language/schema/raw/master/csl-citation.json"}</w:instrText>
      </w:r>
      <w:r w:rsidRPr="00444373">
        <w:rPr>
          <w:sz w:val="16"/>
          <w:szCs w:val="16"/>
        </w:rPr>
        <w:fldChar w:fldCharType="separate"/>
      </w:r>
      <w:r w:rsidRPr="00444373">
        <w:rPr>
          <w:noProof/>
          <w:sz w:val="16"/>
          <w:szCs w:val="16"/>
        </w:rPr>
        <w:t>Burgess, “ACT Brings Forward Zero Net Emissions Deadline to 2045.”</w:t>
      </w:r>
      <w:r w:rsidRPr="00444373">
        <w:rPr>
          <w:sz w:val="16"/>
          <w:szCs w:val="16"/>
        </w:rPr>
        <w:fldChar w:fldCharType="end"/>
      </w:r>
    </w:p>
  </w:footnote>
  <w:footnote w:id="15">
    <w:p w:rsidR="00645096" w:rsidRPr="00444373" w:rsidRDefault="00645096" w:rsidP="00645096">
      <w:pPr>
        <w:pStyle w:val="FootnoteText"/>
        <w:rPr>
          <w:sz w:val="16"/>
          <w:szCs w:val="16"/>
        </w:rPr>
      </w:pPr>
      <w:r w:rsidRPr="00444373">
        <w:rPr>
          <w:rStyle w:val="FootnoteReference"/>
          <w:sz w:val="16"/>
          <w:szCs w:val="16"/>
        </w:rPr>
        <w:footnoteRef/>
      </w:r>
      <w:r w:rsidRPr="00444373">
        <w:rPr>
          <w:sz w:val="16"/>
          <w:szCs w:val="16"/>
        </w:rPr>
        <w:t xml:space="preserve"> </w:t>
      </w:r>
      <w:r w:rsidRPr="00444373">
        <w:rPr>
          <w:sz w:val="16"/>
          <w:szCs w:val="16"/>
        </w:rPr>
        <w:fldChar w:fldCharType="begin" w:fldLock="1"/>
      </w:r>
      <w:r>
        <w:rPr>
          <w:sz w:val="16"/>
          <w:szCs w:val="16"/>
        </w:rPr>
        <w:instrText>ADDIN CSL_CITATION {"citationItems":[{"id":"ITEM-1","itemData":{"abstract":"he Report finds that over the last decade there has been tremendous technological and market progress driving the shift to a new climate economy. There are real benefits to be seen in terms of new jobs, economic savings, competitiveness and market opportunities, and improved wellbeing for people worldwide. Momentum is building behind this shift by a wide range of cities, governments, businesses, investors and others around the world, but it is not yet fast enough. “We are at a unique “use it or lose it” moment”, said Ngozi Okonjo-Iweala, former Finance Minister of Nigeria and Co-Chair of the Global Commission. “Policy makers should take their feet off the brakes, send a clear signal that the new growth story is here and that it comes with exciting economic and market opportunities. US$26 trillion and a more sustainable planet are on offer, if we act decisively now.”","author":[{"dropping-particle":"","family":"The Global Commission on the Economy and Climate","given":"","non-dropping-particle":"","parse-names":false,"suffix":""}],"id":"ITEM-1","issued":{"date-parts":[["2018"]]},"number-of-pages":"208","title":"Unlocking the Inclusive Growth Story of the 21st Century","type":"report"},"uris":["http://www.mendeley.com/documents/?uuid=f3265056-a006-457b-a095-64e609503cc6"]}],"mendeley":{"formattedCitation":"The Global Commission on the Economy and Climate, &lt;i&gt;Unlocking the Inclusive Growth Story of the 21st Century&lt;/i&gt;.","plainTextFormattedCitation":"The Global Commission on the Economy and Climate, Unlocking the Inclusive Growth Story of the 21st Century.","previouslyFormattedCitation":"The Global Commission on the Economy and Climate, &lt;i&gt;Unlocking the Inclusive Growth Story of the 21st Century&lt;/i&gt;."},"properties":{"noteIndex":15},"schema":"https://github.com/citation-style-language/schema/raw/master/csl-citation.json"}</w:instrText>
      </w:r>
      <w:r w:rsidRPr="00444373">
        <w:rPr>
          <w:sz w:val="16"/>
          <w:szCs w:val="16"/>
        </w:rPr>
        <w:fldChar w:fldCharType="separate"/>
      </w:r>
      <w:r w:rsidRPr="00444373">
        <w:rPr>
          <w:noProof/>
          <w:sz w:val="16"/>
          <w:szCs w:val="16"/>
        </w:rPr>
        <w:t xml:space="preserve">The Global Commission on the Economy and Climate, </w:t>
      </w:r>
      <w:r w:rsidRPr="00444373">
        <w:rPr>
          <w:i/>
          <w:noProof/>
          <w:sz w:val="16"/>
          <w:szCs w:val="16"/>
        </w:rPr>
        <w:t>Unlocking the Inclusive Growth Story of the 21st Century</w:t>
      </w:r>
      <w:r w:rsidRPr="00444373">
        <w:rPr>
          <w:noProof/>
          <w:sz w:val="16"/>
          <w:szCs w:val="16"/>
        </w:rPr>
        <w:t>.</w:t>
      </w:r>
      <w:r w:rsidRPr="00444373">
        <w:rPr>
          <w:sz w:val="16"/>
          <w:szCs w:val="16"/>
        </w:rPr>
        <w:fldChar w:fldCharType="end"/>
      </w:r>
    </w:p>
  </w:footnote>
  <w:footnote w:id="16">
    <w:p w:rsidR="00645096" w:rsidRPr="007B2E00" w:rsidRDefault="00645096" w:rsidP="00645096">
      <w:pPr>
        <w:pStyle w:val="FootnoteText"/>
        <w:rPr>
          <w:sz w:val="16"/>
          <w:szCs w:val="16"/>
        </w:rPr>
      </w:pPr>
      <w:r w:rsidRPr="007B2E00">
        <w:rPr>
          <w:rStyle w:val="FootnoteReference"/>
          <w:sz w:val="16"/>
          <w:szCs w:val="16"/>
        </w:rPr>
        <w:footnoteRef/>
      </w:r>
      <w:r w:rsidRPr="007B2E00">
        <w:rPr>
          <w:sz w:val="16"/>
          <w:szCs w:val="16"/>
        </w:rPr>
        <w:t xml:space="preserve"> </w:t>
      </w:r>
      <w:r w:rsidRPr="007B2E00">
        <w:rPr>
          <w:sz w:val="16"/>
          <w:szCs w:val="16"/>
        </w:rPr>
        <w:fldChar w:fldCharType="begin" w:fldLock="1"/>
      </w:r>
      <w:r w:rsidRPr="007B2E00">
        <w:rPr>
          <w:sz w:val="16"/>
          <w:szCs w:val="16"/>
        </w:rPr>
        <w:instrText>ADDIN CSL_CITATION {"citationItems":[{"id":"ITEM-1","itemData":{"author":[{"dropping-particle":"","family":"IRENA","given":"","non-dropping-particle":"","parse-names":false,"suffix":""}],"id":"ITEM-1","issued":{"date-parts":[["2018"]]},"number-of-pages":"1-160","publisher-place":"Abu Dhabi","title":"Renewable Power Generation Costs in 2017","type":"report"},"uris":["http://www.mendeley.com/documents/?uuid=ef5608f9-41bc-4b0a-83b3-e13e68df4400"]},{"id":"ITEM-2","itemData":{"author":[{"dropping-particle":"","family":"ARENA","given":"","non-dropping-particle":"","parse-names":false,"suffix":""}],"id":"ITEM-2","issued":{"date-parts":[["2017"]]},"number-of-pages":"1-48","publisher-place":"Canberra","title":"The Business of Renewables","type":"report"},"uris":["http://www.mendeley.com/documents/?uuid=3d64d7ca-7bad-46ad-934d-0dc0c2414901"]}],"mendeley":{"formattedCitation":"IRENA, &lt;i&gt;Renewable Power Generation Costs in 2017&lt;/i&gt;; ARENA, &lt;i&gt;The Business of Renewables&lt;/i&gt;.","plainTextFormattedCitation":"IRENA, Renewable Power Generation Costs in 2017; ARENA, The Business of Renewables."},"properties":{"noteIndex":16},"schema":"https://github.com/citation-style-language/schema/raw/master/csl-citation.json"}</w:instrText>
      </w:r>
      <w:r w:rsidRPr="007B2E00">
        <w:rPr>
          <w:sz w:val="16"/>
          <w:szCs w:val="16"/>
        </w:rPr>
        <w:fldChar w:fldCharType="separate"/>
      </w:r>
      <w:r w:rsidRPr="007B2E00">
        <w:rPr>
          <w:noProof/>
          <w:sz w:val="16"/>
          <w:szCs w:val="16"/>
        </w:rPr>
        <w:t xml:space="preserve">IRENA, </w:t>
      </w:r>
      <w:r w:rsidRPr="007B2E00">
        <w:rPr>
          <w:i/>
          <w:noProof/>
          <w:sz w:val="16"/>
          <w:szCs w:val="16"/>
        </w:rPr>
        <w:t>Renewable Power Generation Costs in 2017</w:t>
      </w:r>
      <w:r w:rsidRPr="007B2E00">
        <w:rPr>
          <w:noProof/>
          <w:sz w:val="16"/>
          <w:szCs w:val="16"/>
        </w:rPr>
        <w:t xml:space="preserve">; ARENA, </w:t>
      </w:r>
      <w:r w:rsidRPr="007B2E00">
        <w:rPr>
          <w:i/>
          <w:noProof/>
          <w:sz w:val="16"/>
          <w:szCs w:val="16"/>
        </w:rPr>
        <w:t>The Business of Renewables</w:t>
      </w:r>
      <w:r w:rsidRPr="007B2E00">
        <w:rPr>
          <w:noProof/>
          <w:sz w:val="16"/>
          <w:szCs w:val="16"/>
        </w:rPr>
        <w:t>.</w:t>
      </w:r>
      <w:r w:rsidRPr="007B2E00">
        <w:rPr>
          <w:sz w:val="16"/>
          <w:szCs w:val="16"/>
        </w:rPr>
        <w:fldChar w:fldCharType="end"/>
      </w:r>
    </w:p>
  </w:footnote>
  <w:footnote w:id="17">
    <w:p w:rsidR="00645096" w:rsidRPr="00C271D1" w:rsidRDefault="00645096" w:rsidP="00645096">
      <w:pPr>
        <w:pStyle w:val="FootnoteText"/>
        <w:rPr>
          <w:sz w:val="16"/>
          <w:szCs w:val="16"/>
        </w:rPr>
      </w:pPr>
      <w:r w:rsidRPr="00C271D1">
        <w:rPr>
          <w:rStyle w:val="FootnoteReference"/>
          <w:sz w:val="16"/>
          <w:szCs w:val="16"/>
        </w:rPr>
        <w:footnoteRef/>
      </w:r>
      <w:r w:rsidRPr="00C271D1">
        <w:rPr>
          <w:sz w:val="16"/>
          <w:szCs w:val="16"/>
        </w:rPr>
        <w:t xml:space="preserve"> </w:t>
      </w:r>
      <w:r w:rsidRPr="00C271D1">
        <w:rPr>
          <w:sz w:val="16"/>
          <w:szCs w:val="16"/>
        </w:rPr>
        <w:fldChar w:fldCharType="begin" w:fldLock="1"/>
      </w:r>
      <w:r>
        <w:rPr>
          <w:sz w:val="16"/>
          <w:szCs w:val="16"/>
        </w:rPr>
        <w:instrText>ADDIN CSL_CITATION {"citationItems":[{"id":"ITEM-1","itemData":{"author":[{"dropping-particle":"","family":"Earth Systems and Climate Change Hub","given":"","non-dropping-particle":"","parse-names":false,"suffix":""}],"id":"ITEM-1","issued":{"date-parts":[["2017"]]},"publisher-place":"Aspendale","title":"Climate Change Science for Northern Australia","type":"report"},"uris":["http://www.mendeley.com/documents/?uuid=f71985c7-650d-4125-9a68-cd4ee47f3077"]},{"id":"ITEM-2","itemData":{"author":[{"dropping-particle":"","family":"Intergovernmental Panel on Climate Change (IPCC)","given":"","non-dropping-particle":"","parse-names":false,"suffix":""}],"id":"ITEM-2","issued":{"date-parts":[["2018"]]},"publisher-place":"Geneva","title":"IPCC Special Report on Global Warming of 1.5ºC","type":"report"},"uris":["http://www.mendeley.com/documents/?uuid=757156b7-15f9-4201-b41b-dcea5f6cf757"]}],"mendeley":{"formattedCitation":"Earth Systems and Climate Change Hub, &lt;i&gt;Climate Change Science for Northern Australia&lt;/i&gt;; Intergovernmental Panel on Climate Change (IPCC), &lt;i&gt;IPCC Special Report on Global Warming of 1.5&lt;sup&gt;o&lt;/sup&gt;C&lt;/i&gt;.","plainTextFormattedCitation":"Earth Systems and Climate Change Hub, Climate Change Science for Northern Australia; Intergovernmental Panel on Climate Change (IPCC), IPCC Special Report on Global Warming of 1.5oC.","previouslyFormattedCitation":"Earth Systems and Climate Change Hub, &lt;i&gt;Climate Change Science for Northern Australia&lt;/i&gt;; Intergovernmental Panel on Climate Change (IPCC), &lt;i&gt;IPCC Special Report on Global Warming of 1.5&lt;sup&gt;o&lt;/sup&gt;C&lt;/i&gt;."},"properties":{"noteIndex":17},"schema":"https://github.com/citation-style-language/schema/raw/master/csl-citation.json"}</w:instrText>
      </w:r>
      <w:r w:rsidRPr="00C271D1">
        <w:rPr>
          <w:sz w:val="16"/>
          <w:szCs w:val="16"/>
        </w:rPr>
        <w:fldChar w:fldCharType="separate"/>
      </w:r>
      <w:r w:rsidRPr="00C271D1">
        <w:rPr>
          <w:noProof/>
          <w:sz w:val="16"/>
          <w:szCs w:val="16"/>
        </w:rPr>
        <w:t xml:space="preserve">Earth Systems and Climate Change Hub, </w:t>
      </w:r>
      <w:r w:rsidRPr="00C271D1">
        <w:rPr>
          <w:i/>
          <w:noProof/>
          <w:sz w:val="16"/>
          <w:szCs w:val="16"/>
        </w:rPr>
        <w:t>Climate Change Science for Northern Australia</w:t>
      </w:r>
      <w:r w:rsidRPr="00C271D1">
        <w:rPr>
          <w:noProof/>
          <w:sz w:val="16"/>
          <w:szCs w:val="16"/>
        </w:rPr>
        <w:t xml:space="preserve">; Intergovernmental Panel on Climate Change (IPCC), </w:t>
      </w:r>
      <w:r w:rsidRPr="00C271D1">
        <w:rPr>
          <w:i/>
          <w:noProof/>
          <w:sz w:val="16"/>
          <w:szCs w:val="16"/>
        </w:rPr>
        <w:t>IPCC Special Report on Global Warming of 1.5</w:t>
      </w:r>
      <w:r w:rsidRPr="00C271D1">
        <w:rPr>
          <w:i/>
          <w:noProof/>
          <w:sz w:val="16"/>
          <w:szCs w:val="16"/>
          <w:vertAlign w:val="superscript"/>
        </w:rPr>
        <w:t>o</w:t>
      </w:r>
      <w:r w:rsidRPr="00C271D1">
        <w:rPr>
          <w:i/>
          <w:noProof/>
          <w:sz w:val="16"/>
          <w:szCs w:val="16"/>
        </w:rPr>
        <w:t>C</w:t>
      </w:r>
      <w:r w:rsidRPr="00C271D1">
        <w:rPr>
          <w:noProof/>
          <w:sz w:val="16"/>
          <w:szCs w:val="16"/>
        </w:rPr>
        <w:t>.</w:t>
      </w:r>
      <w:r w:rsidRPr="00C271D1">
        <w:rPr>
          <w:sz w:val="16"/>
          <w:szCs w:val="16"/>
        </w:rPr>
        <w:fldChar w:fldCharType="end"/>
      </w:r>
    </w:p>
  </w:footnote>
  <w:footnote w:id="18">
    <w:p w:rsidR="00645096" w:rsidRPr="003C74B7" w:rsidRDefault="00645096" w:rsidP="00645096">
      <w:pPr>
        <w:pStyle w:val="FootnoteText"/>
        <w:rPr>
          <w:sz w:val="16"/>
          <w:szCs w:val="16"/>
        </w:rPr>
      </w:pPr>
      <w:r w:rsidRPr="003C74B7">
        <w:rPr>
          <w:rStyle w:val="FootnoteReference"/>
          <w:sz w:val="16"/>
          <w:szCs w:val="16"/>
        </w:rPr>
        <w:footnoteRef/>
      </w:r>
      <w:r w:rsidRPr="003C74B7">
        <w:rPr>
          <w:sz w:val="16"/>
          <w:szCs w:val="16"/>
        </w:rPr>
        <w:t xml:space="preserve"> </w:t>
      </w:r>
      <w:r w:rsidRPr="003C74B7">
        <w:rPr>
          <w:sz w:val="16"/>
          <w:szCs w:val="16"/>
        </w:rPr>
        <w:fldChar w:fldCharType="begin" w:fldLock="1"/>
      </w:r>
      <w:r>
        <w:rPr>
          <w:sz w:val="16"/>
          <w:szCs w:val="16"/>
        </w:rPr>
        <w:instrText>ADDIN CSL_CITATION {"citationItems":[{"id":"ITEM-1","itemData":{"author":[{"dropping-particle":"","family":"Northern Territory Government","given":"","non-dropping-particle":"","parse-names":false,"suffix":""}],"id":"ITEM-1","issued":{"date-parts":[["2018"]]},"number-of-pages":"1-36","publisher-place":"Darwin","title":"Climate change: Mitigation and adaptation opportunities in the Northern Territory","type":"report"},"uris":["http://www.mendeley.com/documents/?uuid=eb4b2772-a7d6-44e2-a984-7c1c1d48a328"]}],"mendeley":{"formattedCitation":"Northern Territory Government, &lt;i&gt;Climate Change: Mitigation and Adaptation Opportunities in the Northern Territory&lt;/i&gt;.","plainTextFormattedCitation":"Northern Territory Government, Climate Change: Mitigation and Adaptation Opportunities in the Northern Territory.","previouslyFormattedCitation":"Northern Territory Government, &lt;i&gt;Climate Change: Mitigation and Adaptation Opportunities in the Northern Territory&lt;/i&gt;."},"properties":{"noteIndex":18},"schema":"https://github.com/citation-style-language/schema/raw/master/csl-citation.json"}</w:instrText>
      </w:r>
      <w:r w:rsidRPr="003C74B7">
        <w:rPr>
          <w:sz w:val="16"/>
          <w:szCs w:val="16"/>
        </w:rPr>
        <w:fldChar w:fldCharType="separate"/>
      </w:r>
      <w:r w:rsidRPr="003C74B7">
        <w:rPr>
          <w:noProof/>
          <w:sz w:val="16"/>
          <w:szCs w:val="16"/>
        </w:rPr>
        <w:t xml:space="preserve">Northern Territory Government, </w:t>
      </w:r>
      <w:r w:rsidRPr="003C74B7">
        <w:rPr>
          <w:i/>
          <w:noProof/>
          <w:sz w:val="16"/>
          <w:szCs w:val="16"/>
        </w:rPr>
        <w:t>Climate Change: Mitigation and Adaptation Opportunities in the Northern Territory</w:t>
      </w:r>
      <w:r w:rsidRPr="003C74B7">
        <w:rPr>
          <w:noProof/>
          <w:sz w:val="16"/>
          <w:szCs w:val="16"/>
        </w:rPr>
        <w:t>.</w:t>
      </w:r>
      <w:r w:rsidRPr="003C74B7">
        <w:rPr>
          <w:sz w:val="16"/>
          <w:szCs w:val="16"/>
        </w:rPr>
        <w:fldChar w:fldCharType="end"/>
      </w:r>
    </w:p>
  </w:footnote>
  <w:footnote w:id="19">
    <w:p w:rsidR="00645096" w:rsidRDefault="00645096" w:rsidP="00645096">
      <w:pPr>
        <w:pStyle w:val="FootnoteText"/>
      </w:pPr>
      <w:r w:rsidRPr="00444373">
        <w:rPr>
          <w:rStyle w:val="FootnoteReference"/>
          <w:sz w:val="16"/>
          <w:szCs w:val="16"/>
        </w:rPr>
        <w:footnoteRef/>
      </w:r>
      <w:r w:rsidRPr="00444373">
        <w:rPr>
          <w:sz w:val="16"/>
          <w:szCs w:val="16"/>
        </w:rPr>
        <w:t xml:space="preserve"> </w:t>
      </w:r>
      <w:r w:rsidRPr="00444373">
        <w:rPr>
          <w:sz w:val="16"/>
          <w:szCs w:val="16"/>
        </w:rPr>
        <w:fldChar w:fldCharType="begin" w:fldLock="1"/>
      </w:r>
      <w:r>
        <w:rPr>
          <w:sz w:val="16"/>
          <w:szCs w:val="16"/>
        </w:rPr>
        <w:instrText>ADDIN CSL_CITATION {"citationItems":[{"id":"ITEM-1","itemData":{"abstract":"The Global Commission on the Economy and Climate, and its flagship project the New Climate Economy, were set up to help governments, businesses and society make better-informed decisions on how to achieve economic prosperity and development while also addressing climate change. It was commissioned in 2013 by the governments of Colombia, Ethiopia, Indonesia, Norway, South Korea, Sweden, and the United Kingdom. The Global Commission, comprising, 28 former heads of government and finance ministers, and leaders in the fields of economics, business and finance, operates as an independent body and, while benefiting from the support of the partner governments, has been given full freedom to reach its own conclusions. The Commission has published three major flagship reports: Better Growth, Better Climate: The New Climate Economy Report, in September 2014; Seizing the Global Opportunity: Partnerships for Better Growth and a Better Climate, in July 2015; and The Sustainable Infrastructure Imperative: Financing Better Growth and Development, in October 2016. The project has also released a number of country reports on Brazil, China, Ethiopia, India, Uganda, and the United States, as well as various working papers on cities, land use, energy, industry, and finance. It has disseminated its messages by engaging with heads of governments, finance ministers, business leaders and other key economic decision-makers in over 60 countries around the world. This Report was prepared by teams from the following institutions: the Brookings Institution, the Energy Transitions Commission (ETC), the Coalition for Urban Transitions, the Food and Land Use Coalition (FOLU), the Grantham Research Institute on Climate Change and the Environment, the Overseas Development Institute (ODI), SYSTEMIQ, and World Resources Institute (WRI). For a full list of the authors and contributors to this Report, please see page 205. The New Climate Economy's work on this Report is made possible with support from, among others, the government of Denmark, the government of Germany, the government of Norway, and the governent of Sweden. The views expressed here do not necessarily reflect the opinions or official policies of these institutions.","author":[{"dropping-particle":"","family":"Global Commission on the Economy and Climate","given":"","non-dropping-particle":"","parse-names":false,"suffix":""}],"id":"ITEM-1","issued":{"date-parts":[["2018"]]},"page":"207","title":"Unlocking the Inclusive Growth Story of the 21st Century: Accelerating Climate Action In Urgent Times","type":"article-journal"},"uris":["http://www.mendeley.com/documents/?uuid=a9acde04-da96-4f78-9bbc-9d71cb87b30c"]},{"id":"ITEM-2","itemData":{"author":[{"dropping-particle":"","family":"Intergovernmental Panel on Climate Change (IPCC)","given":"","non-dropping-particle":"","parse-names":false,"suffix":""}],"id":"ITEM-2","issued":{"date-parts":[["2018"]]},"publisher-place":"Geneva","title":"IPCC Special Report on Global Warming of 1.5ºC","type":"report"},"uris":["http://www.mendeley.com/documents/?uuid=757156b7-15f9-4201-b41b-dcea5f6cf757"]}],"mendeley":{"formattedCitation":"Global Commission on the Economy and Climate, “Unlocking the Inclusive Growth Story of the 21st Century: Accelerating Climate Action In Urgent Times”; Intergovernmental Panel on Climate Change (IPCC), &lt;i&gt;IPCC Special Report on Global Warming of 1.5&lt;sup&gt;o&lt;/sup&gt;C&lt;/i&gt;.","plainTextFormattedCitation":"Global Commission on the Economy and Climate, “Unlocking the Inclusive Growth Story of the 21st Century: Accelerating Climate Action In Urgent Times”; Intergovernmental Panel on Climate Change (IPCC), IPCC Special Report on Global Warming of 1.5oC.","previouslyFormattedCitation":"Global Commission on the Economy and Climate, “Unlocking the Inclusive Growth Story of the 21st Century: Accelerating Climate Action In Urgent Times”; Intergovernmental Panel on Climate Change (IPCC), &lt;i&gt;IPCC Special Report on Global Warming of 1.5&lt;sup&gt;o&lt;/sup&gt;C&lt;/i&gt;."},"properties":{"noteIndex":19},"schema":"https://github.com/citation-style-language/schema/raw/master/csl-citation.json"}</w:instrText>
      </w:r>
      <w:r w:rsidRPr="00444373">
        <w:rPr>
          <w:sz w:val="16"/>
          <w:szCs w:val="16"/>
        </w:rPr>
        <w:fldChar w:fldCharType="separate"/>
      </w:r>
      <w:r w:rsidRPr="00444373">
        <w:rPr>
          <w:noProof/>
          <w:sz w:val="16"/>
          <w:szCs w:val="16"/>
        </w:rPr>
        <w:t xml:space="preserve">Global Commission on the Economy and Climate, “Unlocking the Inclusive Growth Story of the 21st Century: Accelerating Climate Action In Urgent Times”; Intergovernmental Panel on Climate Change (IPCC), </w:t>
      </w:r>
      <w:r w:rsidRPr="00444373">
        <w:rPr>
          <w:i/>
          <w:noProof/>
          <w:sz w:val="16"/>
          <w:szCs w:val="16"/>
        </w:rPr>
        <w:t>IPCC Special Report on Global Warming of 1.5</w:t>
      </w:r>
      <w:r w:rsidRPr="00444373">
        <w:rPr>
          <w:i/>
          <w:noProof/>
          <w:sz w:val="16"/>
          <w:szCs w:val="16"/>
          <w:vertAlign w:val="superscript"/>
        </w:rPr>
        <w:t>o</w:t>
      </w:r>
      <w:r w:rsidRPr="00444373">
        <w:rPr>
          <w:i/>
          <w:noProof/>
          <w:sz w:val="16"/>
          <w:szCs w:val="16"/>
        </w:rPr>
        <w:t>C</w:t>
      </w:r>
      <w:r w:rsidRPr="00444373">
        <w:rPr>
          <w:noProof/>
          <w:sz w:val="16"/>
          <w:szCs w:val="16"/>
        </w:rPr>
        <w:t>.</w:t>
      </w:r>
      <w:r w:rsidRPr="00444373">
        <w:rPr>
          <w:sz w:val="16"/>
          <w:szCs w:val="16"/>
        </w:rPr>
        <w:fldChar w:fldCharType="end"/>
      </w:r>
    </w:p>
  </w:footnote>
  <w:footnote w:id="20">
    <w:p w:rsidR="00645096" w:rsidRPr="00493923" w:rsidRDefault="00645096" w:rsidP="00645096">
      <w:pPr>
        <w:pStyle w:val="FootnoteText"/>
        <w:rPr>
          <w:sz w:val="18"/>
          <w:szCs w:val="18"/>
        </w:rPr>
      </w:pPr>
      <w:r w:rsidRPr="00493923">
        <w:rPr>
          <w:rStyle w:val="FootnoteReference"/>
          <w:sz w:val="18"/>
          <w:szCs w:val="18"/>
        </w:rPr>
        <w:footnoteRef/>
      </w:r>
      <w:r w:rsidRPr="00493923">
        <w:rPr>
          <w:sz w:val="18"/>
          <w:szCs w:val="18"/>
        </w:rPr>
        <w:t xml:space="preserve"> </w:t>
      </w:r>
      <w:r w:rsidRPr="00493923">
        <w:rPr>
          <w:sz w:val="18"/>
          <w:szCs w:val="18"/>
        </w:rPr>
        <w:fldChar w:fldCharType="begin" w:fldLock="1"/>
      </w:r>
      <w:r>
        <w:rPr>
          <w:sz w:val="18"/>
          <w:szCs w:val="18"/>
        </w:rPr>
        <w:instrText>ADDIN CSL_CITATION {"citationItems":[{"id":"ITEM-1","itemData":{"ISBN":"9291691437","author":[{"dropping-particle":"","family":"Pachauri","given":"Rajendra K","non-dropping-particle":"","parse-names":false,"suffix":""},{"dropping-particle":"","family":"Allen","given":"Myles R","non-dropping-particle":"","parse-names":false,"suffix":""},{"dropping-particle":"","family":"Barros","given":"Vicente R","non-dropping-particle":"","parse-names":false,"suffix":""},{"dropping-particle":"","family":"Broome","given":"John","non-dropping-particle":"","parse-names":false,"suffix":""},{"dropping-particle":"","family":"Cramer","given":"Wolfgang","non-dropping-particle":"","parse-names":false,"suffix":""},{"dropping-particle":"","family":"Christ","given":"Renate","non-dropping-particle":"","parse-names":false,"suffix":""},{"dropping-particle":"","family":"Church","given":"John A","non-dropping-particle":"","parse-names":false,"suffix":""},{"dropping-particle":"","family":"Clarke","given":"Leon","non-dropping-particle":"","parse-names":false,"suffix":""},{"dropping-particle":"","family":"Dahe","given":"Qin","non-dropping-particle":"","parse-names":false,"suffix":""},{"dropping-particle":"","family":"Dasgupta","given":"Purnamita","non-dropping-particle":"","parse-names":false,"suffix":""}],"id":"ITEM-1","issued":{"date-parts":[["2014"]]},"publisher":"IPCC","title":"Climate change 2014: synthesis report. Contribution of Working Groups I, II and III to the fifth assessment report of the Intergovernmental Panel on Climate Change","type":"book"},"uris":["http://www.mendeley.com/documents/?uuid=602df78c-7b88-4031-9640-7c4e7b23844f"]}],"mendeley":{"formattedCitation":"Pachauri et al., &lt;i&gt;Climate Change 2014: Synthesis Report. Contribution of Working Groups I, II and III to the Fifth Assessment Report of the Intergovernmental Panel on Climate Change&lt;/i&gt;.","plainTextFormattedCitation":"Pachauri et al., Climate Change 2014: Synthesis Report. Contribution of Working Groups I, II and III to the Fifth Assessment Report of the Intergovernmental Panel on Climate Change.","previouslyFormattedCitation":"Pachauri et al., &lt;i&gt;Climate Change 2014: Synthesis Report. Contribution of Working Groups I, II and III to the Fifth Assessment Report of the Intergovernmental Panel on Climate Change&lt;/i&gt;."},"properties":{"noteIndex":20},"schema":"https://github.com/citation-style-language/schema/raw/master/csl-citation.json"}</w:instrText>
      </w:r>
      <w:r w:rsidRPr="00493923">
        <w:rPr>
          <w:sz w:val="18"/>
          <w:szCs w:val="18"/>
        </w:rPr>
        <w:fldChar w:fldCharType="separate"/>
      </w:r>
      <w:r w:rsidRPr="00493923">
        <w:rPr>
          <w:noProof/>
          <w:sz w:val="18"/>
          <w:szCs w:val="18"/>
        </w:rPr>
        <w:t xml:space="preserve">Pachauri et al., </w:t>
      </w:r>
      <w:r w:rsidRPr="00493923">
        <w:rPr>
          <w:i/>
          <w:noProof/>
          <w:sz w:val="18"/>
          <w:szCs w:val="18"/>
        </w:rPr>
        <w:t>Climate Change 2014: Synthesis Report. Contribution of Working Groups I, II and III to the Fifth Assessment Report of the Intergovernmental Panel on Climate Change</w:t>
      </w:r>
      <w:r w:rsidRPr="00493923">
        <w:rPr>
          <w:noProof/>
          <w:sz w:val="18"/>
          <w:szCs w:val="18"/>
        </w:rPr>
        <w:t>.</w:t>
      </w:r>
      <w:r w:rsidRPr="00493923">
        <w:rPr>
          <w:sz w:val="18"/>
          <w:szCs w:val="18"/>
        </w:rPr>
        <w:fldChar w:fldCharType="end"/>
      </w:r>
    </w:p>
  </w:footnote>
  <w:footnote w:id="21">
    <w:p w:rsidR="00645096" w:rsidRPr="00493923" w:rsidRDefault="00645096" w:rsidP="00645096">
      <w:pPr>
        <w:pStyle w:val="FootnoteText"/>
        <w:rPr>
          <w:sz w:val="18"/>
          <w:szCs w:val="18"/>
        </w:rPr>
      </w:pPr>
      <w:r w:rsidRPr="00493923">
        <w:rPr>
          <w:rStyle w:val="FootnoteReference"/>
          <w:sz w:val="18"/>
          <w:szCs w:val="18"/>
        </w:rPr>
        <w:footnoteRef/>
      </w:r>
      <w:r w:rsidRPr="00493923">
        <w:rPr>
          <w:sz w:val="18"/>
          <w:szCs w:val="18"/>
        </w:rPr>
        <w:t xml:space="preserve"> </w:t>
      </w:r>
      <w:r w:rsidRPr="00493923">
        <w:rPr>
          <w:sz w:val="18"/>
          <w:szCs w:val="18"/>
        </w:rPr>
        <w:fldChar w:fldCharType="begin" w:fldLock="1"/>
      </w:r>
      <w:r>
        <w:rPr>
          <w:sz w:val="18"/>
          <w:szCs w:val="18"/>
        </w:rPr>
        <w:instrText>ADDIN CSL_CITATION {"citationItems":[{"id":"ITEM-1","itemData":{"author":[{"dropping-particle":"","family":"Northern Territory Government","given":"","non-dropping-particle":"","parse-names":false,"suffix":""}],"id":"ITEM-1","issued":{"date-parts":[["2018"]]},"number-of-pages":"1-36","publisher-place":"Darwin","title":"Climate change: Mitigation and adaptation opportunities in the Northern Territory","type":"report"},"uris":["http://www.mendeley.com/documents/?uuid=eb4b2772-a7d6-44e2-a984-7c1c1d48a328"]}],"mendeley":{"formattedCitation":"Northern Territory Government, &lt;i&gt;Climate Change: Mitigation and Adaptation Opportunities in the Northern Territory&lt;/i&gt;.","plainTextFormattedCitation":"Northern Territory Government, Climate Change: Mitigation and Adaptation Opportunities in the Northern Territory.","previouslyFormattedCitation":"Northern Territory Government, &lt;i&gt;Climate Change: Mitigation and Adaptation Opportunities in the Northern Territory&lt;/i&gt;."},"properties":{"noteIndex":21},"schema":"https://github.com/citation-style-language/schema/raw/master/csl-citation.json"}</w:instrText>
      </w:r>
      <w:r w:rsidRPr="00493923">
        <w:rPr>
          <w:sz w:val="18"/>
          <w:szCs w:val="18"/>
        </w:rPr>
        <w:fldChar w:fldCharType="separate"/>
      </w:r>
      <w:r w:rsidRPr="00493923">
        <w:rPr>
          <w:noProof/>
          <w:sz w:val="18"/>
          <w:szCs w:val="18"/>
        </w:rPr>
        <w:t xml:space="preserve">Northern Territory Government, </w:t>
      </w:r>
      <w:r w:rsidRPr="00493923">
        <w:rPr>
          <w:i/>
          <w:noProof/>
          <w:sz w:val="18"/>
          <w:szCs w:val="18"/>
        </w:rPr>
        <w:t>Climate Change: Mitigation and Adaptation Opportunities in the Northern Territory</w:t>
      </w:r>
      <w:r w:rsidRPr="00493923">
        <w:rPr>
          <w:noProof/>
          <w:sz w:val="18"/>
          <w:szCs w:val="18"/>
        </w:rPr>
        <w:t>.</w:t>
      </w:r>
      <w:r w:rsidRPr="00493923">
        <w:rPr>
          <w:sz w:val="18"/>
          <w:szCs w:val="18"/>
        </w:rPr>
        <w:fldChar w:fldCharType="end"/>
      </w:r>
    </w:p>
  </w:footnote>
  <w:footnote w:id="22">
    <w:p w:rsidR="00645096" w:rsidRPr="00493923" w:rsidRDefault="00645096" w:rsidP="00645096">
      <w:pPr>
        <w:pStyle w:val="FootnoteText"/>
        <w:rPr>
          <w:sz w:val="18"/>
          <w:szCs w:val="18"/>
        </w:rPr>
      </w:pPr>
      <w:r w:rsidRPr="00493923">
        <w:rPr>
          <w:rStyle w:val="FootnoteReference"/>
          <w:sz w:val="18"/>
          <w:szCs w:val="18"/>
        </w:rPr>
        <w:footnoteRef/>
      </w:r>
      <w:r w:rsidRPr="00493923">
        <w:rPr>
          <w:sz w:val="18"/>
          <w:szCs w:val="18"/>
        </w:rPr>
        <w:t xml:space="preserve"> </w:t>
      </w:r>
      <w:r w:rsidRPr="00493923">
        <w:rPr>
          <w:sz w:val="18"/>
          <w:szCs w:val="18"/>
        </w:rPr>
        <w:fldChar w:fldCharType="begin" w:fldLock="1"/>
      </w:r>
      <w:r>
        <w:rPr>
          <w:sz w:val="18"/>
          <w:szCs w:val="18"/>
        </w:rPr>
        <w:instrText>ADDIN CSL_CITATION {"citationItems":[{"id":"ITEM-1","itemData":{"author":[{"dropping-particle":"","family":"Intergovernmental Panel on Climate Change (IPCC)","given":"","non-dropping-particle":"","parse-names":false,"suffix":""}],"id":"ITEM-1","issued":{"date-parts":[["2018"]]},"publisher-place":"Geneva","title":"IPCC Special Report on Global Warming of 1.5ºC","type":"report"},"uris":["http://www.mendeley.com/documents/?uuid=757156b7-15f9-4201-b41b-dcea5f6cf757"]}],"mendeley":{"formattedCitation":"Intergovernmental Panel on Climate Change (IPCC), &lt;i&gt;IPCC Special Report on Global Warming of 1.5&lt;sup&gt;o&lt;/sup&gt;C&lt;/i&gt;.","plainTextFormattedCitation":"Intergovernmental Panel on Climate Change (IPCC), IPCC Special Report on Global Warming of 1.5oC.","previouslyFormattedCitation":"Intergovernmental Panel on Climate Change (IPCC), &lt;i&gt;IPCC Special Report on Global Warming of 1.5&lt;sup&gt;o&lt;/sup&gt;C&lt;/i&gt;."},"properties":{"noteIndex":22},"schema":"https://github.com/citation-style-language/schema/raw/master/csl-citation.json"}</w:instrText>
      </w:r>
      <w:r w:rsidRPr="00493923">
        <w:rPr>
          <w:sz w:val="18"/>
          <w:szCs w:val="18"/>
        </w:rPr>
        <w:fldChar w:fldCharType="separate"/>
      </w:r>
      <w:r w:rsidRPr="00493923">
        <w:rPr>
          <w:noProof/>
          <w:sz w:val="18"/>
          <w:szCs w:val="18"/>
        </w:rPr>
        <w:t xml:space="preserve">Intergovernmental Panel on Climate Change (IPCC), </w:t>
      </w:r>
      <w:r w:rsidRPr="00493923">
        <w:rPr>
          <w:i/>
          <w:noProof/>
          <w:sz w:val="18"/>
          <w:szCs w:val="18"/>
        </w:rPr>
        <w:t>IPCC Special Report on Global Warming of 1.5</w:t>
      </w:r>
      <w:r w:rsidRPr="00493923">
        <w:rPr>
          <w:i/>
          <w:noProof/>
          <w:sz w:val="18"/>
          <w:szCs w:val="18"/>
          <w:vertAlign w:val="superscript"/>
        </w:rPr>
        <w:t>o</w:t>
      </w:r>
      <w:r w:rsidRPr="00493923">
        <w:rPr>
          <w:i/>
          <w:noProof/>
          <w:sz w:val="18"/>
          <w:szCs w:val="18"/>
        </w:rPr>
        <w:t>C</w:t>
      </w:r>
      <w:r w:rsidRPr="00493923">
        <w:rPr>
          <w:noProof/>
          <w:sz w:val="18"/>
          <w:szCs w:val="18"/>
        </w:rPr>
        <w:t>.</w:t>
      </w:r>
      <w:r w:rsidRPr="00493923">
        <w:rPr>
          <w:sz w:val="18"/>
          <w:szCs w:val="18"/>
        </w:rPr>
        <w:fldChar w:fldCharType="end"/>
      </w:r>
    </w:p>
  </w:footnote>
  <w:footnote w:id="23">
    <w:p w:rsidR="00645096" w:rsidRPr="00493923" w:rsidRDefault="00645096" w:rsidP="00645096">
      <w:pPr>
        <w:pStyle w:val="FootnoteText"/>
        <w:rPr>
          <w:sz w:val="18"/>
          <w:szCs w:val="18"/>
        </w:rPr>
      </w:pPr>
      <w:r w:rsidRPr="00493923">
        <w:rPr>
          <w:rStyle w:val="FootnoteReference"/>
          <w:sz w:val="18"/>
          <w:szCs w:val="18"/>
        </w:rPr>
        <w:footnoteRef/>
      </w:r>
      <w:r w:rsidRPr="00493923">
        <w:rPr>
          <w:sz w:val="18"/>
          <w:szCs w:val="18"/>
        </w:rPr>
        <w:t xml:space="preserve"> </w:t>
      </w:r>
      <w:r w:rsidRPr="00493923">
        <w:rPr>
          <w:sz w:val="18"/>
          <w:szCs w:val="18"/>
        </w:rPr>
        <w:fldChar w:fldCharType="begin" w:fldLock="1"/>
      </w:r>
      <w:r>
        <w:rPr>
          <w:sz w:val="18"/>
          <w:szCs w:val="18"/>
        </w:rPr>
        <w:instrText>ADDIN CSL_CITATION {"citationItems":[{"id":"ITEM-1","itemData":{"author":[{"dropping-particle":"","family":"Intergovernmental Panel on Climate Change (IPCC)","given":"","non-dropping-particle":"","parse-names":false,"suffix":""}],"id":"ITEM-1","issued":{"date-parts":[["2018"]]},"publisher-place":"Geneva","title":"IPCC Special Report on Global Warming of 1.5ºC","type":"report"},"uris":["http://www.mendeley.com/documents/?uuid=757156b7-15f9-4201-b41b-dcea5f6cf757"]}],"mendeley":{"formattedCitation":"Ibid.","plainTextFormattedCitation":"Ibid.","previouslyFormattedCitation":"Ibid."},"properties":{"noteIndex":23},"schema":"https://github.com/citation-style-language/schema/raw/master/csl-citation.json"}</w:instrText>
      </w:r>
      <w:r w:rsidRPr="00493923">
        <w:rPr>
          <w:sz w:val="18"/>
          <w:szCs w:val="18"/>
        </w:rPr>
        <w:fldChar w:fldCharType="separate"/>
      </w:r>
      <w:r w:rsidRPr="00493923">
        <w:rPr>
          <w:noProof/>
          <w:sz w:val="18"/>
          <w:szCs w:val="18"/>
        </w:rPr>
        <w:t>Ibid.</w:t>
      </w:r>
      <w:r w:rsidRPr="00493923">
        <w:rPr>
          <w:sz w:val="18"/>
          <w:szCs w:val="18"/>
        </w:rPr>
        <w:fldChar w:fldCharType="end"/>
      </w:r>
    </w:p>
  </w:footnote>
  <w:footnote w:id="24">
    <w:p w:rsidR="00645096" w:rsidRPr="00493923" w:rsidRDefault="00645096" w:rsidP="00645096">
      <w:pPr>
        <w:pStyle w:val="FootnoteText"/>
        <w:rPr>
          <w:sz w:val="18"/>
          <w:szCs w:val="18"/>
        </w:rPr>
      </w:pPr>
      <w:r w:rsidRPr="00493923">
        <w:rPr>
          <w:rStyle w:val="FootnoteReference"/>
          <w:sz w:val="18"/>
          <w:szCs w:val="18"/>
        </w:rPr>
        <w:footnoteRef/>
      </w:r>
      <w:r w:rsidRPr="00493923">
        <w:rPr>
          <w:sz w:val="18"/>
          <w:szCs w:val="18"/>
        </w:rPr>
        <w:t xml:space="preserve"> </w:t>
      </w:r>
      <w:r w:rsidRPr="00493923">
        <w:rPr>
          <w:sz w:val="18"/>
          <w:szCs w:val="18"/>
        </w:rPr>
        <w:fldChar w:fldCharType="begin" w:fldLock="1"/>
      </w:r>
      <w:r>
        <w:rPr>
          <w:sz w:val="18"/>
          <w:szCs w:val="18"/>
        </w:rPr>
        <w:instrText>ADDIN CSL_CITATION {"citationItems":[{"id":"ITEM-1","itemData":{"URL":"https://interactive.carbonbrief.org/impacts-climate-change-one-point-five-degrees-two-degrees/?utm_source=web&amp;utm_campaign=Redirect","accessed":{"date-parts":[["2018","10","8"]]},"author":[{"dropping-particle":"","family":"Carbon Brief","given":"","non-dropping-particle":"","parse-names":false,"suffix":""}],"id":"ITEM-1","issued":{"date-parts":[["2018"]]},"title":"The impacts of climate change at 1.5C, 2C and beyond","type":"webpage"},"uris":["http://www.mendeley.com/documents/?uuid=42aeb235-dd83-4c57-a34f-ba90a273ec1f"]}],"mendeley":{"formattedCitation":"Carbon Brief, “The Impacts of Climate Change at 1.5C, 2C and Beyond.”","plainTextFormattedCitation":"Carbon Brief, “The Impacts of Climate Change at 1.5C, 2C and Beyond.”","previouslyFormattedCitation":"Carbon Brief, “The Impacts of Climate Change at 1.5C, 2C and Beyond.”"},"properties":{"noteIndex":24},"schema":"https://github.com/citation-style-language/schema/raw/master/csl-citation.json"}</w:instrText>
      </w:r>
      <w:r w:rsidRPr="00493923">
        <w:rPr>
          <w:sz w:val="18"/>
          <w:szCs w:val="18"/>
        </w:rPr>
        <w:fldChar w:fldCharType="separate"/>
      </w:r>
      <w:r w:rsidRPr="00493923">
        <w:rPr>
          <w:noProof/>
          <w:sz w:val="18"/>
          <w:szCs w:val="18"/>
        </w:rPr>
        <w:t>Carbon Brief, “The Impacts of Climate Change at 1.5C, 2C and Beyond.”</w:t>
      </w:r>
      <w:r w:rsidRPr="00493923">
        <w:rPr>
          <w:sz w:val="18"/>
          <w:szCs w:val="18"/>
        </w:rPr>
        <w:fldChar w:fldCharType="end"/>
      </w:r>
    </w:p>
  </w:footnote>
  <w:footnote w:id="25">
    <w:p w:rsidR="00645096" w:rsidRPr="00493923" w:rsidRDefault="00645096" w:rsidP="00645096">
      <w:pPr>
        <w:pStyle w:val="FootnoteText"/>
        <w:rPr>
          <w:sz w:val="18"/>
          <w:szCs w:val="18"/>
        </w:rPr>
      </w:pPr>
      <w:r w:rsidRPr="00493923">
        <w:rPr>
          <w:rStyle w:val="FootnoteReference"/>
          <w:sz w:val="18"/>
          <w:szCs w:val="18"/>
        </w:rPr>
        <w:footnoteRef/>
      </w:r>
      <w:r w:rsidRPr="00493923">
        <w:rPr>
          <w:sz w:val="18"/>
          <w:szCs w:val="18"/>
        </w:rPr>
        <w:t xml:space="preserve"> </w:t>
      </w:r>
      <w:r w:rsidRPr="00493923">
        <w:rPr>
          <w:sz w:val="18"/>
          <w:szCs w:val="18"/>
        </w:rPr>
        <w:fldChar w:fldCharType="begin" w:fldLock="1"/>
      </w:r>
      <w:r>
        <w:rPr>
          <w:sz w:val="18"/>
          <w:szCs w:val="18"/>
        </w:rPr>
        <w:instrText>ADDIN CSL_CITATION {"citationItems":[{"id":"ITEM-1","itemData":{"author":[{"dropping-particle":"","family":"Intergovernmental Panel on Climate Change (IPCC)","given":"","non-dropping-particle":"","parse-names":false,"suffix":""}],"id":"ITEM-1","issued":{"date-parts":[["2018"]]},"publisher-place":"Geneva","title":"IPCC Special Report on Global Warming of 1.5ºC","type":"report"},"uris":["http://www.mendeley.com/documents/?uuid=757156b7-15f9-4201-b41b-dcea5f6cf757"]}],"mendeley":{"formattedCitation":"Intergovernmental Panel on Climate Change (IPCC), &lt;i&gt;IPCC Special Report on Global Warming of 1.5&lt;sup&gt;o&lt;/sup&gt;C&lt;/i&gt;.","plainTextFormattedCitation":"Intergovernmental Panel on Climate Change (IPCC), IPCC Special Report on Global Warming of 1.5oC.","previouslyFormattedCitation":"Intergovernmental Panel on Climate Change (IPCC), &lt;i&gt;IPCC Special Report on Global Warming of 1.5&lt;sup&gt;o&lt;/sup&gt;C&lt;/i&gt;."},"properties":{"noteIndex":25},"schema":"https://github.com/citation-style-language/schema/raw/master/csl-citation.json"}</w:instrText>
      </w:r>
      <w:r w:rsidRPr="00493923">
        <w:rPr>
          <w:sz w:val="18"/>
          <w:szCs w:val="18"/>
        </w:rPr>
        <w:fldChar w:fldCharType="separate"/>
      </w:r>
      <w:r w:rsidRPr="00493923">
        <w:rPr>
          <w:noProof/>
          <w:sz w:val="18"/>
          <w:szCs w:val="18"/>
        </w:rPr>
        <w:t xml:space="preserve">Intergovernmental Panel on Climate Change (IPCC), </w:t>
      </w:r>
      <w:r w:rsidRPr="00493923">
        <w:rPr>
          <w:i/>
          <w:noProof/>
          <w:sz w:val="18"/>
          <w:szCs w:val="18"/>
        </w:rPr>
        <w:t>IPCC Special Report on Global Warming of 1.5</w:t>
      </w:r>
      <w:r w:rsidRPr="00493923">
        <w:rPr>
          <w:i/>
          <w:noProof/>
          <w:sz w:val="18"/>
          <w:szCs w:val="18"/>
          <w:vertAlign w:val="superscript"/>
        </w:rPr>
        <w:t>o</w:t>
      </w:r>
      <w:r w:rsidRPr="00493923">
        <w:rPr>
          <w:i/>
          <w:noProof/>
          <w:sz w:val="18"/>
          <w:szCs w:val="18"/>
        </w:rPr>
        <w:t>C</w:t>
      </w:r>
      <w:r w:rsidRPr="00493923">
        <w:rPr>
          <w:noProof/>
          <w:sz w:val="18"/>
          <w:szCs w:val="18"/>
        </w:rPr>
        <w:t>.</w:t>
      </w:r>
      <w:r w:rsidRPr="00493923">
        <w:rPr>
          <w:sz w:val="18"/>
          <w:szCs w:val="18"/>
        </w:rPr>
        <w:fldChar w:fldCharType="end"/>
      </w:r>
    </w:p>
  </w:footnote>
  <w:footnote w:id="26">
    <w:p w:rsidR="00645096" w:rsidRPr="00493923" w:rsidRDefault="00645096" w:rsidP="00645096">
      <w:pPr>
        <w:pStyle w:val="FootnoteText"/>
        <w:rPr>
          <w:sz w:val="18"/>
          <w:szCs w:val="18"/>
        </w:rPr>
      </w:pPr>
      <w:r w:rsidRPr="00493923">
        <w:rPr>
          <w:rStyle w:val="FootnoteReference"/>
          <w:sz w:val="18"/>
          <w:szCs w:val="18"/>
        </w:rPr>
        <w:footnoteRef/>
      </w:r>
      <w:r w:rsidRPr="00493923">
        <w:rPr>
          <w:sz w:val="18"/>
          <w:szCs w:val="18"/>
        </w:rPr>
        <w:t xml:space="preserve"> </w:t>
      </w:r>
      <w:r w:rsidRPr="00493923">
        <w:rPr>
          <w:sz w:val="18"/>
          <w:szCs w:val="18"/>
        </w:rPr>
        <w:fldChar w:fldCharType="begin" w:fldLock="1"/>
      </w:r>
      <w:r>
        <w:rPr>
          <w:sz w:val="18"/>
          <w:szCs w:val="18"/>
        </w:rPr>
        <w:instrText>ADDIN CSL_CITATION {"citationItems":[{"id":"ITEM-1","itemData":{"author":[{"dropping-particle":"","family":"Hanna","given":"Elizabeth","non-dropping-particle":"","parse-names":false,"suffix":""},{"dropping-particle":"","family":"Ogge","given":"Mark","non-dropping-particle":"","parse-names":false,"suffix":""}],"id":"ITEM-1","issued":{"date-parts":[["2018"]]},"title":"Cooked with gas: Extreme heat in Darwin","type":"report"},"uris":["http://www.mendeley.com/documents/?uuid=67118838-4c06-4fb8-b387-1c43021c9858"]}],"mendeley":{"formattedCitation":"Hanna and Ogge, &lt;i&gt;Cooked with Gas: Extreme Heat in Darwin&lt;/i&gt;.","plainTextFormattedCitation":"Hanna and Ogge, Cooked with Gas: Extreme Heat in Darwin.","previouslyFormattedCitation":"Hanna and Ogge, &lt;i&gt;Cooked with Gas: Extreme Heat in Darwin&lt;/i&gt;."},"properties":{"noteIndex":26},"schema":"https://github.com/citation-style-language/schema/raw/master/csl-citation.json"}</w:instrText>
      </w:r>
      <w:r w:rsidRPr="00493923">
        <w:rPr>
          <w:sz w:val="18"/>
          <w:szCs w:val="18"/>
        </w:rPr>
        <w:fldChar w:fldCharType="separate"/>
      </w:r>
      <w:r w:rsidRPr="00493923">
        <w:rPr>
          <w:noProof/>
          <w:sz w:val="18"/>
          <w:szCs w:val="18"/>
        </w:rPr>
        <w:t xml:space="preserve">Hanna and Ogge, </w:t>
      </w:r>
      <w:r w:rsidRPr="00493923">
        <w:rPr>
          <w:i/>
          <w:noProof/>
          <w:sz w:val="18"/>
          <w:szCs w:val="18"/>
        </w:rPr>
        <w:t>Cooked with Gas: Extreme Heat in Darwin</w:t>
      </w:r>
      <w:r w:rsidRPr="00493923">
        <w:rPr>
          <w:noProof/>
          <w:sz w:val="18"/>
          <w:szCs w:val="18"/>
        </w:rPr>
        <w:t>.</w:t>
      </w:r>
      <w:r w:rsidRPr="00493923">
        <w:rPr>
          <w:sz w:val="18"/>
          <w:szCs w:val="18"/>
        </w:rPr>
        <w:fldChar w:fldCharType="end"/>
      </w:r>
    </w:p>
  </w:footnote>
  <w:footnote w:id="27">
    <w:p w:rsidR="00645096" w:rsidRPr="002614A2" w:rsidRDefault="00645096" w:rsidP="00645096">
      <w:pPr>
        <w:pStyle w:val="FootnoteText"/>
        <w:rPr>
          <w:sz w:val="16"/>
          <w:szCs w:val="16"/>
        </w:rPr>
      </w:pPr>
      <w:r w:rsidRPr="00493923">
        <w:rPr>
          <w:rStyle w:val="FootnoteReference"/>
          <w:sz w:val="18"/>
          <w:szCs w:val="18"/>
        </w:rPr>
        <w:footnoteRef/>
      </w:r>
      <w:r w:rsidRPr="00493923">
        <w:rPr>
          <w:sz w:val="18"/>
          <w:szCs w:val="18"/>
        </w:rPr>
        <w:t xml:space="preserve"> </w:t>
      </w:r>
      <w:r w:rsidRPr="00493923">
        <w:rPr>
          <w:sz w:val="18"/>
          <w:szCs w:val="18"/>
        </w:rPr>
        <w:fldChar w:fldCharType="begin" w:fldLock="1"/>
      </w:r>
      <w:r>
        <w:rPr>
          <w:sz w:val="18"/>
          <w:szCs w:val="18"/>
        </w:rPr>
        <w:instrText>ADDIN CSL_CITATION {"citationItems":[{"id":"ITEM-1","itemData":{"author":[{"dropping-particle":"","family":"Intergovernmental Panel on Climate Change (IPCC)","given":"","non-dropping-particle":"","parse-names":false,"suffix":""}],"id":"ITEM-1","issued":{"date-parts":[["2018"]]},"publisher-place":"Geneva","title":"IPCC Special Report on Global Warming of 1.5ºC","type":"report"},"uris":["http://www.mendeley.com/documents/?uuid=757156b7-15f9-4201-b41b-dcea5f6cf757"]}],"mendeley":{"formattedCitation":"Intergovernmental Panel on Climate Change (IPCC), &lt;i&gt;IPCC Special Report on Global Warming of 1.5&lt;sup&gt;o&lt;/sup&gt;C&lt;/i&gt;.","plainTextFormattedCitation":"Intergovernmental Panel on Climate Change (IPCC), IPCC Special Report on Global Warming of 1.5oC.","previouslyFormattedCitation":"Intergovernmental Panel on Climate Change (IPCC), &lt;i&gt;IPCC Special Report on Global Warming of 1.5&lt;sup&gt;o&lt;/sup&gt;C&lt;/i&gt;."},"properties":{"noteIndex":27},"schema":"https://github.com/citation-style-language/schema/raw/master/csl-citation.json"}</w:instrText>
      </w:r>
      <w:r w:rsidRPr="00493923">
        <w:rPr>
          <w:sz w:val="18"/>
          <w:szCs w:val="18"/>
        </w:rPr>
        <w:fldChar w:fldCharType="separate"/>
      </w:r>
      <w:r w:rsidRPr="00493923">
        <w:rPr>
          <w:noProof/>
          <w:sz w:val="18"/>
          <w:szCs w:val="18"/>
        </w:rPr>
        <w:t xml:space="preserve">Intergovernmental Panel on Climate Change (IPCC), </w:t>
      </w:r>
      <w:r w:rsidRPr="00493923">
        <w:rPr>
          <w:i/>
          <w:noProof/>
          <w:sz w:val="18"/>
          <w:szCs w:val="18"/>
        </w:rPr>
        <w:t>IPCC Special Report on Global Warming of 1.5</w:t>
      </w:r>
      <w:r w:rsidRPr="00493923">
        <w:rPr>
          <w:i/>
          <w:noProof/>
          <w:sz w:val="18"/>
          <w:szCs w:val="18"/>
          <w:vertAlign w:val="superscript"/>
        </w:rPr>
        <w:t>o</w:t>
      </w:r>
      <w:r w:rsidRPr="00493923">
        <w:rPr>
          <w:i/>
          <w:noProof/>
          <w:sz w:val="18"/>
          <w:szCs w:val="18"/>
        </w:rPr>
        <w:t>C</w:t>
      </w:r>
      <w:r w:rsidRPr="00493923">
        <w:rPr>
          <w:noProof/>
          <w:sz w:val="18"/>
          <w:szCs w:val="18"/>
        </w:rPr>
        <w:t>.</w:t>
      </w:r>
      <w:r w:rsidRPr="00493923">
        <w:rPr>
          <w:sz w:val="18"/>
          <w:szCs w:val="18"/>
        </w:rP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5C" w:rsidRDefault="001F7C5C" w:rsidP="001F7C5C">
    <w:pPr>
      <w:pStyle w:val="Header"/>
      <w:jc w:val="both"/>
    </w:pPr>
  </w:p>
  <w:p w:rsidR="00E57541" w:rsidRDefault="00E57541" w:rsidP="009275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BC5"/>
    <w:multiLevelType w:val="hybridMultilevel"/>
    <w:tmpl w:val="35CC4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813A9"/>
    <w:multiLevelType w:val="hybridMultilevel"/>
    <w:tmpl w:val="F1A27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B3C44"/>
    <w:multiLevelType w:val="hybridMultilevel"/>
    <w:tmpl w:val="875445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2D1783"/>
    <w:multiLevelType w:val="hybridMultilevel"/>
    <w:tmpl w:val="524A6BE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54178"/>
    <w:multiLevelType w:val="hybridMultilevel"/>
    <w:tmpl w:val="D974F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7F07D3"/>
    <w:multiLevelType w:val="multilevel"/>
    <w:tmpl w:val="9B9A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830809"/>
    <w:multiLevelType w:val="hybridMultilevel"/>
    <w:tmpl w:val="0A04818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5171BEA"/>
    <w:multiLevelType w:val="hybridMultilevel"/>
    <w:tmpl w:val="2166C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E5FBD"/>
    <w:multiLevelType w:val="hybridMultilevel"/>
    <w:tmpl w:val="56009BD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811C7"/>
    <w:multiLevelType w:val="hybridMultilevel"/>
    <w:tmpl w:val="5F7A5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C115C"/>
    <w:multiLevelType w:val="hybridMultilevel"/>
    <w:tmpl w:val="4CAA82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2B3134"/>
    <w:multiLevelType w:val="hybridMultilevel"/>
    <w:tmpl w:val="7410F8FE"/>
    <w:lvl w:ilvl="0" w:tplc="0D5AB51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DF6F12"/>
    <w:multiLevelType w:val="hybridMultilevel"/>
    <w:tmpl w:val="89B67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386CCD"/>
    <w:multiLevelType w:val="hybridMultilevel"/>
    <w:tmpl w:val="69FA3AE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011694"/>
    <w:multiLevelType w:val="hybridMultilevel"/>
    <w:tmpl w:val="B15E0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644910"/>
    <w:multiLevelType w:val="hybridMultilevel"/>
    <w:tmpl w:val="3C18D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5E1244"/>
    <w:multiLevelType w:val="hybridMultilevel"/>
    <w:tmpl w:val="CB90DE1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D37D3"/>
    <w:multiLevelType w:val="hybridMultilevel"/>
    <w:tmpl w:val="8C9A6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C91BD1"/>
    <w:multiLevelType w:val="hybridMultilevel"/>
    <w:tmpl w:val="45ECB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D14BFE"/>
    <w:multiLevelType w:val="hybridMultilevel"/>
    <w:tmpl w:val="3F96B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C920E2"/>
    <w:multiLevelType w:val="hybridMultilevel"/>
    <w:tmpl w:val="5192D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F55CDE"/>
    <w:multiLevelType w:val="hybridMultilevel"/>
    <w:tmpl w:val="E3D2AA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665537"/>
    <w:multiLevelType w:val="hybridMultilevel"/>
    <w:tmpl w:val="CA58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0"/>
  </w:num>
  <w:num w:numId="6">
    <w:abstractNumId w:val="15"/>
  </w:num>
  <w:num w:numId="7">
    <w:abstractNumId w:val="12"/>
  </w:num>
  <w:num w:numId="8">
    <w:abstractNumId w:val="11"/>
  </w:num>
  <w:num w:numId="9">
    <w:abstractNumId w:val="17"/>
  </w:num>
  <w:num w:numId="10">
    <w:abstractNumId w:val="19"/>
  </w:num>
  <w:num w:numId="11">
    <w:abstractNumId w:val="14"/>
  </w:num>
  <w:num w:numId="12">
    <w:abstractNumId w:val="20"/>
  </w:num>
  <w:num w:numId="13">
    <w:abstractNumId w:val="21"/>
  </w:num>
  <w:num w:numId="14">
    <w:abstractNumId w:val="7"/>
  </w:num>
  <w:num w:numId="15">
    <w:abstractNumId w:val="9"/>
  </w:num>
  <w:num w:numId="16">
    <w:abstractNumId w:val="22"/>
  </w:num>
  <w:num w:numId="17">
    <w:abstractNumId w:val="1"/>
  </w:num>
  <w:num w:numId="18">
    <w:abstractNumId w:val="2"/>
  </w:num>
  <w:num w:numId="19">
    <w:abstractNumId w:val="18"/>
  </w:num>
  <w:num w:numId="20">
    <w:abstractNumId w:val="8"/>
  </w:num>
  <w:num w:numId="21">
    <w:abstractNumId w:val="3"/>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41"/>
    <w:rsid w:val="00001F89"/>
    <w:rsid w:val="00007B7B"/>
    <w:rsid w:val="00011BEB"/>
    <w:rsid w:val="00017887"/>
    <w:rsid w:val="000340C8"/>
    <w:rsid w:val="0004644D"/>
    <w:rsid w:val="00052A6B"/>
    <w:rsid w:val="00052CBA"/>
    <w:rsid w:val="000555C3"/>
    <w:rsid w:val="00066E59"/>
    <w:rsid w:val="000677FB"/>
    <w:rsid w:val="00073394"/>
    <w:rsid w:val="000754D4"/>
    <w:rsid w:val="00081ED9"/>
    <w:rsid w:val="00084B14"/>
    <w:rsid w:val="000C3D6D"/>
    <w:rsid w:val="000C5233"/>
    <w:rsid w:val="000D19E2"/>
    <w:rsid w:val="000E06FD"/>
    <w:rsid w:val="000E0BA6"/>
    <w:rsid w:val="000E1B46"/>
    <w:rsid w:val="000F11EF"/>
    <w:rsid w:val="000F18EC"/>
    <w:rsid w:val="000F403C"/>
    <w:rsid w:val="00143E5E"/>
    <w:rsid w:val="0014519A"/>
    <w:rsid w:val="00162D4B"/>
    <w:rsid w:val="001653F3"/>
    <w:rsid w:val="001803C1"/>
    <w:rsid w:val="00180552"/>
    <w:rsid w:val="00187D90"/>
    <w:rsid w:val="001B6CEF"/>
    <w:rsid w:val="001D4991"/>
    <w:rsid w:val="001E7B3D"/>
    <w:rsid w:val="001F6564"/>
    <w:rsid w:val="001F69B1"/>
    <w:rsid w:val="001F7C5C"/>
    <w:rsid w:val="0020709F"/>
    <w:rsid w:val="00214017"/>
    <w:rsid w:val="002330F7"/>
    <w:rsid w:val="002347CF"/>
    <w:rsid w:val="00242BF2"/>
    <w:rsid w:val="0024494D"/>
    <w:rsid w:val="00260E3C"/>
    <w:rsid w:val="00267AB3"/>
    <w:rsid w:val="00286DFE"/>
    <w:rsid w:val="00294AB1"/>
    <w:rsid w:val="002A4DA1"/>
    <w:rsid w:val="002C54CF"/>
    <w:rsid w:val="002C670F"/>
    <w:rsid w:val="002D16FD"/>
    <w:rsid w:val="002F0684"/>
    <w:rsid w:val="003041B1"/>
    <w:rsid w:val="00330D57"/>
    <w:rsid w:val="003326E7"/>
    <w:rsid w:val="00337733"/>
    <w:rsid w:val="00340A77"/>
    <w:rsid w:val="003430C7"/>
    <w:rsid w:val="00344F8E"/>
    <w:rsid w:val="00353B9E"/>
    <w:rsid w:val="00356528"/>
    <w:rsid w:val="00387B83"/>
    <w:rsid w:val="00395DCE"/>
    <w:rsid w:val="003A0AC6"/>
    <w:rsid w:val="003A28A3"/>
    <w:rsid w:val="003A306A"/>
    <w:rsid w:val="003A381A"/>
    <w:rsid w:val="003A3938"/>
    <w:rsid w:val="003A706F"/>
    <w:rsid w:val="003D2785"/>
    <w:rsid w:val="003E07F3"/>
    <w:rsid w:val="003E606C"/>
    <w:rsid w:val="003E6298"/>
    <w:rsid w:val="003F6C54"/>
    <w:rsid w:val="004328E5"/>
    <w:rsid w:val="00437365"/>
    <w:rsid w:val="0045006E"/>
    <w:rsid w:val="00453D23"/>
    <w:rsid w:val="00471EF7"/>
    <w:rsid w:val="00472E40"/>
    <w:rsid w:val="00483B96"/>
    <w:rsid w:val="00494BF2"/>
    <w:rsid w:val="004B7C95"/>
    <w:rsid w:val="004D22EF"/>
    <w:rsid w:val="004D4EF1"/>
    <w:rsid w:val="004D6F5F"/>
    <w:rsid w:val="004E26DD"/>
    <w:rsid w:val="00504283"/>
    <w:rsid w:val="005226FD"/>
    <w:rsid w:val="00535630"/>
    <w:rsid w:val="00536BA9"/>
    <w:rsid w:val="00537DCC"/>
    <w:rsid w:val="00543857"/>
    <w:rsid w:val="00564A51"/>
    <w:rsid w:val="00564AEC"/>
    <w:rsid w:val="0057125D"/>
    <w:rsid w:val="00597F4B"/>
    <w:rsid w:val="005C393F"/>
    <w:rsid w:val="005C67DE"/>
    <w:rsid w:val="005C7DAF"/>
    <w:rsid w:val="005D12A7"/>
    <w:rsid w:val="005D3A2B"/>
    <w:rsid w:val="005E31B2"/>
    <w:rsid w:val="005E4E81"/>
    <w:rsid w:val="0060000E"/>
    <w:rsid w:val="00610820"/>
    <w:rsid w:val="0061126D"/>
    <w:rsid w:val="0062032E"/>
    <w:rsid w:val="0062248D"/>
    <w:rsid w:val="00637745"/>
    <w:rsid w:val="00642986"/>
    <w:rsid w:val="00645096"/>
    <w:rsid w:val="0065558E"/>
    <w:rsid w:val="00657481"/>
    <w:rsid w:val="006612C9"/>
    <w:rsid w:val="00671D98"/>
    <w:rsid w:val="006B28D2"/>
    <w:rsid w:val="006F6110"/>
    <w:rsid w:val="00701E79"/>
    <w:rsid w:val="00701F45"/>
    <w:rsid w:val="007031DF"/>
    <w:rsid w:val="007113DB"/>
    <w:rsid w:val="00715C25"/>
    <w:rsid w:val="00723E0C"/>
    <w:rsid w:val="00725197"/>
    <w:rsid w:val="00727A1A"/>
    <w:rsid w:val="007365FF"/>
    <w:rsid w:val="00750981"/>
    <w:rsid w:val="00791430"/>
    <w:rsid w:val="007A144E"/>
    <w:rsid w:val="007A7BB1"/>
    <w:rsid w:val="007B7E75"/>
    <w:rsid w:val="007D08F2"/>
    <w:rsid w:val="007E6162"/>
    <w:rsid w:val="008049F8"/>
    <w:rsid w:val="00804CEB"/>
    <w:rsid w:val="00805E05"/>
    <w:rsid w:val="008170BD"/>
    <w:rsid w:val="00820659"/>
    <w:rsid w:val="0083105B"/>
    <w:rsid w:val="008327DF"/>
    <w:rsid w:val="00833F31"/>
    <w:rsid w:val="008415DB"/>
    <w:rsid w:val="00862B9D"/>
    <w:rsid w:val="0087106D"/>
    <w:rsid w:val="00884101"/>
    <w:rsid w:val="00896E18"/>
    <w:rsid w:val="008A7BE2"/>
    <w:rsid w:val="008C148F"/>
    <w:rsid w:val="008D215E"/>
    <w:rsid w:val="008E1EB2"/>
    <w:rsid w:val="008F1AAD"/>
    <w:rsid w:val="00911F9E"/>
    <w:rsid w:val="00914E59"/>
    <w:rsid w:val="00915B40"/>
    <w:rsid w:val="009275CF"/>
    <w:rsid w:val="0093091D"/>
    <w:rsid w:val="00956D97"/>
    <w:rsid w:val="00973EAB"/>
    <w:rsid w:val="00985785"/>
    <w:rsid w:val="0098695E"/>
    <w:rsid w:val="009A5FB9"/>
    <w:rsid w:val="009A72A7"/>
    <w:rsid w:val="009C6213"/>
    <w:rsid w:val="009E2B5A"/>
    <w:rsid w:val="009E713C"/>
    <w:rsid w:val="00A166BA"/>
    <w:rsid w:val="00A21F88"/>
    <w:rsid w:val="00A25EFA"/>
    <w:rsid w:val="00A321A3"/>
    <w:rsid w:val="00A34FC6"/>
    <w:rsid w:val="00A37D79"/>
    <w:rsid w:val="00A46CC4"/>
    <w:rsid w:val="00A602FC"/>
    <w:rsid w:val="00A638B7"/>
    <w:rsid w:val="00A80700"/>
    <w:rsid w:val="00A86F48"/>
    <w:rsid w:val="00AA6FA5"/>
    <w:rsid w:val="00AC4CE0"/>
    <w:rsid w:val="00AD0BA2"/>
    <w:rsid w:val="00AD7E4E"/>
    <w:rsid w:val="00AE250F"/>
    <w:rsid w:val="00B10D8A"/>
    <w:rsid w:val="00B3199E"/>
    <w:rsid w:val="00B31F21"/>
    <w:rsid w:val="00B43939"/>
    <w:rsid w:val="00B577ED"/>
    <w:rsid w:val="00B65408"/>
    <w:rsid w:val="00B94035"/>
    <w:rsid w:val="00BA2DC6"/>
    <w:rsid w:val="00BB7B45"/>
    <w:rsid w:val="00BC12C1"/>
    <w:rsid w:val="00BC2DD6"/>
    <w:rsid w:val="00BC4A1D"/>
    <w:rsid w:val="00BF38C0"/>
    <w:rsid w:val="00BF4837"/>
    <w:rsid w:val="00BF7EA0"/>
    <w:rsid w:val="00C00D6D"/>
    <w:rsid w:val="00C1420C"/>
    <w:rsid w:val="00C24B83"/>
    <w:rsid w:val="00C3198E"/>
    <w:rsid w:val="00C47959"/>
    <w:rsid w:val="00C53577"/>
    <w:rsid w:val="00C535AD"/>
    <w:rsid w:val="00C625A6"/>
    <w:rsid w:val="00C73724"/>
    <w:rsid w:val="00C93A40"/>
    <w:rsid w:val="00CA73EC"/>
    <w:rsid w:val="00CB0B29"/>
    <w:rsid w:val="00CB23C0"/>
    <w:rsid w:val="00CC4354"/>
    <w:rsid w:val="00CD48BF"/>
    <w:rsid w:val="00CD5157"/>
    <w:rsid w:val="00CD6CC0"/>
    <w:rsid w:val="00CE21A6"/>
    <w:rsid w:val="00D0107B"/>
    <w:rsid w:val="00D22230"/>
    <w:rsid w:val="00D32E4A"/>
    <w:rsid w:val="00D62B94"/>
    <w:rsid w:val="00D948A1"/>
    <w:rsid w:val="00DB0983"/>
    <w:rsid w:val="00DB7065"/>
    <w:rsid w:val="00DC6B18"/>
    <w:rsid w:val="00DE10E5"/>
    <w:rsid w:val="00DF2DB2"/>
    <w:rsid w:val="00E0515A"/>
    <w:rsid w:val="00E127D7"/>
    <w:rsid w:val="00E13A17"/>
    <w:rsid w:val="00E24904"/>
    <w:rsid w:val="00E44713"/>
    <w:rsid w:val="00E51D19"/>
    <w:rsid w:val="00E57541"/>
    <w:rsid w:val="00E57A3F"/>
    <w:rsid w:val="00E6057B"/>
    <w:rsid w:val="00E84629"/>
    <w:rsid w:val="00EA36F2"/>
    <w:rsid w:val="00EA7BA0"/>
    <w:rsid w:val="00EC36F8"/>
    <w:rsid w:val="00EC605B"/>
    <w:rsid w:val="00ED41D1"/>
    <w:rsid w:val="00EF3E8E"/>
    <w:rsid w:val="00F016D8"/>
    <w:rsid w:val="00F0621A"/>
    <w:rsid w:val="00F251F3"/>
    <w:rsid w:val="00F263B0"/>
    <w:rsid w:val="00F26CEC"/>
    <w:rsid w:val="00F41118"/>
    <w:rsid w:val="00F61258"/>
    <w:rsid w:val="00F81202"/>
    <w:rsid w:val="00FD19E3"/>
    <w:rsid w:val="00FE7C15"/>
    <w:rsid w:val="00FF0692"/>
    <w:rsid w:val="00FF5C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5E"/>
    <w:pPr>
      <w:spacing w:after="200" w:line="276" w:lineRule="auto"/>
    </w:pPr>
    <w:rPr>
      <w:sz w:val="22"/>
      <w:szCs w:val="22"/>
      <w:lang w:eastAsia="en-US"/>
    </w:rPr>
  </w:style>
  <w:style w:type="paragraph" w:styleId="Heading1">
    <w:name w:val="heading 1"/>
    <w:basedOn w:val="Normal"/>
    <w:next w:val="Normal"/>
    <w:link w:val="Heading1Char"/>
    <w:uiPriority w:val="9"/>
    <w:qFormat/>
    <w:rsid w:val="00B6540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C2DD6"/>
    <w:pPr>
      <w:keepNext/>
      <w:keepLines/>
      <w:spacing w:before="200" w:after="0" w:line="240" w:lineRule="auto"/>
      <w:outlineLvl w:val="1"/>
    </w:pPr>
    <w:rPr>
      <w:rFonts w:eastAsia="MS Gothic"/>
      <w:b/>
      <w:bCs/>
      <w:color w:val="4F81BD"/>
      <w:sz w:val="26"/>
      <w:szCs w:val="26"/>
    </w:rPr>
  </w:style>
  <w:style w:type="paragraph" w:styleId="Heading3">
    <w:name w:val="heading 3"/>
    <w:basedOn w:val="Normal"/>
    <w:next w:val="Normal"/>
    <w:link w:val="Heading3Char"/>
    <w:uiPriority w:val="9"/>
    <w:unhideWhenUsed/>
    <w:qFormat/>
    <w:rsid w:val="00BC2DD6"/>
    <w:pPr>
      <w:keepNext/>
      <w:keepLines/>
      <w:spacing w:before="200" w:after="0" w:line="240" w:lineRule="auto"/>
      <w:outlineLvl w:val="2"/>
    </w:pPr>
    <w:rPr>
      <w:rFonts w:eastAsia="MS Gothic"/>
      <w:b/>
      <w:bCs/>
      <w:color w:val="4F81BD"/>
      <w:sz w:val="24"/>
      <w:szCs w:val="24"/>
    </w:rPr>
  </w:style>
  <w:style w:type="paragraph" w:styleId="Heading4">
    <w:name w:val="heading 4"/>
    <w:basedOn w:val="Normal"/>
    <w:next w:val="Normal"/>
    <w:link w:val="Heading4Char"/>
    <w:uiPriority w:val="9"/>
    <w:unhideWhenUsed/>
    <w:qFormat/>
    <w:rsid w:val="00BC2DD6"/>
    <w:pPr>
      <w:keepNext/>
      <w:keepLines/>
      <w:spacing w:before="200" w:after="0" w:line="240" w:lineRule="auto"/>
      <w:outlineLvl w:val="3"/>
    </w:pPr>
    <w:rPr>
      <w:rFonts w:eastAsia="MS Gothic"/>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541"/>
  </w:style>
  <w:style w:type="paragraph" w:styleId="Footer">
    <w:name w:val="footer"/>
    <w:basedOn w:val="Normal"/>
    <w:link w:val="FooterChar"/>
    <w:uiPriority w:val="99"/>
    <w:unhideWhenUsed/>
    <w:rsid w:val="00E57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541"/>
  </w:style>
  <w:style w:type="paragraph" w:styleId="BalloonText">
    <w:name w:val="Balloon Text"/>
    <w:basedOn w:val="Normal"/>
    <w:link w:val="BalloonTextChar"/>
    <w:uiPriority w:val="99"/>
    <w:semiHidden/>
    <w:unhideWhenUsed/>
    <w:rsid w:val="00E575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7541"/>
    <w:rPr>
      <w:rFonts w:ascii="Tahoma" w:hAnsi="Tahoma" w:cs="Tahoma"/>
      <w:sz w:val="16"/>
      <w:szCs w:val="16"/>
    </w:rPr>
  </w:style>
  <w:style w:type="character" w:customStyle="1" w:styleId="Heading1Char">
    <w:name w:val="Heading 1 Char"/>
    <w:link w:val="Heading1"/>
    <w:uiPriority w:val="9"/>
    <w:rsid w:val="00B65408"/>
    <w:rPr>
      <w:rFonts w:ascii="Cambria" w:eastAsia="Times New Roman" w:hAnsi="Cambria" w:cs="Times New Roman"/>
      <w:b/>
      <w:bCs/>
      <w:color w:val="365F91"/>
      <w:sz w:val="28"/>
      <w:szCs w:val="28"/>
    </w:rPr>
  </w:style>
  <w:style w:type="character" w:styleId="Hyperlink">
    <w:name w:val="Hyperlink"/>
    <w:uiPriority w:val="99"/>
    <w:unhideWhenUsed/>
    <w:rsid w:val="009275CF"/>
    <w:rPr>
      <w:color w:val="0000FF"/>
      <w:u w:val="single"/>
    </w:rPr>
  </w:style>
  <w:style w:type="paragraph" w:styleId="NoSpacing">
    <w:name w:val="No Spacing"/>
    <w:uiPriority w:val="1"/>
    <w:qFormat/>
    <w:rsid w:val="00F26CEC"/>
    <w:rPr>
      <w:sz w:val="22"/>
      <w:szCs w:val="22"/>
      <w:lang w:eastAsia="en-US"/>
    </w:rPr>
  </w:style>
  <w:style w:type="paragraph" w:styleId="NormalWeb">
    <w:name w:val="Normal (Web)"/>
    <w:basedOn w:val="Normal"/>
    <w:rsid w:val="00C73724"/>
    <w:pPr>
      <w:widowControl w:val="0"/>
      <w:suppressAutoHyphens/>
      <w:spacing w:before="280" w:after="280" w:line="240" w:lineRule="auto"/>
    </w:pPr>
    <w:rPr>
      <w:rFonts w:ascii="Times New Roman" w:eastAsia="Arial Unicode MS" w:hAnsi="Times New Roman"/>
      <w:sz w:val="24"/>
      <w:szCs w:val="24"/>
    </w:rPr>
  </w:style>
  <w:style w:type="table" w:styleId="TableGrid">
    <w:name w:val="Table Grid"/>
    <w:basedOn w:val="TableNormal"/>
    <w:uiPriority w:val="59"/>
    <w:rsid w:val="00EA7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791430"/>
    <w:pPr>
      <w:spacing w:after="0" w:line="280" w:lineRule="atLeast"/>
    </w:pPr>
    <w:rPr>
      <w:rFonts w:ascii="Times New Roman" w:eastAsia="Times New Roman" w:hAnsi="Times New Roman"/>
      <w:color w:val="000000"/>
      <w:szCs w:val="20"/>
      <w:lang w:val="en-US" w:bidi="en-US"/>
    </w:rPr>
  </w:style>
  <w:style w:type="character" w:customStyle="1" w:styleId="BodyTextChar">
    <w:name w:val="Body Text Char"/>
    <w:link w:val="BodyText"/>
    <w:rsid w:val="00791430"/>
    <w:rPr>
      <w:rFonts w:ascii="Times New Roman" w:eastAsia="Times New Roman" w:hAnsi="Times New Roman"/>
      <w:color w:val="000000"/>
      <w:sz w:val="22"/>
      <w:lang w:bidi="en-US"/>
    </w:rPr>
  </w:style>
  <w:style w:type="paragraph" w:styleId="CommentText">
    <w:name w:val="annotation text"/>
    <w:basedOn w:val="Normal"/>
    <w:link w:val="CommentTextChar"/>
    <w:semiHidden/>
    <w:unhideWhenUsed/>
    <w:rsid w:val="00543857"/>
    <w:pPr>
      <w:spacing w:after="0" w:line="240" w:lineRule="auto"/>
    </w:pPr>
    <w:rPr>
      <w:rFonts w:ascii="Times New Roman" w:eastAsia="Times New Roman" w:hAnsi="Times New Roman"/>
      <w:sz w:val="20"/>
      <w:szCs w:val="20"/>
      <w:lang w:eastAsia="en-AU"/>
    </w:rPr>
  </w:style>
  <w:style w:type="character" w:customStyle="1" w:styleId="CommentTextChar">
    <w:name w:val="Comment Text Char"/>
    <w:link w:val="CommentText"/>
    <w:semiHidden/>
    <w:rsid w:val="00543857"/>
    <w:rPr>
      <w:rFonts w:ascii="Times New Roman" w:eastAsia="Times New Roman" w:hAnsi="Times New Roman"/>
      <w:lang w:val="en-AU" w:eastAsia="en-AU"/>
    </w:rPr>
  </w:style>
  <w:style w:type="character" w:styleId="CommentReference">
    <w:name w:val="annotation reference"/>
    <w:semiHidden/>
    <w:unhideWhenUsed/>
    <w:rsid w:val="00543857"/>
    <w:rPr>
      <w:sz w:val="16"/>
      <w:szCs w:val="16"/>
    </w:rPr>
  </w:style>
  <w:style w:type="paragraph" w:styleId="ListParagraph">
    <w:name w:val="List Paragraph"/>
    <w:basedOn w:val="Normal"/>
    <w:uiPriority w:val="34"/>
    <w:qFormat/>
    <w:rsid w:val="003F6C54"/>
    <w:pPr>
      <w:spacing w:after="0" w:line="240" w:lineRule="auto"/>
      <w:ind w:left="720"/>
      <w:contextualSpacing/>
    </w:pPr>
    <w:rPr>
      <w:rFonts w:ascii="Cambria" w:eastAsia="MS Mincho" w:hAnsi="Cambria"/>
      <w:sz w:val="24"/>
      <w:szCs w:val="24"/>
      <w:lang w:val="en-US"/>
    </w:rPr>
  </w:style>
  <w:style w:type="character" w:customStyle="1" w:styleId="apple-style-span">
    <w:name w:val="apple-style-span"/>
    <w:basedOn w:val="DefaultParagraphFont"/>
    <w:rsid w:val="00862B9D"/>
  </w:style>
  <w:style w:type="character" w:customStyle="1" w:styleId="Heading2Char">
    <w:name w:val="Heading 2 Char"/>
    <w:link w:val="Heading2"/>
    <w:uiPriority w:val="9"/>
    <w:rsid w:val="00BC2DD6"/>
    <w:rPr>
      <w:rFonts w:eastAsia="MS Gothic"/>
      <w:b/>
      <w:bCs/>
      <w:color w:val="4F81BD"/>
      <w:sz w:val="26"/>
      <w:szCs w:val="26"/>
      <w:lang w:val="en-AU"/>
    </w:rPr>
  </w:style>
  <w:style w:type="character" w:customStyle="1" w:styleId="Heading3Char">
    <w:name w:val="Heading 3 Char"/>
    <w:link w:val="Heading3"/>
    <w:uiPriority w:val="9"/>
    <w:rsid w:val="00BC2DD6"/>
    <w:rPr>
      <w:rFonts w:eastAsia="MS Gothic"/>
      <w:b/>
      <w:bCs/>
      <w:color w:val="4F81BD"/>
      <w:sz w:val="24"/>
      <w:szCs w:val="24"/>
      <w:lang w:val="en-AU"/>
    </w:rPr>
  </w:style>
  <w:style w:type="character" w:customStyle="1" w:styleId="Heading4Char">
    <w:name w:val="Heading 4 Char"/>
    <w:link w:val="Heading4"/>
    <w:uiPriority w:val="9"/>
    <w:rsid w:val="00BC2DD6"/>
    <w:rPr>
      <w:rFonts w:eastAsia="MS Gothic"/>
      <w:b/>
      <w:bCs/>
      <w:i/>
      <w:iCs/>
      <w:color w:val="4F81BD"/>
      <w:sz w:val="24"/>
      <w:szCs w:val="24"/>
      <w:lang w:val="en-AU"/>
    </w:rPr>
  </w:style>
  <w:style w:type="paragraph" w:styleId="FootnoteText">
    <w:name w:val="footnote text"/>
    <w:basedOn w:val="Normal"/>
    <w:link w:val="FootnoteTextChar"/>
    <w:uiPriority w:val="99"/>
    <w:unhideWhenUsed/>
    <w:rsid w:val="00BC2DD6"/>
    <w:pPr>
      <w:spacing w:after="0" w:line="240" w:lineRule="auto"/>
    </w:pPr>
    <w:rPr>
      <w:rFonts w:ascii="Cambria" w:eastAsia="MS Mincho" w:hAnsi="Cambria"/>
      <w:sz w:val="24"/>
      <w:szCs w:val="24"/>
    </w:rPr>
  </w:style>
  <w:style w:type="character" w:customStyle="1" w:styleId="FootnoteTextChar">
    <w:name w:val="Footnote Text Char"/>
    <w:link w:val="FootnoteText"/>
    <w:uiPriority w:val="99"/>
    <w:rsid w:val="00BC2DD6"/>
    <w:rPr>
      <w:rFonts w:ascii="Cambria" w:eastAsia="MS Mincho" w:hAnsi="Cambria"/>
      <w:sz w:val="24"/>
      <w:szCs w:val="24"/>
      <w:lang w:val="en-AU"/>
    </w:rPr>
  </w:style>
  <w:style w:type="character" w:styleId="FootnoteReference">
    <w:name w:val="footnote reference"/>
    <w:uiPriority w:val="99"/>
    <w:unhideWhenUsed/>
    <w:rsid w:val="00BC2DD6"/>
    <w:rPr>
      <w:vertAlign w:val="superscript"/>
    </w:rPr>
  </w:style>
  <w:style w:type="paragraph" w:styleId="TOCHeading">
    <w:name w:val="TOC Heading"/>
    <w:basedOn w:val="Heading1"/>
    <w:next w:val="Normal"/>
    <w:uiPriority w:val="39"/>
    <w:unhideWhenUsed/>
    <w:qFormat/>
    <w:rsid w:val="00BC2DD6"/>
    <w:pPr>
      <w:outlineLvl w:val="9"/>
    </w:pPr>
    <w:rPr>
      <w:rFonts w:ascii="Calibri" w:eastAsia="MS Gothic" w:hAnsi="Calibri"/>
      <w:lang w:val="en-US"/>
    </w:rPr>
  </w:style>
  <w:style w:type="paragraph" w:styleId="TOC1">
    <w:name w:val="toc 1"/>
    <w:basedOn w:val="Normal"/>
    <w:next w:val="Normal"/>
    <w:autoRedefine/>
    <w:uiPriority w:val="39"/>
    <w:unhideWhenUsed/>
    <w:rsid w:val="00BC2DD6"/>
    <w:pPr>
      <w:spacing w:before="120" w:after="0" w:line="240" w:lineRule="auto"/>
    </w:pPr>
    <w:rPr>
      <w:rFonts w:ascii="Cambria" w:eastAsia="MS Mincho" w:hAnsi="Cambria"/>
      <w:b/>
      <w:sz w:val="24"/>
      <w:szCs w:val="24"/>
    </w:rPr>
  </w:style>
  <w:style w:type="paragraph" w:styleId="TOC2">
    <w:name w:val="toc 2"/>
    <w:basedOn w:val="Normal"/>
    <w:next w:val="Normal"/>
    <w:autoRedefine/>
    <w:uiPriority w:val="39"/>
    <w:unhideWhenUsed/>
    <w:rsid w:val="00BC2DD6"/>
    <w:pPr>
      <w:spacing w:after="0" w:line="240" w:lineRule="auto"/>
      <w:ind w:left="240"/>
    </w:pPr>
    <w:rPr>
      <w:rFonts w:ascii="Cambria" w:eastAsia="MS Mincho" w:hAnsi="Cambria"/>
      <w:b/>
    </w:rPr>
  </w:style>
  <w:style w:type="paragraph" w:styleId="TOC3">
    <w:name w:val="toc 3"/>
    <w:basedOn w:val="Normal"/>
    <w:next w:val="Normal"/>
    <w:autoRedefine/>
    <w:uiPriority w:val="39"/>
    <w:unhideWhenUsed/>
    <w:rsid w:val="00BC2DD6"/>
    <w:pPr>
      <w:spacing w:after="0" w:line="240" w:lineRule="auto"/>
      <w:ind w:left="480"/>
    </w:pPr>
    <w:rPr>
      <w:rFonts w:ascii="Cambria" w:eastAsia="MS Mincho" w:hAnsi="Cambria"/>
    </w:rPr>
  </w:style>
  <w:style w:type="paragraph" w:styleId="EndnoteText">
    <w:name w:val="endnote text"/>
    <w:basedOn w:val="Normal"/>
    <w:link w:val="EndnoteTextChar"/>
    <w:uiPriority w:val="99"/>
    <w:unhideWhenUsed/>
    <w:rsid w:val="00BC2DD6"/>
    <w:pPr>
      <w:spacing w:after="0" w:line="240" w:lineRule="auto"/>
    </w:pPr>
    <w:rPr>
      <w:rFonts w:ascii="Cambria" w:eastAsia="MS Mincho" w:hAnsi="Cambria"/>
      <w:sz w:val="24"/>
      <w:szCs w:val="24"/>
      <w:lang w:val="en-US"/>
    </w:rPr>
  </w:style>
  <w:style w:type="character" w:customStyle="1" w:styleId="EndnoteTextChar">
    <w:name w:val="Endnote Text Char"/>
    <w:link w:val="EndnoteText"/>
    <w:uiPriority w:val="99"/>
    <w:rsid w:val="00BC2DD6"/>
    <w:rPr>
      <w:rFonts w:ascii="Cambria" w:eastAsia="MS Mincho" w:hAnsi="Cambria"/>
      <w:sz w:val="24"/>
      <w:szCs w:val="24"/>
    </w:rPr>
  </w:style>
  <w:style w:type="character" w:styleId="EndnoteReference">
    <w:name w:val="endnote reference"/>
    <w:uiPriority w:val="99"/>
    <w:unhideWhenUsed/>
    <w:rsid w:val="00BC2DD6"/>
    <w:rPr>
      <w:vertAlign w:val="superscript"/>
    </w:rPr>
  </w:style>
  <w:style w:type="character" w:styleId="Emphasis">
    <w:name w:val="Emphasis"/>
    <w:uiPriority w:val="20"/>
    <w:qFormat/>
    <w:rsid w:val="003E629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5E"/>
    <w:pPr>
      <w:spacing w:after="200" w:line="276" w:lineRule="auto"/>
    </w:pPr>
    <w:rPr>
      <w:sz w:val="22"/>
      <w:szCs w:val="22"/>
      <w:lang w:eastAsia="en-US"/>
    </w:rPr>
  </w:style>
  <w:style w:type="paragraph" w:styleId="Heading1">
    <w:name w:val="heading 1"/>
    <w:basedOn w:val="Normal"/>
    <w:next w:val="Normal"/>
    <w:link w:val="Heading1Char"/>
    <w:uiPriority w:val="9"/>
    <w:qFormat/>
    <w:rsid w:val="00B6540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C2DD6"/>
    <w:pPr>
      <w:keepNext/>
      <w:keepLines/>
      <w:spacing w:before="200" w:after="0" w:line="240" w:lineRule="auto"/>
      <w:outlineLvl w:val="1"/>
    </w:pPr>
    <w:rPr>
      <w:rFonts w:eastAsia="MS Gothic"/>
      <w:b/>
      <w:bCs/>
      <w:color w:val="4F81BD"/>
      <w:sz w:val="26"/>
      <w:szCs w:val="26"/>
    </w:rPr>
  </w:style>
  <w:style w:type="paragraph" w:styleId="Heading3">
    <w:name w:val="heading 3"/>
    <w:basedOn w:val="Normal"/>
    <w:next w:val="Normal"/>
    <w:link w:val="Heading3Char"/>
    <w:uiPriority w:val="9"/>
    <w:unhideWhenUsed/>
    <w:qFormat/>
    <w:rsid w:val="00BC2DD6"/>
    <w:pPr>
      <w:keepNext/>
      <w:keepLines/>
      <w:spacing w:before="200" w:after="0" w:line="240" w:lineRule="auto"/>
      <w:outlineLvl w:val="2"/>
    </w:pPr>
    <w:rPr>
      <w:rFonts w:eastAsia="MS Gothic"/>
      <w:b/>
      <w:bCs/>
      <w:color w:val="4F81BD"/>
      <w:sz w:val="24"/>
      <w:szCs w:val="24"/>
    </w:rPr>
  </w:style>
  <w:style w:type="paragraph" w:styleId="Heading4">
    <w:name w:val="heading 4"/>
    <w:basedOn w:val="Normal"/>
    <w:next w:val="Normal"/>
    <w:link w:val="Heading4Char"/>
    <w:uiPriority w:val="9"/>
    <w:unhideWhenUsed/>
    <w:qFormat/>
    <w:rsid w:val="00BC2DD6"/>
    <w:pPr>
      <w:keepNext/>
      <w:keepLines/>
      <w:spacing w:before="200" w:after="0" w:line="240" w:lineRule="auto"/>
      <w:outlineLvl w:val="3"/>
    </w:pPr>
    <w:rPr>
      <w:rFonts w:eastAsia="MS Gothic"/>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541"/>
  </w:style>
  <w:style w:type="paragraph" w:styleId="Footer">
    <w:name w:val="footer"/>
    <w:basedOn w:val="Normal"/>
    <w:link w:val="FooterChar"/>
    <w:uiPriority w:val="99"/>
    <w:unhideWhenUsed/>
    <w:rsid w:val="00E57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541"/>
  </w:style>
  <w:style w:type="paragraph" w:styleId="BalloonText">
    <w:name w:val="Balloon Text"/>
    <w:basedOn w:val="Normal"/>
    <w:link w:val="BalloonTextChar"/>
    <w:uiPriority w:val="99"/>
    <w:semiHidden/>
    <w:unhideWhenUsed/>
    <w:rsid w:val="00E575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7541"/>
    <w:rPr>
      <w:rFonts w:ascii="Tahoma" w:hAnsi="Tahoma" w:cs="Tahoma"/>
      <w:sz w:val="16"/>
      <w:szCs w:val="16"/>
    </w:rPr>
  </w:style>
  <w:style w:type="character" w:customStyle="1" w:styleId="Heading1Char">
    <w:name w:val="Heading 1 Char"/>
    <w:link w:val="Heading1"/>
    <w:uiPriority w:val="9"/>
    <w:rsid w:val="00B65408"/>
    <w:rPr>
      <w:rFonts w:ascii="Cambria" w:eastAsia="Times New Roman" w:hAnsi="Cambria" w:cs="Times New Roman"/>
      <w:b/>
      <w:bCs/>
      <w:color w:val="365F91"/>
      <w:sz w:val="28"/>
      <w:szCs w:val="28"/>
    </w:rPr>
  </w:style>
  <w:style w:type="character" w:styleId="Hyperlink">
    <w:name w:val="Hyperlink"/>
    <w:uiPriority w:val="99"/>
    <w:unhideWhenUsed/>
    <w:rsid w:val="009275CF"/>
    <w:rPr>
      <w:color w:val="0000FF"/>
      <w:u w:val="single"/>
    </w:rPr>
  </w:style>
  <w:style w:type="paragraph" w:styleId="NoSpacing">
    <w:name w:val="No Spacing"/>
    <w:uiPriority w:val="1"/>
    <w:qFormat/>
    <w:rsid w:val="00F26CEC"/>
    <w:rPr>
      <w:sz w:val="22"/>
      <w:szCs w:val="22"/>
      <w:lang w:eastAsia="en-US"/>
    </w:rPr>
  </w:style>
  <w:style w:type="paragraph" w:styleId="NormalWeb">
    <w:name w:val="Normal (Web)"/>
    <w:basedOn w:val="Normal"/>
    <w:rsid w:val="00C73724"/>
    <w:pPr>
      <w:widowControl w:val="0"/>
      <w:suppressAutoHyphens/>
      <w:spacing w:before="280" w:after="280" w:line="240" w:lineRule="auto"/>
    </w:pPr>
    <w:rPr>
      <w:rFonts w:ascii="Times New Roman" w:eastAsia="Arial Unicode MS" w:hAnsi="Times New Roman"/>
      <w:sz w:val="24"/>
      <w:szCs w:val="24"/>
    </w:rPr>
  </w:style>
  <w:style w:type="table" w:styleId="TableGrid">
    <w:name w:val="Table Grid"/>
    <w:basedOn w:val="TableNormal"/>
    <w:uiPriority w:val="59"/>
    <w:rsid w:val="00EA7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791430"/>
    <w:pPr>
      <w:spacing w:after="0" w:line="280" w:lineRule="atLeast"/>
    </w:pPr>
    <w:rPr>
      <w:rFonts w:ascii="Times New Roman" w:eastAsia="Times New Roman" w:hAnsi="Times New Roman"/>
      <w:color w:val="000000"/>
      <w:szCs w:val="20"/>
      <w:lang w:val="en-US" w:bidi="en-US"/>
    </w:rPr>
  </w:style>
  <w:style w:type="character" w:customStyle="1" w:styleId="BodyTextChar">
    <w:name w:val="Body Text Char"/>
    <w:link w:val="BodyText"/>
    <w:rsid w:val="00791430"/>
    <w:rPr>
      <w:rFonts w:ascii="Times New Roman" w:eastAsia="Times New Roman" w:hAnsi="Times New Roman"/>
      <w:color w:val="000000"/>
      <w:sz w:val="22"/>
      <w:lang w:bidi="en-US"/>
    </w:rPr>
  </w:style>
  <w:style w:type="paragraph" w:styleId="CommentText">
    <w:name w:val="annotation text"/>
    <w:basedOn w:val="Normal"/>
    <w:link w:val="CommentTextChar"/>
    <w:semiHidden/>
    <w:unhideWhenUsed/>
    <w:rsid w:val="00543857"/>
    <w:pPr>
      <w:spacing w:after="0" w:line="240" w:lineRule="auto"/>
    </w:pPr>
    <w:rPr>
      <w:rFonts w:ascii="Times New Roman" w:eastAsia="Times New Roman" w:hAnsi="Times New Roman"/>
      <w:sz w:val="20"/>
      <w:szCs w:val="20"/>
      <w:lang w:eastAsia="en-AU"/>
    </w:rPr>
  </w:style>
  <w:style w:type="character" w:customStyle="1" w:styleId="CommentTextChar">
    <w:name w:val="Comment Text Char"/>
    <w:link w:val="CommentText"/>
    <w:semiHidden/>
    <w:rsid w:val="00543857"/>
    <w:rPr>
      <w:rFonts w:ascii="Times New Roman" w:eastAsia="Times New Roman" w:hAnsi="Times New Roman"/>
      <w:lang w:val="en-AU" w:eastAsia="en-AU"/>
    </w:rPr>
  </w:style>
  <w:style w:type="character" w:styleId="CommentReference">
    <w:name w:val="annotation reference"/>
    <w:semiHidden/>
    <w:unhideWhenUsed/>
    <w:rsid w:val="00543857"/>
    <w:rPr>
      <w:sz w:val="16"/>
      <w:szCs w:val="16"/>
    </w:rPr>
  </w:style>
  <w:style w:type="paragraph" w:styleId="ListParagraph">
    <w:name w:val="List Paragraph"/>
    <w:basedOn w:val="Normal"/>
    <w:uiPriority w:val="34"/>
    <w:qFormat/>
    <w:rsid w:val="003F6C54"/>
    <w:pPr>
      <w:spacing w:after="0" w:line="240" w:lineRule="auto"/>
      <w:ind w:left="720"/>
      <w:contextualSpacing/>
    </w:pPr>
    <w:rPr>
      <w:rFonts w:ascii="Cambria" w:eastAsia="MS Mincho" w:hAnsi="Cambria"/>
      <w:sz w:val="24"/>
      <w:szCs w:val="24"/>
      <w:lang w:val="en-US"/>
    </w:rPr>
  </w:style>
  <w:style w:type="character" w:customStyle="1" w:styleId="apple-style-span">
    <w:name w:val="apple-style-span"/>
    <w:basedOn w:val="DefaultParagraphFont"/>
    <w:rsid w:val="00862B9D"/>
  </w:style>
  <w:style w:type="character" w:customStyle="1" w:styleId="Heading2Char">
    <w:name w:val="Heading 2 Char"/>
    <w:link w:val="Heading2"/>
    <w:uiPriority w:val="9"/>
    <w:rsid w:val="00BC2DD6"/>
    <w:rPr>
      <w:rFonts w:eastAsia="MS Gothic"/>
      <w:b/>
      <w:bCs/>
      <w:color w:val="4F81BD"/>
      <w:sz w:val="26"/>
      <w:szCs w:val="26"/>
      <w:lang w:val="en-AU"/>
    </w:rPr>
  </w:style>
  <w:style w:type="character" w:customStyle="1" w:styleId="Heading3Char">
    <w:name w:val="Heading 3 Char"/>
    <w:link w:val="Heading3"/>
    <w:uiPriority w:val="9"/>
    <w:rsid w:val="00BC2DD6"/>
    <w:rPr>
      <w:rFonts w:eastAsia="MS Gothic"/>
      <w:b/>
      <w:bCs/>
      <w:color w:val="4F81BD"/>
      <w:sz w:val="24"/>
      <w:szCs w:val="24"/>
      <w:lang w:val="en-AU"/>
    </w:rPr>
  </w:style>
  <w:style w:type="character" w:customStyle="1" w:styleId="Heading4Char">
    <w:name w:val="Heading 4 Char"/>
    <w:link w:val="Heading4"/>
    <w:uiPriority w:val="9"/>
    <w:rsid w:val="00BC2DD6"/>
    <w:rPr>
      <w:rFonts w:eastAsia="MS Gothic"/>
      <w:b/>
      <w:bCs/>
      <w:i/>
      <w:iCs/>
      <w:color w:val="4F81BD"/>
      <w:sz w:val="24"/>
      <w:szCs w:val="24"/>
      <w:lang w:val="en-AU"/>
    </w:rPr>
  </w:style>
  <w:style w:type="paragraph" w:styleId="FootnoteText">
    <w:name w:val="footnote text"/>
    <w:basedOn w:val="Normal"/>
    <w:link w:val="FootnoteTextChar"/>
    <w:uiPriority w:val="99"/>
    <w:unhideWhenUsed/>
    <w:rsid w:val="00BC2DD6"/>
    <w:pPr>
      <w:spacing w:after="0" w:line="240" w:lineRule="auto"/>
    </w:pPr>
    <w:rPr>
      <w:rFonts w:ascii="Cambria" w:eastAsia="MS Mincho" w:hAnsi="Cambria"/>
      <w:sz w:val="24"/>
      <w:szCs w:val="24"/>
    </w:rPr>
  </w:style>
  <w:style w:type="character" w:customStyle="1" w:styleId="FootnoteTextChar">
    <w:name w:val="Footnote Text Char"/>
    <w:link w:val="FootnoteText"/>
    <w:uiPriority w:val="99"/>
    <w:rsid w:val="00BC2DD6"/>
    <w:rPr>
      <w:rFonts w:ascii="Cambria" w:eastAsia="MS Mincho" w:hAnsi="Cambria"/>
      <w:sz w:val="24"/>
      <w:szCs w:val="24"/>
      <w:lang w:val="en-AU"/>
    </w:rPr>
  </w:style>
  <w:style w:type="character" w:styleId="FootnoteReference">
    <w:name w:val="footnote reference"/>
    <w:uiPriority w:val="99"/>
    <w:unhideWhenUsed/>
    <w:rsid w:val="00BC2DD6"/>
    <w:rPr>
      <w:vertAlign w:val="superscript"/>
    </w:rPr>
  </w:style>
  <w:style w:type="paragraph" w:styleId="TOCHeading">
    <w:name w:val="TOC Heading"/>
    <w:basedOn w:val="Heading1"/>
    <w:next w:val="Normal"/>
    <w:uiPriority w:val="39"/>
    <w:unhideWhenUsed/>
    <w:qFormat/>
    <w:rsid w:val="00BC2DD6"/>
    <w:pPr>
      <w:outlineLvl w:val="9"/>
    </w:pPr>
    <w:rPr>
      <w:rFonts w:ascii="Calibri" w:eastAsia="MS Gothic" w:hAnsi="Calibri"/>
      <w:lang w:val="en-US"/>
    </w:rPr>
  </w:style>
  <w:style w:type="paragraph" w:styleId="TOC1">
    <w:name w:val="toc 1"/>
    <w:basedOn w:val="Normal"/>
    <w:next w:val="Normal"/>
    <w:autoRedefine/>
    <w:uiPriority w:val="39"/>
    <w:unhideWhenUsed/>
    <w:rsid w:val="00BC2DD6"/>
    <w:pPr>
      <w:spacing w:before="120" w:after="0" w:line="240" w:lineRule="auto"/>
    </w:pPr>
    <w:rPr>
      <w:rFonts w:ascii="Cambria" w:eastAsia="MS Mincho" w:hAnsi="Cambria"/>
      <w:b/>
      <w:sz w:val="24"/>
      <w:szCs w:val="24"/>
    </w:rPr>
  </w:style>
  <w:style w:type="paragraph" w:styleId="TOC2">
    <w:name w:val="toc 2"/>
    <w:basedOn w:val="Normal"/>
    <w:next w:val="Normal"/>
    <w:autoRedefine/>
    <w:uiPriority w:val="39"/>
    <w:unhideWhenUsed/>
    <w:rsid w:val="00BC2DD6"/>
    <w:pPr>
      <w:spacing w:after="0" w:line="240" w:lineRule="auto"/>
      <w:ind w:left="240"/>
    </w:pPr>
    <w:rPr>
      <w:rFonts w:ascii="Cambria" w:eastAsia="MS Mincho" w:hAnsi="Cambria"/>
      <w:b/>
    </w:rPr>
  </w:style>
  <w:style w:type="paragraph" w:styleId="TOC3">
    <w:name w:val="toc 3"/>
    <w:basedOn w:val="Normal"/>
    <w:next w:val="Normal"/>
    <w:autoRedefine/>
    <w:uiPriority w:val="39"/>
    <w:unhideWhenUsed/>
    <w:rsid w:val="00BC2DD6"/>
    <w:pPr>
      <w:spacing w:after="0" w:line="240" w:lineRule="auto"/>
      <w:ind w:left="480"/>
    </w:pPr>
    <w:rPr>
      <w:rFonts w:ascii="Cambria" w:eastAsia="MS Mincho" w:hAnsi="Cambria"/>
    </w:rPr>
  </w:style>
  <w:style w:type="paragraph" w:styleId="EndnoteText">
    <w:name w:val="endnote text"/>
    <w:basedOn w:val="Normal"/>
    <w:link w:val="EndnoteTextChar"/>
    <w:uiPriority w:val="99"/>
    <w:unhideWhenUsed/>
    <w:rsid w:val="00BC2DD6"/>
    <w:pPr>
      <w:spacing w:after="0" w:line="240" w:lineRule="auto"/>
    </w:pPr>
    <w:rPr>
      <w:rFonts w:ascii="Cambria" w:eastAsia="MS Mincho" w:hAnsi="Cambria"/>
      <w:sz w:val="24"/>
      <w:szCs w:val="24"/>
      <w:lang w:val="en-US"/>
    </w:rPr>
  </w:style>
  <w:style w:type="character" w:customStyle="1" w:styleId="EndnoteTextChar">
    <w:name w:val="Endnote Text Char"/>
    <w:link w:val="EndnoteText"/>
    <w:uiPriority w:val="99"/>
    <w:rsid w:val="00BC2DD6"/>
    <w:rPr>
      <w:rFonts w:ascii="Cambria" w:eastAsia="MS Mincho" w:hAnsi="Cambria"/>
      <w:sz w:val="24"/>
      <w:szCs w:val="24"/>
    </w:rPr>
  </w:style>
  <w:style w:type="character" w:styleId="EndnoteReference">
    <w:name w:val="endnote reference"/>
    <w:uiPriority w:val="99"/>
    <w:unhideWhenUsed/>
    <w:rsid w:val="00BC2DD6"/>
    <w:rPr>
      <w:vertAlign w:val="superscript"/>
    </w:rPr>
  </w:style>
  <w:style w:type="character" w:styleId="Emphasis">
    <w:name w:val="Emphasis"/>
    <w:uiPriority w:val="20"/>
    <w:qFormat/>
    <w:rsid w:val="003E6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0764">
      <w:bodyDiv w:val="1"/>
      <w:marLeft w:val="0"/>
      <w:marRight w:val="0"/>
      <w:marTop w:val="0"/>
      <w:marBottom w:val="0"/>
      <w:divBdr>
        <w:top w:val="none" w:sz="0" w:space="0" w:color="auto"/>
        <w:left w:val="none" w:sz="0" w:space="0" w:color="auto"/>
        <w:bottom w:val="none" w:sz="0" w:space="0" w:color="auto"/>
        <w:right w:val="none" w:sz="0" w:space="0" w:color="auto"/>
      </w:divBdr>
    </w:div>
    <w:div w:id="351423282">
      <w:bodyDiv w:val="1"/>
      <w:marLeft w:val="0"/>
      <w:marRight w:val="0"/>
      <w:marTop w:val="0"/>
      <w:marBottom w:val="0"/>
      <w:divBdr>
        <w:top w:val="none" w:sz="0" w:space="0" w:color="auto"/>
        <w:left w:val="none" w:sz="0" w:space="0" w:color="auto"/>
        <w:bottom w:val="none" w:sz="0" w:space="0" w:color="auto"/>
        <w:right w:val="none" w:sz="0" w:space="0" w:color="auto"/>
      </w:divBdr>
    </w:div>
    <w:div w:id="836651345">
      <w:bodyDiv w:val="1"/>
      <w:marLeft w:val="0"/>
      <w:marRight w:val="0"/>
      <w:marTop w:val="0"/>
      <w:marBottom w:val="0"/>
      <w:divBdr>
        <w:top w:val="none" w:sz="0" w:space="0" w:color="auto"/>
        <w:left w:val="none" w:sz="0" w:space="0" w:color="auto"/>
        <w:bottom w:val="none" w:sz="0" w:space="0" w:color="auto"/>
        <w:right w:val="none" w:sz="0" w:space="0" w:color="auto"/>
      </w:divBdr>
    </w:div>
    <w:div w:id="933394841">
      <w:bodyDiv w:val="1"/>
      <w:marLeft w:val="0"/>
      <w:marRight w:val="0"/>
      <w:marTop w:val="0"/>
      <w:marBottom w:val="0"/>
      <w:divBdr>
        <w:top w:val="none" w:sz="0" w:space="0" w:color="auto"/>
        <w:left w:val="none" w:sz="0" w:space="0" w:color="auto"/>
        <w:bottom w:val="none" w:sz="0" w:space="0" w:color="auto"/>
        <w:right w:val="none" w:sz="0" w:space="0" w:color="auto"/>
      </w:divBdr>
    </w:div>
    <w:div w:id="959141041">
      <w:bodyDiv w:val="1"/>
      <w:marLeft w:val="0"/>
      <w:marRight w:val="0"/>
      <w:marTop w:val="0"/>
      <w:marBottom w:val="0"/>
      <w:divBdr>
        <w:top w:val="none" w:sz="0" w:space="0" w:color="auto"/>
        <w:left w:val="none" w:sz="0" w:space="0" w:color="auto"/>
        <w:bottom w:val="none" w:sz="0" w:space="0" w:color="auto"/>
        <w:right w:val="none" w:sz="0" w:space="0" w:color="auto"/>
      </w:divBdr>
    </w:div>
    <w:div w:id="1088112748">
      <w:bodyDiv w:val="1"/>
      <w:marLeft w:val="0"/>
      <w:marRight w:val="0"/>
      <w:marTop w:val="0"/>
      <w:marBottom w:val="0"/>
      <w:divBdr>
        <w:top w:val="none" w:sz="0" w:space="0" w:color="auto"/>
        <w:left w:val="none" w:sz="0" w:space="0" w:color="auto"/>
        <w:bottom w:val="none" w:sz="0" w:space="0" w:color="auto"/>
        <w:right w:val="none" w:sz="0" w:space="0" w:color="auto"/>
      </w:divBdr>
    </w:div>
    <w:div w:id="1129280489">
      <w:bodyDiv w:val="1"/>
      <w:marLeft w:val="0"/>
      <w:marRight w:val="0"/>
      <w:marTop w:val="0"/>
      <w:marBottom w:val="0"/>
      <w:divBdr>
        <w:top w:val="none" w:sz="0" w:space="0" w:color="auto"/>
        <w:left w:val="none" w:sz="0" w:space="0" w:color="auto"/>
        <w:bottom w:val="none" w:sz="0" w:space="0" w:color="auto"/>
        <w:right w:val="none" w:sz="0" w:space="0" w:color="auto"/>
      </w:divBdr>
      <w:divsChild>
        <w:div w:id="29915623">
          <w:marLeft w:val="0"/>
          <w:marRight w:val="0"/>
          <w:marTop w:val="0"/>
          <w:marBottom w:val="0"/>
          <w:divBdr>
            <w:top w:val="none" w:sz="0" w:space="0" w:color="auto"/>
            <w:left w:val="none" w:sz="0" w:space="0" w:color="auto"/>
            <w:bottom w:val="none" w:sz="0" w:space="0" w:color="auto"/>
            <w:right w:val="none" w:sz="0" w:space="0" w:color="auto"/>
          </w:divBdr>
        </w:div>
        <w:div w:id="786700098">
          <w:marLeft w:val="0"/>
          <w:marRight w:val="0"/>
          <w:marTop w:val="0"/>
          <w:marBottom w:val="0"/>
          <w:divBdr>
            <w:top w:val="none" w:sz="0" w:space="0" w:color="auto"/>
            <w:left w:val="none" w:sz="0" w:space="0" w:color="auto"/>
            <w:bottom w:val="none" w:sz="0" w:space="0" w:color="auto"/>
            <w:right w:val="none" w:sz="0" w:space="0" w:color="auto"/>
          </w:divBdr>
        </w:div>
        <w:div w:id="831027764">
          <w:marLeft w:val="0"/>
          <w:marRight w:val="0"/>
          <w:marTop w:val="0"/>
          <w:marBottom w:val="0"/>
          <w:divBdr>
            <w:top w:val="none" w:sz="0" w:space="0" w:color="auto"/>
            <w:left w:val="none" w:sz="0" w:space="0" w:color="auto"/>
            <w:bottom w:val="none" w:sz="0" w:space="0" w:color="auto"/>
            <w:right w:val="none" w:sz="0" w:space="0" w:color="auto"/>
          </w:divBdr>
        </w:div>
        <w:div w:id="1095244370">
          <w:marLeft w:val="0"/>
          <w:marRight w:val="0"/>
          <w:marTop w:val="0"/>
          <w:marBottom w:val="0"/>
          <w:divBdr>
            <w:top w:val="none" w:sz="0" w:space="0" w:color="auto"/>
            <w:left w:val="none" w:sz="0" w:space="0" w:color="auto"/>
            <w:bottom w:val="none" w:sz="0" w:space="0" w:color="auto"/>
            <w:right w:val="none" w:sz="0" w:space="0" w:color="auto"/>
          </w:divBdr>
        </w:div>
        <w:div w:id="1215041112">
          <w:marLeft w:val="0"/>
          <w:marRight w:val="0"/>
          <w:marTop w:val="0"/>
          <w:marBottom w:val="0"/>
          <w:divBdr>
            <w:top w:val="none" w:sz="0" w:space="0" w:color="auto"/>
            <w:left w:val="none" w:sz="0" w:space="0" w:color="auto"/>
            <w:bottom w:val="none" w:sz="0" w:space="0" w:color="auto"/>
            <w:right w:val="none" w:sz="0" w:space="0" w:color="auto"/>
          </w:divBdr>
        </w:div>
        <w:div w:id="1222446866">
          <w:marLeft w:val="0"/>
          <w:marRight w:val="0"/>
          <w:marTop w:val="0"/>
          <w:marBottom w:val="0"/>
          <w:divBdr>
            <w:top w:val="none" w:sz="0" w:space="0" w:color="auto"/>
            <w:left w:val="none" w:sz="0" w:space="0" w:color="auto"/>
            <w:bottom w:val="none" w:sz="0" w:space="0" w:color="auto"/>
            <w:right w:val="none" w:sz="0" w:space="0" w:color="auto"/>
          </w:divBdr>
        </w:div>
        <w:div w:id="1232815164">
          <w:marLeft w:val="0"/>
          <w:marRight w:val="0"/>
          <w:marTop w:val="0"/>
          <w:marBottom w:val="0"/>
          <w:divBdr>
            <w:top w:val="none" w:sz="0" w:space="0" w:color="auto"/>
            <w:left w:val="none" w:sz="0" w:space="0" w:color="auto"/>
            <w:bottom w:val="none" w:sz="0" w:space="0" w:color="auto"/>
            <w:right w:val="none" w:sz="0" w:space="0" w:color="auto"/>
          </w:divBdr>
        </w:div>
        <w:div w:id="1302690770">
          <w:marLeft w:val="0"/>
          <w:marRight w:val="0"/>
          <w:marTop w:val="0"/>
          <w:marBottom w:val="0"/>
          <w:divBdr>
            <w:top w:val="none" w:sz="0" w:space="0" w:color="auto"/>
            <w:left w:val="none" w:sz="0" w:space="0" w:color="auto"/>
            <w:bottom w:val="none" w:sz="0" w:space="0" w:color="auto"/>
            <w:right w:val="none" w:sz="0" w:space="0" w:color="auto"/>
          </w:divBdr>
        </w:div>
        <w:div w:id="1314214620">
          <w:marLeft w:val="0"/>
          <w:marRight w:val="0"/>
          <w:marTop w:val="0"/>
          <w:marBottom w:val="0"/>
          <w:divBdr>
            <w:top w:val="none" w:sz="0" w:space="0" w:color="auto"/>
            <w:left w:val="none" w:sz="0" w:space="0" w:color="auto"/>
            <w:bottom w:val="none" w:sz="0" w:space="0" w:color="auto"/>
            <w:right w:val="none" w:sz="0" w:space="0" w:color="auto"/>
          </w:divBdr>
        </w:div>
        <w:div w:id="1321494738">
          <w:marLeft w:val="0"/>
          <w:marRight w:val="0"/>
          <w:marTop w:val="0"/>
          <w:marBottom w:val="0"/>
          <w:divBdr>
            <w:top w:val="none" w:sz="0" w:space="0" w:color="auto"/>
            <w:left w:val="none" w:sz="0" w:space="0" w:color="auto"/>
            <w:bottom w:val="none" w:sz="0" w:space="0" w:color="auto"/>
            <w:right w:val="none" w:sz="0" w:space="0" w:color="auto"/>
          </w:divBdr>
        </w:div>
        <w:div w:id="1427846929">
          <w:marLeft w:val="0"/>
          <w:marRight w:val="0"/>
          <w:marTop w:val="0"/>
          <w:marBottom w:val="0"/>
          <w:divBdr>
            <w:top w:val="none" w:sz="0" w:space="0" w:color="auto"/>
            <w:left w:val="none" w:sz="0" w:space="0" w:color="auto"/>
            <w:bottom w:val="none" w:sz="0" w:space="0" w:color="auto"/>
            <w:right w:val="none" w:sz="0" w:space="0" w:color="auto"/>
          </w:divBdr>
        </w:div>
        <w:div w:id="1462847478">
          <w:marLeft w:val="0"/>
          <w:marRight w:val="0"/>
          <w:marTop w:val="0"/>
          <w:marBottom w:val="0"/>
          <w:divBdr>
            <w:top w:val="none" w:sz="0" w:space="0" w:color="auto"/>
            <w:left w:val="none" w:sz="0" w:space="0" w:color="auto"/>
            <w:bottom w:val="none" w:sz="0" w:space="0" w:color="auto"/>
            <w:right w:val="none" w:sz="0" w:space="0" w:color="auto"/>
          </w:divBdr>
        </w:div>
        <w:div w:id="1506021469">
          <w:marLeft w:val="0"/>
          <w:marRight w:val="0"/>
          <w:marTop w:val="0"/>
          <w:marBottom w:val="0"/>
          <w:divBdr>
            <w:top w:val="none" w:sz="0" w:space="0" w:color="auto"/>
            <w:left w:val="none" w:sz="0" w:space="0" w:color="auto"/>
            <w:bottom w:val="none" w:sz="0" w:space="0" w:color="auto"/>
            <w:right w:val="none" w:sz="0" w:space="0" w:color="auto"/>
          </w:divBdr>
        </w:div>
        <w:div w:id="1574194470">
          <w:marLeft w:val="0"/>
          <w:marRight w:val="0"/>
          <w:marTop w:val="0"/>
          <w:marBottom w:val="0"/>
          <w:divBdr>
            <w:top w:val="none" w:sz="0" w:space="0" w:color="auto"/>
            <w:left w:val="none" w:sz="0" w:space="0" w:color="auto"/>
            <w:bottom w:val="none" w:sz="0" w:space="0" w:color="auto"/>
            <w:right w:val="none" w:sz="0" w:space="0" w:color="auto"/>
          </w:divBdr>
        </w:div>
        <w:div w:id="1601254698">
          <w:marLeft w:val="0"/>
          <w:marRight w:val="0"/>
          <w:marTop w:val="0"/>
          <w:marBottom w:val="0"/>
          <w:divBdr>
            <w:top w:val="none" w:sz="0" w:space="0" w:color="auto"/>
            <w:left w:val="none" w:sz="0" w:space="0" w:color="auto"/>
            <w:bottom w:val="none" w:sz="0" w:space="0" w:color="auto"/>
            <w:right w:val="none" w:sz="0" w:space="0" w:color="auto"/>
          </w:divBdr>
        </w:div>
      </w:divsChild>
    </w:div>
    <w:div w:id="16475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54E78-9A76-AA4D-990E-526B9298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9836</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Alec Arid</cp:lastModifiedBy>
  <cp:revision>2</cp:revision>
  <cp:lastPrinted>2018-01-22T02:32:00Z</cp:lastPrinted>
  <dcterms:created xsi:type="dcterms:W3CDTF">2018-11-07T23:42:00Z</dcterms:created>
  <dcterms:modified xsi:type="dcterms:W3CDTF">2018-11-07T23:42:00Z</dcterms:modified>
</cp:coreProperties>
</file>