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77A94" w:rsidRDefault="00C77F22" w:rsidP="00996A69">
      <w:pPr>
        <w:jc w:val="right"/>
      </w:pPr>
      <w:r>
        <w:rPr>
          <w:noProof/>
          <w:lang w:val="en-AU" w:eastAsia="en-AU"/>
        </w:rPr>
        <w:drawing>
          <wp:inline distT="0" distB="0" distL="0" distR="0" wp14:anchorId="66F4560D" wp14:editId="469614AD">
            <wp:extent cx="1429738" cy="586800"/>
            <wp:effectExtent l="0" t="0" r="0" b="3810"/>
            <wp:docPr id="6" name="Picture 6" descr="Attitude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itude_Logo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9738" cy="586800"/>
                    </a:xfrm>
                    <a:prstGeom prst="rect">
                      <a:avLst/>
                    </a:prstGeom>
                  </pic:spPr>
                </pic:pic>
              </a:graphicData>
            </a:graphic>
          </wp:inline>
        </w:drawing>
      </w:r>
    </w:p>
    <w:p w:rsidR="00C77F22" w:rsidRDefault="00C77F22" w:rsidP="00C77F22"/>
    <w:p w:rsidR="00434385" w:rsidRDefault="00434385" w:rsidP="00434385">
      <w:pPr>
        <w:pStyle w:val="ReportTitle"/>
        <w:spacing w:before="960"/>
      </w:pPr>
    </w:p>
    <w:p w:rsidR="002F4DDE" w:rsidRDefault="002F4DDE" w:rsidP="00434385">
      <w:pPr>
        <w:pStyle w:val="ReportTitle"/>
        <w:spacing w:before="960"/>
        <w:rPr>
          <w:lang w:val="en-US"/>
        </w:rPr>
      </w:pPr>
      <w:r>
        <w:rPr>
          <w:lang w:val="en-US"/>
        </w:rPr>
        <w:t>Attitude Foundation</w:t>
      </w:r>
    </w:p>
    <w:p w:rsidR="00434385" w:rsidRDefault="0076704F" w:rsidP="002F4DDE">
      <w:pPr>
        <w:pStyle w:val="ReportTitle"/>
        <w:spacing w:before="240"/>
      </w:pPr>
      <w:r>
        <w:drawing>
          <wp:anchor distT="0" distB="0" distL="114300" distR="114300" simplePos="0" relativeHeight="251691008" behindDoc="1" locked="0" layoutInCell="1" allowOverlap="1" wp14:anchorId="06A41687" wp14:editId="6000FF2D">
            <wp:simplePos x="0" y="0"/>
            <wp:positionH relativeFrom="column">
              <wp:posOffset>-322387</wp:posOffset>
            </wp:positionH>
            <wp:positionV relativeFrom="paragraph">
              <wp:posOffset>587375</wp:posOffset>
            </wp:positionV>
            <wp:extent cx="7564755" cy="10687050"/>
            <wp:effectExtent l="0" t="0" r="4445" b="635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cover-2.jpg"/>
                    <pic:cNvPicPr/>
                  </pic:nvPicPr>
                  <pic:blipFill>
                    <a:blip r:embed="rId9">
                      <a:extLst>
                        <a:ext uri="{28A0092B-C50C-407E-A947-70E740481C1C}">
                          <a14:useLocalDpi xmlns:a14="http://schemas.microsoft.com/office/drawing/2010/main" val="0"/>
                        </a:ext>
                      </a:extLst>
                    </a:blip>
                    <a:stretch>
                      <a:fillRect/>
                    </a:stretch>
                  </pic:blipFill>
                  <pic:spPr>
                    <a:xfrm>
                      <a:off x="0" y="0"/>
                      <a:ext cx="7564755" cy="10687050"/>
                    </a:xfrm>
                    <a:prstGeom prst="rect">
                      <a:avLst/>
                    </a:prstGeom>
                  </pic:spPr>
                </pic:pic>
              </a:graphicData>
            </a:graphic>
            <wp14:sizeRelH relativeFrom="page">
              <wp14:pctWidth>0</wp14:pctWidth>
            </wp14:sizeRelH>
            <wp14:sizeRelV relativeFrom="page">
              <wp14:pctHeight>0</wp14:pctHeight>
            </wp14:sizeRelV>
          </wp:anchor>
        </w:drawing>
      </w:r>
      <w:r w:rsidR="00434385">
        <w:rPr>
          <w:lang w:val="en-US"/>
        </w:rPr>
        <w:t>Business Case</w:t>
      </w:r>
      <w:r w:rsidR="00CC528C">
        <w:rPr>
          <w:lang w:val="en-US"/>
        </w:rPr>
        <w:t xml:space="preserve"> - Summary</w:t>
      </w:r>
    </w:p>
    <w:p w:rsidR="00434385" w:rsidRDefault="00CC528C" w:rsidP="00434385">
      <w:pPr>
        <w:pStyle w:val="ReportSubtitle"/>
        <w:sectPr w:rsidR="00434385">
          <w:pgSz w:w="11900" w:h="16840"/>
          <w:pgMar w:top="1440" w:right="1080" w:bottom="1440" w:left="1080" w:header="454" w:footer="454" w:gutter="0"/>
          <w:cols w:space="720"/>
        </w:sectPr>
      </w:pPr>
      <w:r>
        <w:rPr>
          <w:lang w:val="en-US"/>
        </w:rPr>
        <w:t>May 2016</w:t>
      </w:r>
    </w:p>
    <w:sdt>
      <w:sdtPr>
        <w:rPr>
          <w:rFonts w:ascii="Times New Roman" w:eastAsiaTheme="minorHAnsi" w:hAnsi="Times New Roman" w:cstheme="minorBidi"/>
          <w:bCs w:val="0"/>
          <w:color w:val="auto"/>
          <w:sz w:val="22"/>
          <w:szCs w:val="20"/>
          <w:lang w:val="en-AU" w:eastAsia="en-US"/>
        </w:rPr>
        <w:id w:val="-369839501"/>
        <w:docPartObj>
          <w:docPartGallery w:val="Table of Contents"/>
          <w:docPartUnique/>
        </w:docPartObj>
      </w:sdtPr>
      <w:sdtEndPr>
        <w:rPr>
          <w:rFonts w:cs="Times New Roman"/>
          <w:b/>
          <w:noProof/>
          <w:sz w:val="24"/>
          <w:szCs w:val="24"/>
          <w:lang w:val="en-US"/>
        </w:rPr>
      </w:sdtEndPr>
      <w:sdtContent>
        <w:p w:rsidR="00996A69" w:rsidRDefault="00996A69">
          <w:pPr>
            <w:pStyle w:val="TOCHeading"/>
          </w:pPr>
          <w:r>
            <w:t>Contents</w:t>
          </w:r>
        </w:p>
        <w:p w:rsidR="000453E0" w:rsidRDefault="00996A69">
          <w:pPr>
            <w:pStyle w:val="TOC1"/>
            <w:tabs>
              <w:tab w:val="right" w:leader="dot" w:pos="9736"/>
            </w:tabs>
            <w:rPr>
              <w:rFonts w:eastAsiaTheme="minorEastAsia"/>
              <w:noProof/>
              <w:szCs w:val="22"/>
              <w:lang w:eastAsia="en-AU"/>
            </w:rPr>
          </w:pPr>
          <w:r>
            <w:fldChar w:fldCharType="begin"/>
          </w:r>
          <w:r>
            <w:instrText xml:space="preserve"> TOC \o "1-3" \h \z \u </w:instrText>
          </w:r>
          <w:r>
            <w:fldChar w:fldCharType="separate"/>
          </w:r>
          <w:hyperlink w:anchor="_Toc473623342" w:history="1">
            <w:r w:rsidR="000453E0" w:rsidRPr="00DF16D1">
              <w:rPr>
                <w:rStyle w:val="Hyperlink"/>
                <w:noProof/>
                <w:u w:color="000000"/>
                <w:bdr w:val="nil"/>
                <w:lang w:val="en-US"/>
              </w:rPr>
              <w:t>Introduction</w:t>
            </w:r>
            <w:r w:rsidR="000453E0">
              <w:rPr>
                <w:noProof/>
                <w:webHidden/>
              </w:rPr>
              <w:tab/>
            </w:r>
            <w:r w:rsidR="000453E0">
              <w:rPr>
                <w:noProof/>
                <w:webHidden/>
              </w:rPr>
              <w:fldChar w:fldCharType="begin"/>
            </w:r>
            <w:r w:rsidR="000453E0">
              <w:rPr>
                <w:noProof/>
                <w:webHidden/>
              </w:rPr>
              <w:instrText xml:space="preserve"> PAGEREF _Toc473623342 \h </w:instrText>
            </w:r>
            <w:r w:rsidR="000453E0">
              <w:rPr>
                <w:noProof/>
                <w:webHidden/>
              </w:rPr>
            </w:r>
            <w:r w:rsidR="000453E0">
              <w:rPr>
                <w:noProof/>
                <w:webHidden/>
              </w:rPr>
              <w:fldChar w:fldCharType="separate"/>
            </w:r>
            <w:r w:rsidR="000453E0">
              <w:rPr>
                <w:noProof/>
                <w:webHidden/>
              </w:rPr>
              <w:t>3</w:t>
            </w:r>
            <w:r w:rsidR="000453E0">
              <w:rPr>
                <w:noProof/>
                <w:webHidden/>
              </w:rPr>
              <w:fldChar w:fldCharType="end"/>
            </w:r>
          </w:hyperlink>
        </w:p>
        <w:p w:rsidR="000453E0" w:rsidRDefault="00D7394B">
          <w:pPr>
            <w:pStyle w:val="TOC1"/>
            <w:tabs>
              <w:tab w:val="right" w:leader="dot" w:pos="9736"/>
            </w:tabs>
            <w:rPr>
              <w:rFonts w:eastAsiaTheme="minorEastAsia"/>
              <w:noProof/>
              <w:szCs w:val="22"/>
              <w:lang w:eastAsia="en-AU"/>
            </w:rPr>
          </w:pPr>
          <w:hyperlink w:anchor="_Toc473623343" w:history="1">
            <w:r w:rsidR="000453E0" w:rsidRPr="00DF16D1">
              <w:rPr>
                <w:rStyle w:val="Hyperlink"/>
                <w:noProof/>
              </w:rPr>
              <w:t>Executive Summary</w:t>
            </w:r>
            <w:r w:rsidR="000453E0">
              <w:rPr>
                <w:noProof/>
                <w:webHidden/>
              </w:rPr>
              <w:tab/>
            </w:r>
            <w:r w:rsidR="000453E0">
              <w:rPr>
                <w:noProof/>
                <w:webHidden/>
              </w:rPr>
              <w:fldChar w:fldCharType="begin"/>
            </w:r>
            <w:r w:rsidR="000453E0">
              <w:rPr>
                <w:noProof/>
                <w:webHidden/>
              </w:rPr>
              <w:instrText xml:space="preserve"> PAGEREF _Toc473623343 \h </w:instrText>
            </w:r>
            <w:r w:rsidR="000453E0">
              <w:rPr>
                <w:noProof/>
                <w:webHidden/>
              </w:rPr>
            </w:r>
            <w:r w:rsidR="000453E0">
              <w:rPr>
                <w:noProof/>
                <w:webHidden/>
              </w:rPr>
              <w:fldChar w:fldCharType="separate"/>
            </w:r>
            <w:r w:rsidR="000453E0">
              <w:rPr>
                <w:noProof/>
                <w:webHidden/>
              </w:rPr>
              <w:t>3</w:t>
            </w:r>
            <w:r w:rsidR="000453E0">
              <w:rPr>
                <w:noProof/>
                <w:webHidden/>
              </w:rPr>
              <w:fldChar w:fldCharType="end"/>
            </w:r>
          </w:hyperlink>
        </w:p>
        <w:p w:rsidR="000453E0" w:rsidRDefault="00D7394B">
          <w:pPr>
            <w:pStyle w:val="TOC1"/>
            <w:tabs>
              <w:tab w:val="right" w:leader="dot" w:pos="9736"/>
            </w:tabs>
            <w:rPr>
              <w:rFonts w:eastAsiaTheme="minorEastAsia"/>
              <w:noProof/>
              <w:szCs w:val="22"/>
              <w:lang w:eastAsia="en-AU"/>
            </w:rPr>
          </w:pPr>
          <w:hyperlink w:anchor="_Toc473623344" w:history="1">
            <w:r w:rsidR="000453E0" w:rsidRPr="00DF16D1">
              <w:rPr>
                <w:rStyle w:val="Hyperlink"/>
                <w:noProof/>
              </w:rPr>
              <w:t>The Case for Change</w:t>
            </w:r>
            <w:r w:rsidR="000453E0">
              <w:rPr>
                <w:noProof/>
                <w:webHidden/>
              </w:rPr>
              <w:tab/>
            </w:r>
            <w:r w:rsidR="000453E0">
              <w:rPr>
                <w:noProof/>
                <w:webHidden/>
              </w:rPr>
              <w:fldChar w:fldCharType="begin"/>
            </w:r>
            <w:r w:rsidR="000453E0">
              <w:rPr>
                <w:noProof/>
                <w:webHidden/>
              </w:rPr>
              <w:instrText xml:space="preserve"> PAGEREF _Toc473623344 \h </w:instrText>
            </w:r>
            <w:r w:rsidR="000453E0">
              <w:rPr>
                <w:noProof/>
                <w:webHidden/>
              </w:rPr>
            </w:r>
            <w:r w:rsidR="000453E0">
              <w:rPr>
                <w:noProof/>
                <w:webHidden/>
              </w:rPr>
              <w:fldChar w:fldCharType="separate"/>
            </w:r>
            <w:r w:rsidR="000453E0">
              <w:rPr>
                <w:noProof/>
                <w:webHidden/>
              </w:rPr>
              <w:t>4</w:t>
            </w:r>
            <w:r w:rsidR="000453E0">
              <w:rPr>
                <w:noProof/>
                <w:webHidden/>
              </w:rPr>
              <w:fldChar w:fldCharType="end"/>
            </w:r>
          </w:hyperlink>
        </w:p>
        <w:p w:rsidR="000453E0" w:rsidRDefault="00D7394B">
          <w:pPr>
            <w:pStyle w:val="TOC3"/>
            <w:tabs>
              <w:tab w:val="right" w:leader="dot" w:pos="9736"/>
            </w:tabs>
            <w:rPr>
              <w:rFonts w:eastAsiaTheme="minorEastAsia"/>
              <w:noProof/>
              <w:szCs w:val="22"/>
              <w:lang w:eastAsia="en-AU"/>
            </w:rPr>
          </w:pPr>
          <w:hyperlink w:anchor="_Toc473623345" w:history="1">
            <w:r w:rsidR="000453E0" w:rsidRPr="00DF16D1">
              <w:rPr>
                <w:rStyle w:val="Hyperlink"/>
                <w:noProof/>
              </w:rPr>
              <w:t>The Community</w:t>
            </w:r>
            <w:r w:rsidR="000453E0">
              <w:rPr>
                <w:noProof/>
                <w:webHidden/>
              </w:rPr>
              <w:tab/>
            </w:r>
            <w:r w:rsidR="000453E0">
              <w:rPr>
                <w:noProof/>
                <w:webHidden/>
              </w:rPr>
              <w:fldChar w:fldCharType="begin"/>
            </w:r>
            <w:r w:rsidR="000453E0">
              <w:rPr>
                <w:noProof/>
                <w:webHidden/>
              </w:rPr>
              <w:instrText xml:space="preserve"> PAGEREF _Toc473623345 \h </w:instrText>
            </w:r>
            <w:r w:rsidR="000453E0">
              <w:rPr>
                <w:noProof/>
                <w:webHidden/>
              </w:rPr>
            </w:r>
            <w:r w:rsidR="000453E0">
              <w:rPr>
                <w:noProof/>
                <w:webHidden/>
              </w:rPr>
              <w:fldChar w:fldCharType="separate"/>
            </w:r>
            <w:r w:rsidR="000453E0">
              <w:rPr>
                <w:noProof/>
                <w:webHidden/>
              </w:rPr>
              <w:t>5</w:t>
            </w:r>
            <w:r w:rsidR="000453E0">
              <w:rPr>
                <w:noProof/>
                <w:webHidden/>
              </w:rPr>
              <w:fldChar w:fldCharType="end"/>
            </w:r>
          </w:hyperlink>
        </w:p>
        <w:p w:rsidR="000453E0" w:rsidRDefault="00D7394B">
          <w:pPr>
            <w:pStyle w:val="TOC3"/>
            <w:tabs>
              <w:tab w:val="right" w:leader="dot" w:pos="9736"/>
            </w:tabs>
            <w:rPr>
              <w:rFonts w:eastAsiaTheme="minorEastAsia"/>
              <w:noProof/>
              <w:szCs w:val="22"/>
              <w:lang w:eastAsia="en-AU"/>
            </w:rPr>
          </w:pPr>
          <w:hyperlink w:anchor="_Toc473623346" w:history="1">
            <w:r w:rsidR="000453E0" w:rsidRPr="00DF16D1">
              <w:rPr>
                <w:rStyle w:val="Hyperlink"/>
                <w:noProof/>
              </w:rPr>
              <w:t>Workplaces</w:t>
            </w:r>
            <w:r w:rsidR="000453E0">
              <w:rPr>
                <w:noProof/>
                <w:webHidden/>
              </w:rPr>
              <w:tab/>
            </w:r>
            <w:r w:rsidR="000453E0">
              <w:rPr>
                <w:noProof/>
                <w:webHidden/>
              </w:rPr>
              <w:fldChar w:fldCharType="begin"/>
            </w:r>
            <w:r w:rsidR="000453E0">
              <w:rPr>
                <w:noProof/>
                <w:webHidden/>
              </w:rPr>
              <w:instrText xml:space="preserve"> PAGEREF _Toc473623346 \h </w:instrText>
            </w:r>
            <w:r w:rsidR="000453E0">
              <w:rPr>
                <w:noProof/>
                <w:webHidden/>
              </w:rPr>
            </w:r>
            <w:r w:rsidR="000453E0">
              <w:rPr>
                <w:noProof/>
                <w:webHidden/>
              </w:rPr>
              <w:fldChar w:fldCharType="separate"/>
            </w:r>
            <w:r w:rsidR="000453E0">
              <w:rPr>
                <w:noProof/>
                <w:webHidden/>
              </w:rPr>
              <w:t>6</w:t>
            </w:r>
            <w:r w:rsidR="000453E0">
              <w:rPr>
                <w:noProof/>
                <w:webHidden/>
              </w:rPr>
              <w:fldChar w:fldCharType="end"/>
            </w:r>
          </w:hyperlink>
        </w:p>
        <w:p w:rsidR="000453E0" w:rsidRDefault="00D7394B">
          <w:pPr>
            <w:pStyle w:val="TOC3"/>
            <w:tabs>
              <w:tab w:val="right" w:leader="dot" w:pos="9736"/>
            </w:tabs>
            <w:rPr>
              <w:rFonts w:eastAsiaTheme="minorEastAsia"/>
              <w:noProof/>
              <w:szCs w:val="22"/>
              <w:lang w:eastAsia="en-AU"/>
            </w:rPr>
          </w:pPr>
          <w:hyperlink w:anchor="_Toc473623347" w:history="1">
            <w:r w:rsidR="000453E0" w:rsidRPr="00DF16D1">
              <w:rPr>
                <w:rStyle w:val="Hyperlink"/>
                <w:noProof/>
              </w:rPr>
              <w:t>The Economy</w:t>
            </w:r>
            <w:r w:rsidR="000453E0">
              <w:rPr>
                <w:noProof/>
                <w:webHidden/>
              </w:rPr>
              <w:tab/>
            </w:r>
            <w:r w:rsidR="000453E0">
              <w:rPr>
                <w:noProof/>
                <w:webHidden/>
              </w:rPr>
              <w:fldChar w:fldCharType="begin"/>
            </w:r>
            <w:r w:rsidR="000453E0">
              <w:rPr>
                <w:noProof/>
                <w:webHidden/>
              </w:rPr>
              <w:instrText xml:space="preserve"> PAGEREF _Toc473623347 \h </w:instrText>
            </w:r>
            <w:r w:rsidR="000453E0">
              <w:rPr>
                <w:noProof/>
                <w:webHidden/>
              </w:rPr>
            </w:r>
            <w:r w:rsidR="000453E0">
              <w:rPr>
                <w:noProof/>
                <w:webHidden/>
              </w:rPr>
              <w:fldChar w:fldCharType="separate"/>
            </w:r>
            <w:r w:rsidR="000453E0">
              <w:rPr>
                <w:noProof/>
                <w:webHidden/>
              </w:rPr>
              <w:t>7</w:t>
            </w:r>
            <w:r w:rsidR="000453E0">
              <w:rPr>
                <w:noProof/>
                <w:webHidden/>
              </w:rPr>
              <w:fldChar w:fldCharType="end"/>
            </w:r>
          </w:hyperlink>
        </w:p>
        <w:p w:rsidR="000453E0" w:rsidRDefault="00D7394B">
          <w:pPr>
            <w:pStyle w:val="TOC3"/>
            <w:tabs>
              <w:tab w:val="right" w:leader="dot" w:pos="9736"/>
            </w:tabs>
            <w:rPr>
              <w:rFonts w:eastAsiaTheme="minorEastAsia"/>
              <w:noProof/>
              <w:szCs w:val="22"/>
              <w:lang w:eastAsia="en-AU"/>
            </w:rPr>
          </w:pPr>
          <w:hyperlink w:anchor="_Toc473623348" w:history="1">
            <w:r w:rsidR="000453E0" w:rsidRPr="00DF16D1">
              <w:rPr>
                <w:rStyle w:val="Hyperlink"/>
                <w:noProof/>
              </w:rPr>
              <w:t>The Individual</w:t>
            </w:r>
            <w:r w:rsidR="000453E0">
              <w:rPr>
                <w:noProof/>
                <w:webHidden/>
              </w:rPr>
              <w:tab/>
            </w:r>
            <w:r w:rsidR="000453E0">
              <w:rPr>
                <w:noProof/>
                <w:webHidden/>
              </w:rPr>
              <w:fldChar w:fldCharType="begin"/>
            </w:r>
            <w:r w:rsidR="000453E0">
              <w:rPr>
                <w:noProof/>
                <w:webHidden/>
              </w:rPr>
              <w:instrText xml:space="preserve"> PAGEREF _Toc473623348 \h </w:instrText>
            </w:r>
            <w:r w:rsidR="000453E0">
              <w:rPr>
                <w:noProof/>
                <w:webHidden/>
              </w:rPr>
            </w:r>
            <w:r w:rsidR="000453E0">
              <w:rPr>
                <w:noProof/>
                <w:webHidden/>
              </w:rPr>
              <w:fldChar w:fldCharType="separate"/>
            </w:r>
            <w:r w:rsidR="000453E0">
              <w:rPr>
                <w:noProof/>
                <w:webHidden/>
              </w:rPr>
              <w:t>8</w:t>
            </w:r>
            <w:r w:rsidR="000453E0">
              <w:rPr>
                <w:noProof/>
                <w:webHidden/>
              </w:rPr>
              <w:fldChar w:fldCharType="end"/>
            </w:r>
          </w:hyperlink>
        </w:p>
        <w:p w:rsidR="000453E0" w:rsidRDefault="00D7394B">
          <w:pPr>
            <w:pStyle w:val="TOC2"/>
            <w:tabs>
              <w:tab w:val="right" w:leader="dot" w:pos="9736"/>
            </w:tabs>
            <w:rPr>
              <w:rFonts w:eastAsiaTheme="minorEastAsia"/>
              <w:noProof/>
              <w:szCs w:val="22"/>
              <w:lang w:eastAsia="en-AU"/>
            </w:rPr>
          </w:pPr>
          <w:hyperlink w:anchor="_Toc473623349" w:history="1">
            <w:r w:rsidR="000453E0" w:rsidRPr="00DF16D1">
              <w:rPr>
                <w:rStyle w:val="Hyperlink"/>
                <w:noProof/>
                <w:u w:color="000000"/>
                <w:bdr w:val="nil"/>
                <w:lang w:val="en-US"/>
              </w:rPr>
              <w:t>Attitude Initiatives</w:t>
            </w:r>
            <w:r w:rsidR="000453E0">
              <w:rPr>
                <w:noProof/>
                <w:webHidden/>
              </w:rPr>
              <w:tab/>
            </w:r>
            <w:r w:rsidR="000453E0">
              <w:rPr>
                <w:noProof/>
                <w:webHidden/>
              </w:rPr>
              <w:fldChar w:fldCharType="begin"/>
            </w:r>
            <w:r w:rsidR="000453E0">
              <w:rPr>
                <w:noProof/>
                <w:webHidden/>
              </w:rPr>
              <w:instrText xml:space="preserve"> PAGEREF _Toc473623349 \h </w:instrText>
            </w:r>
            <w:r w:rsidR="000453E0">
              <w:rPr>
                <w:noProof/>
                <w:webHidden/>
              </w:rPr>
            </w:r>
            <w:r w:rsidR="000453E0">
              <w:rPr>
                <w:noProof/>
                <w:webHidden/>
              </w:rPr>
              <w:fldChar w:fldCharType="separate"/>
            </w:r>
            <w:r w:rsidR="000453E0">
              <w:rPr>
                <w:noProof/>
                <w:webHidden/>
              </w:rPr>
              <w:t>9</w:t>
            </w:r>
            <w:r w:rsidR="000453E0">
              <w:rPr>
                <w:noProof/>
                <w:webHidden/>
              </w:rPr>
              <w:fldChar w:fldCharType="end"/>
            </w:r>
          </w:hyperlink>
        </w:p>
        <w:p w:rsidR="000453E0" w:rsidRDefault="00D7394B">
          <w:pPr>
            <w:pStyle w:val="TOC3"/>
            <w:tabs>
              <w:tab w:val="right" w:leader="dot" w:pos="9736"/>
            </w:tabs>
            <w:rPr>
              <w:rFonts w:eastAsiaTheme="minorEastAsia"/>
              <w:noProof/>
              <w:szCs w:val="22"/>
              <w:lang w:eastAsia="en-AU"/>
            </w:rPr>
          </w:pPr>
          <w:hyperlink w:anchor="_Toc473623350" w:history="1">
            <w:r w:rsidR="000453E0" w:rsidRPr="00DF16D1">
              <w:rPr>
                <w:rStyle w:val="Hyperlink"/>
                <w:noProof/>
                <w:u w:color="000000"/>
                <w:bdr w:val="nil"/>
                <w:lang w:val="en-US"/>
              </w:rPr>
              <w:t>Television Series</w:t>
            </w:r>
            <w:r w:rsidR="000453E0">
              <w:rPr>
                <w:noProof/>
                <w:webHidden/>
              </w:rPr>
              <w:tab/>
            </w:r>
            <w:r w:rsidR="000453E0">
              <w:rPr>
                <w:noProof/>
                <w:webHidden/>
              </w:rPr>
              <w:fldChar w:fldCharType="begin"/>
            </w:r>
            <w:r w:rsidR="000453E0">
              <w:rPr>
                <w:noProof/>
                <w:webHidden/>
              </w:rPr>
              <w:instrText xml:space="preserve"> PAGEREF _Toc473623350 \h </w:instrText>
            </w:r>
            <w:r w:rsidR="000453E0">
              <w:rPr>
                <w:noProof/>
                <w:webHidden/>
              </w:rPr>
            </w:r>
            <w:r w:rsidR="000453E0">
              <w:rPr>
                <w:noProof/>
                <w:webHidden/>
              </w:rPr>
              <w:fldChar w:fldCharType="separate"/>
            </w:r>
            <w:r w:rsidR="000453E0">
              <w:rPr>
                <w:noProof/>
                <w:webHidden/>
              </w:rPr>
              <w:t>9</w:t>
            </w:r>
            <w:r w:rsidR="000453E0">
              <w:rPr>
                <w:noProof/>
                <w:webHidden/>
              </w:rPr>
              <w:fldChar w:fldCharType="end"/>
            </w:r>
          </w:hyperlink>
        </w:p>
        <w:p w:rsidR="000453E0" w:rsidRDefault="00D7394B">
          <w:pPr>
            <w:pStyle w:val="TOC3"/>
            <w:tabs>
              <w:tab w:val="right" w:leader="dot" w:pos="9736"/>
            </w:tabs>
            <w:rPr>
              <w:rFonts w:eastAsiaTheme="minorEastAsia"/>
              <w:noProof/>
              <w:szCs w:val="22"/>
              <w:lang w:eastAsia="en-AU"/>
            </w:rPr>
          </w:pPr>
          <w:hyperlink w:anchor="_Toc473623351" w:history="1">
            <w:r w:rsidR="000453E0" w:rsidRPr="00DF16D1">
              <w:rPr>
                <w:rStyle w:val="Hyperlink"/>
                <w:noProof/>
                <w:u w:color="000000"/>
                <w:bdr w:val="nil"/>
                <w:lang w:val="en-US"/>
              </w:rPr>
              <w:t>Web Portal</w:t>
            </w:r>
            <w:r w:rsidR="000453E0">
              <w:rPr>
                <w:noProof/>
                <w:webHidden/>
              </w:rPr>
              <w:tab/>
            </w:r>
            <w:r w:rsidR="000453E0">
              <w:rPr>
                <w:noProof/>
                <w:webHidden/>
              </w:rPr>
              <w:fldChar w:fldCharType="begin"/>
            </w:r>
            <w:r w:rsidR="000453E0">
              <w:rPr>
                <w:noProof/>
                <w:webHidden/>
              </w:rPr>
              <w:instrText xml:space="preserve"> PAGEREF _Toc473623351 \h </w:instrText>
            </w:r>
            <w:r w:rsidR="000453E0">
              <w:rPr>
                <w:noProof/>
                <w:webHidden/>
              </w:rPr>
            </w:r>
            <w:r w:rsidR="000453E0">
              <w:rPr>
                <w:noProof/>
                <w:webHidden/>
              </w:rPr>
              <w:fldChar w:fldCharType="separate"/>
            </w:r>
            <w:r w:rsidR="000453E0">
              <w:rPr>
                <w:noProof/>
                <w:webHidden/>
              </w:rPr>
              <w:t>9</w:t>
            </w:r>
            <w:r w:rsidR="000453E0">
              <w:rPr>
                <w:noProof/>
                <w:webHidden/>
              </w:rPr>
              <w:fldChar w:fldCharType="end"/>
            </w:r>
          </w:hyperlink>
        </w:p>
        <w:p w:rsidR="000453E0" w:rsidRDefault="00D7394B">
          <w:pPr>
            <w:pStyle w:val="TOC3"/>
            <w:tabs>
              <w:tab w:val="right" w:leader="dot" w:pos="9736"/>
            </w:tabs>
            <w:rPr>
              <w:rFonts w:eastAsiaTheme="minorEastAsia"/>
              <w:noProof/>
              <w:szCs w:val="22"/>
              <w:lang w:eastAsia="en-AU"/>
            </w:rPr>
          </w:pPr>
          <w:hyperlink w:anchor="_Toc473623352" w:history="1">
            <w:r w:rsidR="000453E0" w:rsidRPr="00DF16D1">
              <w:rPr>
                <w:rStyle w:val="Hyperlink"/>
                <w:noProof/>
                <w:u w:color="000000"/>
                <w:bdr w:val="nil"/>
                <w:lang w:val="en-US"/>
              </w:rPr>
              <w:t>Research</w:t>
            </w:r>
            <w:r w:rsidR="000453E0">
              <w:rPr>
                <w:noProof/>
                <w:webHidden/>
              </w:rPr>
              <w:tab/>
            </w:r>
            <w:r w:rsidR="000453E0">
              <w:rPr>
                <w:noProof/>
                <w:webHidden/>
              </w:rPr>
              <w:fldChar w:fldCharType="begin"/>
            </w:r>
            <w:r w:rsidR="000453E0">
              <w:rPr>
                <w:noProof/>
                <w:webHidden/>
              </w:rPr>
              <w:instrText xml:space="preserve"> PAGEREF _Toc473623352 \h </w:instrText>
            </w:r>
            <w:r w:rsidR="000453E0">
              <w:rPr>
                <w:noProof/>
                <w:webHidden/>
              </w:rPr>
            </w:r>
            <w:r w:rsidR="000453E0">
              <w:rPr>
                <w:noProof/>
                <w:webHidden/>
              </w:rPr>
              <w:fldChar w:fldCharType="separate"/>
            </w:r>
            <w:r w:rsidR="000453E0">
              <w:rPr>
                <w:noProof/>
                <w:webHidden/>
              </w:rPr>
              <w:t>10</w:t>
            </w:r>
            <w:r w:rsidR="000453E0">
              <w:rPr>
                <w:noProof/>
                <w:webHidden/>
              </w:rPr>
              <w:fldChar w:fldCharType="end"/>
            </w:r>
          </w:hyperlink>
        </w:p>
        <w:p w:rsidR="000453E0" w:rsidRDefault="00D7394B">
          <w:pPr>
            <w:pStyle w:val="TOC2"/>
            <w:tabs>
              <w:tab w:val="right" w:leader="dot" w:pos="9736"/>
            </w:tabs>
            <w:rPr>
              <w:rFonts w:eastAsiaTheme="minorEastAsia"/>
              <w:noProof/>
              <w:szCs w:val="22"/>
              <w:lang w:eastAsia="en-AU"/>
            </w:rPr>
          </w:pPr>
          <w:hyperlink w:anchor="_Toc473623353" w:history="1">
            <w:r w:rsidR="000453E0" w:rsidRPr="00DF16D1">
              <w:rPr>
                <w:rStyle w:val="Hyperlink"/>
                <w:noProof/>
                <w:u w:color="000000"/>
                <w:bdr w:val="nil"/>
                <w:lang w:val="en-US"/>
              </w:rPr>
              <w:t>Fundraising and Sponsorship</w:t>
            </w:r>
            <w:r w:rsidR="000453E0">
              <w:rPr>
                <w:noProof/>
                <w:webHidden/>
              </w:rPr>
              <w:tab/>
            </w:r>
            <w:r w:rsidR="000453E0">
              <w:rPr>
                <w:noProof/>
                <w:webHidden/>
              </w:rPr>
              <w:fldChar w:fldCharType="begin"/>
            </w:r>
            <w:r w:rsidR="000453E0">
              <w:rPr>
                <w:noProof/>
                <w:webHidden/>
              </w:rPr>
              <w:instrText xml:space="preserve"> PAGEREF _Toc473623353 \h </w:instrText>
            </w:r>
            <w:r w:rsidR="000453E0">
              <w:rPr>
                <w:noProof/>
                <w:webHidden/>
              </w:rPr>
            </w:r>
            <w:r w:rsidR="000453E0">
              <w:rPr>
                <w:noProof/>
                <w:webHidden/>
              </w:rPr>
              <w:fldChar w:fldCharType="separate"/>
            </w:r>
            <w:r w:rsidR="000453E0">
              <w:rPr>
                <w:noProof/>
                <w:webHidden/>
              </w:rPr>
              <w:t>10</w:t>
            </w:r>
            <w:r w:rsidR="000453E0">
              <w:rPr>
                <w:noProof/>
                <w:webHidden/>
              </w:rPr>
              <w:fldChar w:fldCharType="end"/>
            </w:r>
          </w:hyperlink>
        </w:p>
        <w:p w:rsidR="000453E0" w:rsidRDefault="00D7394B">
          <w:pPr>
            <w:pStyle w:val="TOC2"/>
            <w:tabs>
              <w:tab w:val="right" w:leader="dot" w:pos="9736"/>
            </w:tabs>
            <w:rPr>
              <w:rFonts w:eastAsiaTheme="minorEastAsia"/>
              <w:noProof/>
              <w:szCs w:val="22"/>
              <w:lang w:eastAsia="en-AU"/>
            </w:rPr>
          </w:pPr>
          <w:hyperlink w:anchor="_Toc473623354" w:history="1">
            <w:r w:rsidR="000453E0" w:rsidRPr="00DF16D1">
              <w:rPr>
                <w:rStyle w:val="Hyperlink"/>
                <w:noProof/>
                <w:u w:color="000000"/>
                <w:bdr w:val="nil"/>
                <w:lang w:val="en-US"/>
              </w:rPr>
              <w:t>Overheads</w:t>
            </w:r>
            <w:r w:rsidR="000453E0">
              <w:rPr>
                <w:noProof/>
                <w:webHidden/>
              </w:rPr>
              <w:tab/>
            </w:r>
            <w:r w:rsidR="000453E0">
              <w:rPr>
                <w:noProof/>
                <w:webHidden/>
              </w:rPr>
              <w:fldChar w:fldCharType="begin"/>
            </w:r>
            <w:r w:rsidR="000453E0">
              <w:rPr>
                <w:noProof/>
                <w:webHidden/>
              </w:rPr>
              <w:instrText xml:space="preserve"> PAGEREF _Toc473623354 \h </w:instrText>
            </w:r>
            <w:r w:rsidR="000453E0">
              <w:rPr>
                <w:noProof/>
                <w:webHidden/>
              </w:rPr>
            </w:r>
            <w:r w:rsidR="000453E0">
              <w:rPr>
                <w:noProof/>
                <w:webHidden/>
              </w:rPr>
              <w:fldChar w:fldCharType="separate"/>
            </w:r>
            <w:r w:rsidR="000453E0">
              <w:rPr>
                <w:noProof/>
                <w:webHidden/>
              </w:rPr>
              <w:t>10</w:t>
            </w:r>
            <w:r w:rsidR="000453E0">
              <w:rPr>
                <w:noProof/>
                <w:webHidden/>
              </w:rPr>
              <w:fldChar w:fldCharType="end"/>
            </w:r>
          </w:hyperlink>
        </w:p>
        <w:p w:rsidR="000453E0" w:rsidRDefault="00D7394B">
          <w:pPr>
            <w:pStyle w:val="TOC2"/>
            <w:tabs>
              <w:tab w:val="right" w:leader="dot" w:pos="9736"/>
            </w:tabs>
            <w:rPr>
              <w:rFonts w:eastAsiaTheme="minorEastAsia"/>
              <w:noProof/>
              <w:szCs w:val="22"/>
              <w:lang w:eastAsia="en-AU"/>
            </w:rPr>
          </w:pPr>
          <w:hyperlink w:anchor="_Toc473623355" w:history="1">
            <w:r w:rsidR="000453E0" w:rsidRPr="00DF16D1">
              <w:rPr>
                <w:rStyle w:val="Hyperlink"/>
                <w:noProof/>
                <w:u w:color="000000"/>
                <w:bdr w:val="nil"/>
                <w:lang w:val="en-US"/>
              </w:rPr>
              <w:t>Financials</w:t>
            </w:r>
            <w:r w:rsidR="000453E0">
              <w:rPr>
                <w:noProof/>
                <w:webHidden/>
              </w:rPr>
              <w:tab/>
            </w:r>
            <w:r w:rsidR="000453E0">
              <w:rPr>
                <w:noProof/>
                <w:webHidden/>
              </w:rPr>
              <w:fldChar w:fldCharType="begin"/>
            </w:r>
            <w:r w:rsidR="000453E0">
              <w:rPr>
                <w:noProof/>
                <w:webHidden/>
              </w:rPr>
              <w:instrText xml:space="preserve"> PAGEREF _Toc473623355 \h </w:instrText>
            </w:r>
            <w:r w:rsidR="000453E0">
              <w:rPr>
                <w:noProof/>
                <w:webHidden/>
              </w:rPr>
            </w:r>
            <w:r w:rsidR="000453E0">
              <w:rPr>
                <w:noProof/>
                <w:webHidden/>
              </w:rPr>
              <w:fldChar w:fldCharType="separate"/>
            </w:r>
            <w:r w:rsidR="000453E0">
              <w:rPr>
                <w:noProof/>
                <w:webHidden/>
              </w:rPr>
              <w:t>11</w:t>
            </w:r>
            <w:r w:rsidR="000453E0">
              <w:rPr>
                <w:noProof/>
                <w:webHidden/>
              </w:rPr>
              <w:fldChar w:fldCharType="end"/>
            </w:r>
          </w:hyperlink>
        </w:p>
        <w:p w:rsidR="000453E0" w:rsidRDefault="00D7394B">
          <w:pPr>
            <w:pStyle w:val="TOC2"/>
            <w:tabs>
              <w:tab w:val="right" w:leader="dot" w:pos="9736"/>
            </w:tabs>
            <w:rPr>
              <w:rFonts w:eastAsiaTheme="minorEastAsia"/>
              <w:noProof/>
              <w:szCs w:val="22"/>
              <w:lang w:eastAsia="en-AU"/>
            </w:rPr>
          </w:pPr>
          <w:hyperlink w:anchor="_Toc473623356" w:history="1">
            <w:r w:rsidR="000453E0" w:rsidRPr="00DF16D1">
              <w:rPr>
                <w:rStyle w:val="Hyperlink"/>
                <w:noProof/>
                <w:u w:color="000000"/>
                <w:bdr w:val="nil"/>
                <w:lang w:val="en-US"/>
              </w:rPr>
              <w:t>Overall timeline and milestones</w:t>
            </w:r>
            <w:r w:rsidR="000453E0">
              <w:rPr>
                <w:noProof/>
                <w:webHidden/>
              </w:rPr>
              <w:tab/>
            </w:r>
            <w:r w:rsidR="000453E0">
              <w:rPr>
                <w:noProof/>
                <w:webHidden/>
              </w:rPr>
              <w:fldChar w:fldCharType="begin"/>
            </w:r>
            <w:r w:rsidR="000453E0">
              <w:rPr>
                <w:noProof/>
                <w:webHidden/>
              </w:rPr>
              <w:instrText xml:space="preserve"> PAGEREF _Toc473623356 \h </w:instrText>
            </w:r>
            <w:r w:rsidR="000453E0">
              <w:rPr>
                <w:noProof/>
                <w:webHidden/>
              </w:rPr>
            </w:r>
            <w:r w:rsidR="000453E0">
              <w:rPr>
                <w:noProof/>
                <w:webHidden/>
              </w:rPr>
              <w:fldChar w:fldCharType="separate"/>
            </w:r>
            <w:r w:rsidR="000453E0">
              <w:rPr>
                <w:noProof/>
                <w:webHidden/>
              </w:rPr>
              <w:t>11</w:t>
            </w:r>
            <w:r w:rsidR="000453E0">
              <w:rPr>
                <w:noProof/>
                <w:webHidden/>
              </w:rPr>
              <w:fldChar w:fldCharType="end"/>
            </w:r>
          </w:hyperlink>
        </w:p>
        <w:p w:rsidR="00E53F2A" w:rsidRDefault="00996A69" w:rsidP="00DD21ED">
          <w:pPr>
            <w:sectPr w:rsidR="00E53F2A" w:rsidSect="00607546">
              <w:footerReference w:type="default" r:id="rId10"/>
              <w:pgSz w:w="11906" w:h="16838"/>
              <w:pgMar w:top="1440" w:right="1080" w:bottom="1440" w:left="1080" w:header="454" w:footer="454" w:gutter="0"/>
              <w:cols w:space="708"/>
              <w:docGrid w:linePitch="360"/>
            </w:sectPr>
          </w:pPr>
          <w:r>
            <w:rPr>
              <w:b/>
              <w:bCs/>
              <w:noProof/>
            </w:rPr>
            <w:fldChar w:fldCharType="end"/>
          </w:r>
        </w:p>
      </w:sdtContent>
    </w:sdt>
    <w:p w:rsidR="005665A8" w:rsidRDefault="005665A8" w:rsidP="009A36EC">
      <w:pPr>
        <w:pStyle w:val="Heading1"/>
        <w:rPr>
          <w:u w:color="000000"/>
          <w:bdr w:val="nil"/>
          <w:lang w:val="en-US"/>
        </w:rPr>
      </w:pPr>
      <w:bookmarkStart w:id="0" w:name="_Toc473623342"/>
      <w:r>
        <w:rPr>
          <w:u w:color="000000"/>
          <w:bdr w:val="nil"/>
          <w:lang w:val="en-US"/>
        </w:rPr>
        <w:lastRenderedPageBreak/>
        <w:t>Introduction</w:t>
      </w:r>
      <w:bookmarkEnd w:id="0"/>
    </w:p>
    <w:p w:rsidR="0030693D" w:rsidRPr="00702A9B" w:rsidRDefault="007609B4" w:rsidP="00702A9B">
      <w:pPr>
        <w:pStyle w:val="Body"/>
      </w:pPr>
      <w:r w:rsidRPr="00702A9B">
        <w:rPr>
          <w:lang w:val="en"/>
        </w:rPr>
        <w:t xml:space="preserve">Attitude Foundation Limited was established in 2014 by people who are passionate about the inclusion of people with </w:t>
      </w:r>
      <w:r w:rsidR="001B31B3">
        <w:rPr>
          <w:lang w:val="en"/>
        </w:rPr>
        <w:t>disability</w:t>
      </w:r>
      <w:r w:rsidRPr="00702A9B">
        <w:rPr>
          <w:lang w:val="en"/>
        </w:rPr>
        <w:t xml:space="preserve"> in society.</w:t>
      </w:r>
      <w:r w:rsidR="00320615" w:rsidRPr="00702A9B">
        <w:rPr>
          <w:lang w:val="en"/>
        </w:rPr>
        <w:t xml:space="preserve"> </w:t>
      </w:r>
      <w:r w:rsidR="0030693D" w:rsidRPr="00702A9B">
        <w:t>Attitude Foundation’s vision is:</w:t>
      </w:r>
    </w:p>
    <w:p w:rsidR="0030693D" w:rsidRPr="00702A9B" w:rsidRDefault="0030693D" w:rsidP="004A5E5C">
      <w:pPr>
        <w:pStyle w:val="Body"/>
        <w:jc w:val="center"/>
        <w:rPr>
          <w:i/>
          <w:iCs/>
        </w:rPr>
      </w:pPr>
      <w:r w:rsidRPr="00702A9B">
        <w:rPr>
          <w:i/>
          <w:iCs/>
        </w:rPr>
        <w:t>To live in an Australia in which people with disability are welcomed and fully included on an equal basis in every aspect of life.</w:t>
      </w:r>
    </w:p>
    <w:p w:rsidR="0030693D" w:rsidRPr="00702A9B" w:rsidRDefault="0030693D" w:rsidP="00702A9B">
      <w:pPr>
        <w:pStyle w:val="Body"/>
      </w:pPr>
      <w:r w:rsidRPr="00702A9B">
        <w:t>The Foundation’s goal is to drive a material change in attitudes and lives through the creation of a television documentary series with real stories of people with disability told by people with disability.</w:t>
      </w:r>
    </w:p>
    <w:p w:rsidR="0030693D" w:rsidRPr="00702A9B" w:rsidRDefault="0030693D" w:rsidP="00702A9B">
      <w:pPr>
        <w:pStyle w:val="Body"/>
      </w:pPr>
      <w:r w:rsidRPr="00702A9B">
        <w:t xml:space="preserve">The documentaries will change people’s attitudes by delivering insight and shaping a new understanding of disability in Australia, framed in terms of possibilities and positivity.  They will not focus on a victim or hero mentality but show people with </w:t>
      </w:r>
      <w:r w:rsidR="001B31B3">
        <w:t>disability</w:t>
      </w:r>
      <w:r w:rsidRPr="00702A9B">
        <w:t xml:space="preserve"> as agents of their own destiny to drive a fundamental attitudinal shift in our community.</w:t>
      </w:r>
    </w:p>
    <w:p w:rsidR="004D534D" w:rsidRPr="00702A9B" w:rsidRDefault="0030693D" w:rsidP="00702A9B">
      <w:pPr>
        <w:pStyle w:val="Body"/>
      </w:pPr>
      <w:r w:rsidRPr="00702A9B">
        <w:t xml:space="preserve">The content and targeted focus we propose is essential to spark conversations, deliver subtle messaging and position people with </w:t>
      </w:r>
      <w:r w:rsidR="001B31B3">
        <w:t>disability</w:t>
      </w:r>
      <w:r w:rsidRPr="00702A9B">
        <w:t xml:space="preserve"> as role models, leaders and to be successful in life.</w:t>
      </w:r>
    </w:p>
    <w:p w:rsidR="0030693D" w:rsidRDefault="00DC7B13" w:rsidP="00702A9B">
      <w:pPr>
        <w:pStyle w:val="Body"/>
      </w:pPr>
      <w:r w:rsidRPr="00702A9B">
        <w:t>Attitude will seek funding support for an Australian documentary television series to be broadcast on natio</w:t>
      </w:r>
      <w:r w:rsidR="004D534D" w:rsidRPr="00702A9B">
        <w:t xml:space="preserve">nal television which will be </w:t>
      </w:r>
      <w:r w:rsidRPr="00702A9B">
        <w:t>reinfo</w:t>
      </w:r>
      <w:r w:rsidR="004D534D" w:rsidRPr="00702A9B">
        <w:t>rced by a supporting web portal</w:t>
      </w:r>
      <w:r w:rsidR="005D0B87">
        <w:t xml:space="preserve">, Public Relations campaign incorporating </w:t>
      </w:r>
      <w:r w:rsidR="005D0B87" w:rsidRPr="00702A9B">
        <w:t xml:space="preserve">social media </w:t>
      </w:r>
      <w:r w:rsidR="005D0B87">
        <w:t>amplification</w:t>
      </w:r>
      <w:r w:rsidR="005D0B87" w:rsidRPr="00702A9B">
        <w:t xml:space="preserve">, </w:t>
      </w:r>
      <w:r w:rsidR="004D534D" w:rsidRPr="00702A9B">
        <w:t>and independent research to measure the effectiveness of the campaign in promoting positive attitudes, beliefs and behaviours toward people with a disability.</w:t>
      </w:r>
    </w:p>
    <w:p w:rsidR="00632F31" w:rsidRPr="003C0D40" w:rsidRDefault="00632F31" w:rsidP="00632F31">
      <w:pPr>
        <w:pStyle w:val="Heading1"/>
      </w:pPr>
      <w:bookmarkStart w:id="1" w:name="_Toc473623343"/>
      <w:r>
        <w:t>Executive Summary</w:t>
      </w:r>
      <w:bookmarkEnd w:id="1"/>
    </w:p>
    <w:p w:rsidR="00632F31" w:rsidRDefault="00632F31" w:rsidP="00903C87">
      <w:pPr>
        <w:pStyle w:val="Body"/>
      </w:pPr>
      <w:r>
        <w:t xml:space="preserve">This business case will demonstrate the </w:t>
      </w:r>
      <w:r w:rsidRPr="00702A9B">
        <w:t xml:space="preserve">strong case for changing Australian society’s attitudes toward people with </w:t>
      </w:r>
      <w:r>
        <w:t>disability and the</w:t>
      </w:r>
      <w:r w:rsidRPr="00702A9B">
        <w:t xml:space="preserve"> compelling statistics</w:t>
      </w:r>
      <w:r>
        <w:t xml:space="preserve"> (across education, employment, housing, poverty, justice) that illustrate why</w:t>
      </w:r>
      <w:r w:rsidRPr="00702A9B">
        <w:t xml:space="preserve"> change is so sorely needed</w:t>
      </w:r>
      <w:r>
        <w:t xml:space="preserve"> in Australia.  </w:t>
      </w:r>
    </w:p>
    <w:p w:rsidR="00632F31" w:rsidRDefault="00632F31" w:rsidP="00903C87">
      <w:pPr>
        <w:pStyle w:val="Body"/>
      </w:pPr>
      <w:r>
        <w:t>It articulates the benefits to be gained from full participation of people with disability in Australian society. From an economic rationale alone, Australia’s GDP could rise by $40</w:t>
      </w:r>
      <w:r w:rsidRPr="003A4D3C">
        <w:t xml:space="preserve"> billion</w:t>
      </w:r>
      <w:r>
        <w:t xml:space="preserve"> in the next decade if the </w:t>
      </w:r>
      <w:r w:rsidRPr="00224040">
        <w:t xml:space="preserve">current employment rate for Australians with disability </w:t>
      </w:r>
      <w:r>
        <w:t xml:space="preserve">is increased by one-third. Smart businesses are also poised to gain economically from making their services accessible to the growing market of customers with disability – people with spending power. </w:t>
      </w:r>
    </w:p>
    <w:p w:rsidR="00632F31" w:rsidRDefault="00632F31" w:rsidP="00632F31">
      <w:pPr>
        <w:pStyle w:val="Body"/>
      </w:pPr>
      <w:r>
        <w:t xml:space="preserve">Greater inclusion and employment opportunities for people with disability lead to increased income, greater spending power and higher living standards. A more inclusive society means that people with disability can participate in broad community activities, gain independence and self-worth, and enjoy positive health benefits. Families and carers also benefit, as well as the wider community – mainstream Australia.  </w:t>
      </w:r>
    </w:p>
    <w:p w:rsidR="00632F31" w:rsidRDefault="00632F31" w:rsidP="00632F31">
      <w:pPr>
        <w:pStyle w:val="Body"/>
      </w:pPr>
      <w:r>
        <w:t xml:space="preserve">We </w:t>
      </w:r>
      <w:r w:rsidR="002279A0">
        <w:t>will</w:t>
      </w:r>
      <w:r>
        <w:t xml:space="preserve"> show how documentary films and TV series have been highly effective in changing attitudes towards some of the most important global issues of our time.  The documentary examples provided demonstrate that audiences can be inspired – via compelling and engaging stories - to question their long-held assumptions and to change their behavior. </w:t>
      </w:r>
    </w:p>
    <w:p w:rsidR="00632F31" w:rsidRDefault="00632F31" w:rsidP="00632F31">
      <w:pPr>
        <w:pStyle w:val="Body"/>
      </w:pPr>
      <w:r>
        <w:lastRenderedPageBreak/>
        <w:br/>
        <w:t xml:space="preserve">Our </w:t>
      </w:r>
      <w:r w:rsidRPr="00903C87">
        <w:rPr>
          <w:i/>
        </w:rPr>
        <w:t>Attitude</w:t>
      </w:r>
      <w:r>
        <w:t xml:space="preserve"> documentary series aims to follow suit, </w:t>
      </w:r>
      <w:r w:rsidRPr="00E97328">
        <w:t>break</w:t>
      </w:r>
      <w:r>
        <w:t>ing</w:t>
      </w:r>
      <w:r w:rsidRPr="00E97328">
        <w:t xml:space="preserve"> down </w:t>
      </w:r>
      <w:r>
        <w:t xml:space="preserve">social and community </w:t>
      </w:r>
      <w:r w:rsidRPr="00E97328">
        <w:t xml:space="preserve">misconceptions </w:t>
      </w:r>
      <w:r>
        <w:t xml:space="preserve">to </w:t>
      </w:r>
      <w:r w:rsidRPr="00E97328">
        <w:t xml:space="preserve">create a more inclusive and aware society, which in turn will lead </w:t>
      </w:r>
      <w:r>
        <w:t xml:space="preserve">to </w:t>
      </w:r>
      <w:r w:rsidRPr="00E97328">
        <w:t xml:space="preserve">better education </w:t>
      </w:r>
      <w:r>
        <w:t xml:space="preserve">and employment </w:t>
      </w:r>
      <w:r w:rsidRPr="00E97328">
        <w:t>opportunities for people with dis</w:t>
      </w:r>
      <w:r>
        <w:t>ability</w:t>
      </w:r>
      <w:r w:rsidRPr="00E97328">
        <w:t xml:space="preserve">, a boosted economy where </w:t>
      </w:r>
      <w:r>
        <w:t>individuals themselves have greater spending power, feelings of greater self-worth</w:t>
      </w:r>
      <w:r w:rsidRPr="00E97328">
        <w:t xml:space="preserve">, </w:t>
      </w:r>
      <w:r>
        <w:t>and better overall health.</w:t>
      </w:r>
      <w:r w:rsidRPr="00E97328">
        <w:t> </w:t>
      </w:r>
    </w:p>
    <w:p w:rsidR="00632F31" w:rsidRPr="00903C87" w:rsidRDefault="00632F31" w:rsidP="00903C87">
      <w:pPr>
        <w:pStyle w:val="Body"/>
      </w:pPr>
      <w:r w:rsidRPr="00903C87">
        <w:t xml:space="preserve">Our proposed research will measure base line attitudes as well as attitudinal change resulting from broadcast of our TV series – the first research of its kind in Australia. We aim to build on this strong body of evidence-based research over time – research that will be valuable to society and business as a whole, which we will actively publicise in service of our goal of creating a more inclusive society without discrimination. </w:t>
      </w:r>
    </w:p>
    <w:p w:rsidR="00632F31" w:rsidRDefault="00632F31" w:rsidP="00632F31">
      <w:pPr>
        <w:pStyle w:val="Body"/>
      </w:pPr>
      <w:r>
        <w:t xml:space="preserve">Forward-thinking businesses that invest in this scenario want to play a role in the creation of this inclusive and progressive society, and are able to grasp the long-term benefits for society and business, particularly in the social and economic arenas. </w:t>
      </w:r>
      <w:r w:rsidR="00903C87">
        <w:t xml:space="preserve">  </w:t>
      </w:r>
    </w:p>
    <w:p w:rsidR="004F77BF" w:rsidRPr="00AA2400" w:rsidRDefault="004F77BF" w:rsidP="004F77BF">
      <w:pPr>
        <w:pStyle w:val="Heading1"/>
      </w:pPr>
      <w:bookmarkStart w:id="2" w:name="_Toc473623344"/>
      <w:r w:rsidRPr="00AA2400">
        <w:t>The Case for Change</w:t>
      </w:r>
      <w:bookmarkEnd w:id="2"/>
    </w:p>
    <w:p w:rsidR="004F77BF" w:rsidRPr="00702A9B" w:rsidRDefault="004F77BF" w:rsidP="004F77BF">
      <w:pPr>
        <w:pStyle w:val="Body"/>
      </w:pPr>
      <w:r w:rsidRPr="00702A9B">
        <w:t xml:space="preserve">There is a very strong case for changing Australian society’s attitudes toward people with </w:t>
      </w:r>
      <w:r>
        <w:t>disability</w:t>
      </w:r>
      <w:r w:rsidRPr="00702A9B">
        <w:t>.  As part of reviewing the NDIS proposal from the Federal government, PWC made the following statement:</w:t>
      </w:r>
    </w:p>
    <w:p w:rsidR="004F77BF" w:rsidRPr="00702A9B" w:rsidRDefault="004F77BF" w:rsidP="004F77BF">
      <w:pPr>
        <w:pStyle w:val="Body"/>
        <w:jc w:val="center"/>
        <w:rPr>
          <w:i/>
        </w:rPr>
      </w:pPr>
      <w:r w:rsidRPr="00702A9B">
        <w:rPr>
          <w:i/>
        </w:rPr>
        <w:t>“The biggest challenge for Australia is to provide an environment for change which allows for a cultural shift across all parts of our society.  Active participation of those with a disability in society generally can only occur with a change in attitude</w:t>
      </w:r>
      <w:r>
        <w:rPr>
          <w:i/>
        </w:rPr>
        <w:t>.</w:t>
      </w:r>
      <w:r w:rsidRPr="00702A9B">
        <w:rPr>
          <w:i/>
        </w:rPr>
        <w:t xml:space="preserve">  This is something that can’t be legislated; people need to see the reason why change is important.</w:t>
      </w:r>
      <w:r w:rsidRPr="00702A9B">
        <w:rPr>
          <w:rStyle w:val="FootnoteReference"/>
          <w:rFonts w:asciiTheme="minorHAnsi" w:hAnsiTheme="minorHAnsi" w:cstheme="minorHAnsi"/>
          <w:i/>
        </w:rPr>
        <w:footnoteReference w:id="1"/>
      </w:r>
      <w:r w:rsidRPr="00702A9B">
        <w:rPr>
          <w:i/>
        </w:rPr>
        <w:t>”</w:t>
      </w:r>
    </w:p>
    <w:p w:rsidR="004F77BF" w:rsidRPr="00702A9B" w:rsidRDefault="004F77BF" w:rsidP="004F77BF">
      <w:pPr>
        <w:pStyle w:val="Body"/>
      </w:pPr>
      <w:r w:rsidRPr="00702A9B">
        <w:t>Some compelling statistics that illustrate why the change is so sorely needed</w:t>
      </w:r>
      <w:r>
        <w:t>.</w:t>
      </w:r>
    </w:p>
    <w:p w:rsidR="004F77BF" w:rsidRPr="00702A9B" w:rsidRDefault="004F77BF" w:rsidP="004F77BF">
      <w:pPr>
        <w:pStyle w:val="ListBullet"/>
        <w:rPr>
          <w:rFonts w:cstheme="minorHAnsi"/>
          <w:lang w:val="en-US"/>
        </w:rPr>
      </w:pPr>
      <w:r w:rsidRPr="00702A9B">
        <w:rPr>
          <w:rFonts w:cstheme="minorHAnsi"/>
        </w:rPr>
        <w:t>4</w:t>
      </w:r>
      <w:r w:rsidRPr="00702A9B">
        <w:rPr>
          <w:rFonts w:cstheme="minorHAnsi"/>
          <w:lang w:val="en-US"/>
        </w:rPr>
        <w:t>.2 million Australians have a disability (or almost 20% of the population)</w:t>
      </w:r>
      <w:r>
        <w:rPr>
          <w:rFonts w:cstheme="minorHAnsi"/>
          <w:lang w:val="en-US"/>
        </w:rPr>
        <w:t>.</w:t>
      </w:r>
    </w:p>
    <w:p w:rsidR="004F77BF" w:rsidRPr="00702A9B" w:rsidRDefault="004F77BF" w:rsidP="004F77BF">
      <w:pPr>
        <w:pStyle w:val="ListBullet"/>
        <w:rPr>
          <w:rFonts w:cstheme="minorHAnsi"/>
          <w:lang w:val="en-US"/>
        </w:rPr>
      </w:pPr>
      <w:r w:rsidRPr="00702A9B">
        <w:rPr>
          <w:rFonts w:cstheme="minorHAnsi"/>
          <w:lang w:val="en-US"/>
        </w:rPr>
        <w:t>In Australia, employment of people with disability lags well behind, at a rate of 39.8% compared to 79.4% for people without a disability</w:t>
      </w:r>
      <w:r>
        <w:rPr>
          <w:rFonts w:cstheme="minorHAnsi"/>
          <w:lang w:val="en-US"/>
        </w:rPr>
        <w:t>.</w:t>
      </w:r>
      <w:r w:rsidRPr="00AA2400">
        <w:rPr>
          <w:rFonts w:cstheme="minorHAnsi"/>
          <w:szCs w:val="22"/>
          <w:vertAlign w:val="superscript"/>
          <w:lang w:val="en-US"/>
        </w:rPr>
        <w:footnoteReference w:id="2"/>
      </w:r>
      <w:r w:rsidRPr="00702A9B">
        <w:rPr>
          <w:rFonts w:cstheme="minorHAnsi"/>
          <w:lang w:val="en-US"/>
        </w:rPr>
        <w:t xml:space="preserve">  This ranks Australia 21st out of 29 OECD countries in employment participation rates for those with a disability</w:t>
      </w:r>
      <w:r>
        <w:rPr>
          <w:rFonts w:cstheme="minorHAnsi"/>
          <w:lang w:val="en-US"/>
        </w:rPr>
        <w:t>.</w:t>
      </w:r>
      <w:r w:rsidRPr="00AA2400">
        <w:rPr>
          <w:rFonts w:cstheme="minorHAnsi"/>
          <w:szCs w:val="22"/>
          <w:vertAlign w:val="superscript"/>
          <w:lang w:val="en-US"/>
        </w:rPr>
        <w:footnoteReference w:id="3"/>
      </w:r>
      <w:r w:rsidRPr="00702A9B">
        <w:rPr>
          <w:rFonts w:cstheme="minorHAnsi"/>
          <w:lang w:val="en-US"/>
        </w:rPr>
        <w:t xml:space="preserve">  </w:t>
      </w:r>
    </w:p>
    <w:p w:rsidR="004F77BF" w:rsidRPr="00702A9B" w:rsidRDefault="004F77BF" w:rsidP="004F77BF">
      <w:pPr>
        <w:pStyle w:val="ListBullet"/>
        <w:rPr>
          <w:rFonts w:cstheme="minorHAnsi"/>
          <w:lang w:val="en-US"/>
        </w:rPr>
      </w:pPr>
      <w:r w:rsidRPr="00702A9B">
        <w:rPr>
          <w:rFonts w:cstheme="minorHAnsi"/>
          <w:lang w:val="en-US"/>
        </w:rPr>
        <w:t>Australia also has a poor track record of recognition of human rights for people with disability, ranking 27 out of 27 OECD countries for people with a disability living in or near poverty</w:t>
      </w:r>
      <w:r w:rsidRPr="00AA2400">
        <w:rPr>
          <w:rFonts w:cstheme="minorHAnsi"/>
          <w:szCs w:val="22"/>
          <w:vertAlign w:val="superscript"/>
          <w:lang w:val="en-US"/>
        </w:rPr>
        <w:footnoteReference w:id="4"/>
      </w:r>
      <w:r w:rsidRPr="00702A9B">
        <w:rPr>
          <w:rFonts w:cstheme="minorHAnsi"/>
          <w:lang w:val="en-US"/>
        </w:rPr>
        <w:t xml:space="preserve"> or put another way, 45% of those with a disability in Australia are living either near or below the poverty line which is double the OECD average of 22%</w:t>
      </w:r>
      <w:r>
        <w:rPr>
          <w:rFonts w:cstheme="minorHAnsi"/>
          <w:lang w:val="en-US"/>
        </w:rPr>
        <w:t>.</w:t>
      </w:r>
      <w:r w:rsidRPr="00AA2400">
        <w:rPr>
          <w:rFonts w:cstheme="minorHAnsi"/>
          <w:vertAlign w:val="superscript"/>
          <w:lang w:val="en-US"/>
        </w:rPr>
        <w:footnoteReference w:id="5"/>
      </w:r>
    </w:p>
    <w:p w:rsidR="004F77BF" w:rsidRPr="00702A9B" w:rsidRDefault="004F77BF" w:rsidP="004F77BF">
      <w:pPr>
        <w:pStyle w:val="ListBullet"/>
        <w:rPr>
          <w:rFonts w:cstheme="minorHAnsi"/>
          <w:lang w:val="en-US"/>
        </w:rPr>
      </w:pPr>
      <w:r w:rsidRPr="00702A9B">
        <w:rPr>
          <w:rFonts w:cstheme="minorHAnsi"/>
          <w:lang w:val="en-US"/>
        </w:rPr>
        <w:t>The population of Australia is ageing – so, while there are currently 5 people of working age for every person aged 65 and over, this number w</w:t>
      </w:r>
      <w:r>
        <w:rPr>
          <w:rFonts w:cstheme="minorHAnsi"/>
          <w:lang w:val="en-US"/>
        </w:rPr>
        <w:t>ill almost halve (2.7) by 2050.</w:t>
      </w:r>
      <w:r w:rsidRPr="004A5E5C">
        <w:rPr>
          <w:rFonts w:cstheme="minorHAnsi"/>
          <w:vertAlign w:val="superscript"/>
          <w:lang w:val="en-US"/>
        </w:rPr>
        <w:footnoteReference w:id="6"/>
      </w:r>
    </w:p>
    <w:p w:rsidR="004F77BF" w:rsidRPr="00702A9B" w:rsidRDefault="004F77BF" w:rsidP="004F77BF">
      <w:pPr>
        <w:pStyle w:val="ListBullet"/>
        <w:rPr>
          <w:rFonts w:cstheme="minorHAnsi"/>
          <w:lang w:val="en-US"/>
        </w:rPr>
      </w:pPr>
      <w:r w:rsidRPr="00702A9B">
        <w:rPr>
          <w:rFonts w:cstheme="minorHAnsi"/>
          <w:lang w:val="en-US"/>
        </w:rPr>
        <w:lastRenderedPageBreak/>
        <w:t>In 2009, approx. 1.3 million Australians had a severe or profound disability, however by 2099 it is estimated this statistic will increase to approx. 4 million Australians</w:t>
      </w:r>
      <w:r>
        <w:rPr>
          <w:rFonts w:cstheme="minorHAnsi"/>
          <w:lang w:val="en-US"/>
        </w:rPr>
        <w:t>.</w:t>
      </w:r>
      <w:r w:rsidRPr="004A5E5C">
        <w:rPr>
          <w:rFonts w:cstheme="minorHAnsi"/>
          <w:vertAlign w:val="superscript"/>
          <w:lang w:val="en-US"/>
        </w:rPr>
        <w:footnoteReference w:id="7"/>
      </w:r>
    </w:p>
    <w:p w:rsidR="004F77BF" w:rsidRPr="00702A9B" w:rsidRDefault="004F77BF" w:rsidP="004F77BF">
      <w:pPr>
        <w:pStyle w:val="ListBullet"/>
        <w:rPr>
          <w:rFonts w:cstheme="minorHAnsi"/>
          <w:lang w:val="en-US"/>
        </w:rPr>
      </w:pPr>
      <w:r w:rsidRPr="00702A9B">
        <w:rPr>
          <w:rFonts w:cstheme="minorHAnsi"/>
          <w:lang w:val="en-US"/>
        </w:rPr>
        <w:t xml:space="preserve">In 2009, 25% of people with a profound or severe disability aged 15 to 64 completed Year 12.  In comparison, 55% of </w:t>
      </w:r>
      <w:r>
        <w:rPr>
          <w:rFonts w:cstheme="minorHAnsi"/>
          <w:lang w:val="en-US"/>
        </w:rPr>
        <w:t xml:space="preserve">non-disabled </w:t>
      </w:r>
      <w:r w:rsidRPr="00702A9B">
        <w:rPr>
          <w:rFonts w:cstheme="minorHAnsi"/>
          <w:lang w:val="en-US"/>
        </w:rPr>
        <w:t>people completed Year 12.</w:t>
      </w:r>
      <w:r w:rsidRPr="00702A9B">
        <w:rPr>
          <w:rFonts w:cstheme="minorHAnsi"/>
          <w:lang w:val="en-US"/>
        </w:rPr>
        <w:footnoteReference w:id="8"/>
      </w:r>
      <w:r w:rsidRPr="00702A9B">
        <w:rPr>
          <w:rFonts w:cstheme="minorHAnsi"/>
          <w:lang w:val="en-US"/>
        </w:rPr>
        <w:t xml:space="preserve">  Education is clearly a significant driver of future employment opportunities</w:t>
      </w:r>
      <w:r>
        <w:rPr>
          <w:rFonts w:cstheme="minorHAnsi"/>
          <w:lang w:val="en-US"/>
        </w:rPr>
        <w:t>.</w:t>
      </w:r>
    </w:p>
    <w:p w:rsidR="004F77BF" w:rsidRPr="00702A9B" w:rsidRDefault="004F77BF" w:rsidP="004F77BF">
      <w:pPr>
        <w:pStyle w:val="ListBullet"/>
        <w:rPr>
          <w:rFonts w:cstheme="minorHAnsi"/>
          <w:lang w:val="en-US"/>
        </w:rPr>
      </w:pPr>
      <w:r w:rsidRPr="00702A9B">
        <w:rPr>
          <w:rFonts w:cstheme="minorHAnsi"/>
          <w:lang w:val="en-US"/>
        </w:rPr>
        <w:t xml:space="preserve">There is a disproportionately higher representation of people with </w:t>
      </w:r>
      <w:r>
        <w:rPr>
          <w:rFonts w:cstheme="minorHAnsi"/>
          <w:lang w:val="en-US"/>
        </w:rPr>
        <w:t>disability</w:t>
      </w:r>
      <w:r w:rsidRPr="00702A9B">
        <w:rPr>
          <w:rFonts w:cstheme="minorHAnsi"/>
          <w:lang w:val="en-US"/>
        </w:rPr>
        <w:t xml:space="preserve"> in Australia’s justice system</w:t>
      </w:r>
      <w:r>
        <w:rPr>
          <w:rFonts w:cstheme="minorHAnsi"/>
          <w:lang w:val="en-US"/>
        </w:rPr>
        <w:t>.</w:t>
      </w:r>
    </w:p>
    <w:p w:rsidR="004F77BF" w:rsidRPr="00702A9B" w:rsidRDefault="004F77BF" w:rsidP="004F77BF">
      <w:pPr>
        <w:pStyle w:val="Body"/>
        <w:rPr>
          <w:rFonts w:asciiTheme="minorHAnsi" w:hAnsiTheme="minorHAnsi" w:cstheme="minorHAnsi"/>
        </w:rPr>
      </w:pPr>
      <w:r w:rsidRPr="00702A9B">
        <w:rPr>
          <w:rFonts w:asciiTheme="minorHAnsi" w:hAnsiTheme="minorHAnsi" w:cstheme="minorHAnsi"/>
        </w:rPr>
        <w:t xml:space="preserve">A number of reports exist supporting the proposition that greater inclusion of people with </w:t>
      </w:r>
      <w:r>
        <w:rPr>
          <w:rFonts w:asciiTheme="minorHAnsi" w:hAnsiTheme="minorHAnsi" w:cstheme="minorHAnsi"/>
        </w:rPr>
        <w:t>disability</w:t>
      </w:r>
      <w:r w:rsidRPr="00702A9B">
        <w:rPr>
          <w:rFonts w:asciiTheme="minorHAnsi" w:hAnsiTheme="minorHAnsi" w:cstheme="minorHAnsi"/>
        </w:rPr>
        <w:t xml:space="preserve"> will drive social and economic change.</w:t>
      </w:r>
    </w:p>
    <w:p w:rsidR="004F77BF" w:rsidRPr="00A2105E" w:rsidRDefault="004F77BF" w:rsidP="004F77BF">
      <w:pPr>
        <w:spacing w:after="200" w:line="276" w:lineRule="auto"/>
        <w:rPr>
          <w:rFonts w:asciiTheme="minorHAnsi" w:eastAsia="Arial Unicode MS" w:hAnsiTheme="minorHAnsi" w:cstheme="minorHAnsi"/>
          <w:color w:val="000000"/>
          <w:sz w:val="22"/>
          <w:szCs w:val="22"/>
          <w:u w:color="000000"/>
          <w:bdr w:val="nil"/>
        </w:rPr>
      </w:pPr>
      <w:r w:rsidRPr="00702A9B">
        <w:rPr>
          <w:rFonts w:asciiTheme="minorHAnsi" w:hAnsiTheme="minorHAnsi" w:cstheme="minorHAnsi"/>
        </w:rPr>
        <w:t xml:space="preserve">Triggering a transformational social and cultural shift to improve inclusion for people with </w:t>
      </w:r>
      <w:r>
        <w:rPr>
          <w:rFonts w:asciiTheme="minorHAnsi" w:hAnsiTheme="minorHAnsi" w:cstheme="minorHAnsi"/>
        </w:rPr>
        <w:t>disability</w:t>
      </w:r>
      <w:r w:rsidRPr="00702A9B">
        <w:rPr>
          <w:rFonts w:asciiTheme="minorHAnsi" w:hAnsiTheme="minorHAnsi" w:cstheme="minorHAnsi"/>
        </w:rPr>
        <w:t xml:space="preserve"> will provide benefits to:</w:t>
      </w:r>
    </w:p>
    <w:p w:rsidR="004F77BF" w:rsidRDefault="004F77BF" w:rsidP="004F77BF">
      <w:pPr>
        <w:pStyle w:val="ListBullet"/>
        <w:rPr>
          <w:rFonts w:cstheme="minorHAnsi"/>
          <w:lang w:val="en-US"/>
        </w:rPr>
      </w:pPr>
      <w:r w:rsidRPr="00702A9B">
        <w:rPr>
          <w:rFonts w:cstheme="minorHAnsi"/>
          <w:lang w:val="en-US"/>
        </w:rPr>
        <w:t>The community</w:t>
      </w:r>
      <w:r>
        <w:rPr>
          <w:rFonts w:cstheme="minorHAnsi"/>
          <w:lang w:val="en-US"/>
        </w:rPr>
        <w:t>;</w:t>
      </w:r>
    </w:p>
    <w:p w:rsidR="004F77BF" w:rsidRPr="00702A9B" w:rsidRDefault="004F77BF" w:rsidP="004F77BF">
      <w:pPr>
        <w:pStyle w:val="ListBullet"/>
        <w:rPr>
          <w:rFonts w:cstheme="minorHAnsi"/>
          <w:lang w:val="en-US"/>
        </w:rPr>
      </w:pPr>
      <w:r w:rsidRPr="00702A9B">
        <w:rPr>
          <w:rFonts w:cstheme="minorHAnsi"/>
          <w:lang w:val="en-US"/>
        </w:rPr>
        <w:t xml:space="preserve"> Workplaces;</w:t>
      </w:r>
    </w:p>
    <w:p w:rsidR="004F77BF" w:rsidRPr="00632F31" w:rsidRDefault="004F77BF" w:rsidP="004F77BF">
      <w:pPr>
        <w:pStyle w:val="ListBullet"/>
        <w:rPr>
          <w:rFonts w:cstheme="minorHAnsi"/>
          <w:lang w:val="en-US"/>
        </w:rPr>
      </w:pPr>
      <w:r w:rsidRPr="00632F31">
        <w:rPr>
          <w:rFonts w:cstheme="minorHAnsi"/>
          <w:lang w:val="en-US"/>
        </w:rPr>
        <w:t>The economy;</w:t>
      </w:r>
      <w:r>
        <w:rPr>
          <w:rFonts w:cstheme="minorHAnsi"/>
          <w:lang w:val="en-US"/>
        </w:rPr>
        <w:t xml:space="preserve"> </w:t>
      </w:r>
      <w:r w:rsidRPr="00632F31">
        <w:rPr>
          <w:rFonts w:cstheme="minorHAnsi"/>
          <w:lang w:val="en-US"/>
        </w:rPr>
        <w:t>and</w:t>
      </w:r>
    </w:p>
    <w:p w:rsidR="004F77BF" w:rsidRPr="004A5E5C" w:rsidRDefault="004F77BF" w:rsidP="004F77BF">
      <w:pPr>
        <w:pStyle w:val="ListBullet"/>
        <w:rPr>
          <w:rFonts w:cstheme="minorHAnsi"/>
        </w:rPr>
      </w:pPr>
      <w:r w:rsidRPr="00702A9B">
        <w:rPr>
          <w:rFonts w:cstheme="minorHAnsi"/>
          <w:lang w:val="en-US"/>
        </w:rPr>
        <w:t>The individuals themselves</w:t>
      </w:r>
      <w:r>
        <w:rPr>
          <w:rFonts w:cstheme="minorHAnsi"/>
          <w:lang w:val="en-US"/>
        </w:rPr>
        <w:t>.</w:t>
      </w:r>
      <w:r w:rsidRPr="00702A9B">
        <w:rPr>
          <w:rStyle w:val="FootnoteReference"/>
          <w:rFonts w:cstheme="minorHAnsi"/>
        </w:rPr>
        <w:footnoteReference w:id="9"/>
      </w:r>
    </w:p>
    <w:p w:rsidR="004F77BF" w:rsidRDefault="004F77BF" w:rsidP="004F77BF">
      <w:pPr>
        <w:pStyle w:val="ListBullet"/>
        <w:numPr>
          <w:ilvl w:val="0"/>
          <w:numId w:val="0"/>
        </w:numPr>
        <w:ind w:left="360" w:hanging="360"/>
        <w:rPr>
          <w:rFonts w:cstheme="minorHAnsi"/>
        </w:rPr>
      </w:pPr>
    </w:p>
    <w:p w:rsidR="004F77BF" w:rsidRDefault="004F77BF" w:rsidP="004F77BF">
      <w:pPr>
        <w:pStyle w:val="Heading3"/>
      </w:pPr>
      <w:bookmarkStart w:id="4" w:name="_Toc473623345"/>
      <w:r>
        <w:t>The Community</w:t>
      </w:r>
      <w:bookmarkEnd w:id="4"/>
    </w:p>
    <w:p w:rsidR="004F77BF" w:rsidRDefault="004F77BF" w:rsidP="004F77BF">
      <w:pPr>
        <w:pStyle w:val="Body"/>
      </w:pPr>
      <w:r>
        <w:t>Attitudinal change to create greater inclusion of people with disability and accessibility for people with disability will bring about broad community change.  There are a number of areas the community will benefit but the most significant is mainstream cultural attitudes, and improving the Australian community’s understanding of people with disability.  The most common issues or misconceptions about people with disability relate to the following.</w:t>
      </w:r>
    </w:p>
    <w:p w:rsidR="004F77BF" w:rsidRDefault="004F77BF" w:rsidP="004F77BF">
      <w:pPr>
        <w:pStyle w:val="Heading4"/>
      </w:pPr>
      <w:r>
        <w:t>Community Misconceptions:</w:t>
      </w:r>
    </w:p>
    <w:p w:rsidR="004F77BF" w:rsidRPr="00E5736D" w:rsidRDefault="004F77BF" w:rsidP="004F77BF">
      <w:pPr>
        <w:pStyle w:val="ListBullet"/>
        <w:rPr>
          <w:lang w:val="en-US"/>
        </w:rPr>
      </w:pPr>
      <w:r>
        <w:rPr>
          <w:lang w:val="en-US"/>
        </w:rPr>
        <w:t xml:space="preserve">Assumptions and stereotypes about people with disability and how they live their lives, reflected in the </w:t>
      </w:r>
      <w:r w:rsidRPr="00E5736D">
        <w:rPr>
          <w:lang w:val="en-US"/>
        </w:rPr>
        <w:t xml:space="preserve">placing </w:t>
      </w:r>
      <w:r>
        <w:rPr>
          <w:lang w:val="en-US"/>
        </w:rPr>
        <w:t xml:space="preserve">of </w:t>
      </w:r>
      <w:r w:rsidRPr="00E5736D">
        <w:rPr>
          <w:lang w:val="en-US"/>
        </w:rPr>
        <w:t xml:space="preserve">people with </w:t>
      </w:r>
      <w:r>
        <w:rPr>
          <w:lang w:val="en-US"/>
        </w:rPr>
        <w:t>disability</w:t>
      </w:r>
      <w:r w:rsidRPr="00E5736D">
        <w:rPr>
          <w:lang w:val="en-US"/>
        </w:rPr>
        <w:t xml:space="preserve"> on a pedestal when they do or achieve everyday things, </w:t>
      </w:r>
      <w:r>
        <w:rPr>
          <w:lang w:val="en-US"/>
        </w:rPr>
        <w:t>(</w:t>
      </w:r>
      <w:r w:rsidRPr="00E5736D">
        <w:rPr>
          <w:lang w:val="en-US"/>
        </w:rPr>
        <w:t>otherwise know</w:t>
      </w:r>
      <w:r>
        <w:rPr>
          <w:lang w:val="en-US"/>
        </w:rPr>
        <w:t>n</w:t>
      </w:r>
      <w:r w:rsidRPr="00E5736D">
        <w:rPr>
          <w:lang w:val="en-US"/>
        </w:rPr>
        <w:t xml:space="preserve"> as “inspiration porn” </w:t>
      </w:r>
      <w:r>
        <w:rPr>
          <w:lang w:val="en-US"/>
        </w:rPr>
        <w:t xml:space="preserve">arising from “low expectations”) </w:t>
      </w:r>
      <w:r w:rsidRPr="00E5736D">
        <w:rPr>
          <w:lang w:val="en-US"/>
        </w:rPr>
        <w:t xml:space="preserve">or conversely, offering pity </w:t>
      </w:r>
      <w:r>
        <w:rPr>
          <w:lang w:val="en-US"/>
        </w:rPr>
        <w:t xml:space="preserve">and </w:t>
      </w:r>
      <w:r w:rsidRPr="00E5736D">
        <w:rPr>
          <w:lang w:val="en-US"/>
        </w:rPr>
        <w:t>sympathy or referring to “suffering” when meeting people with disability</w:t>
      </w:r>
      <w:r>
        <w:rPr>
          <w:lang w:val="en-US"/>
        </w:rPr>
        <w:t>.</w:t>
      </w:r>
    </w:p>
    <w:p w:rsidR="004F77BF" w:rsidRPr="00DC09EC" w:rsidRDefault="004F77BF" w:rsidP="004F77BF">
      <w:pPr>
        <w:pStyle w:val="ListBullet"/>
        <w:rPr>
          <w:lang w:val="en-US"/>
        </w:rPr>
      </w:pPr>
      <w:r>
        <w:rPr>
          <w:lang w:val="en-US"/>
        </w:rPr>
        <w:t xml:space="preserve">A limited understanding of the phenomenon of “disability” through the </w:t>
      </w:r>
      <w:r w:rsidRPr="00E5736D">
        <w:rPr>
          <w:lang w:val="en-US"/>
        </w:rPr>
        <w:t xml:space="preserve">traditional </w:t>
      </w:r>
      <w:r>
        <w:rPr>
          <w:lang w:val="en-US"/>
        </w:rPr>
        <w:t>“</w:t>
      </w:r>
      <w:r w:rsidRPr="00E5736D">
        <w:rPr>
          <w:lang w:val="en-US"/>
        </w:rPr>
        <w:t>medical model</w:t>
      </w:r>
      <w:r>
        <w:rPr>
          <w:lang w:val="en-US"/>
        </w:rPr>
        <w:t>”</w:t>
      </w:r>
      <w:r w:rsidRPr="00E5736D">
        <w:rPr>
          <w:lang w:val="en-US"/>
        </w:rPr>
        <w:t xml:space="preserve"> </w:t>
      </w:r>
      <w:r>
        <w:rPr>
          <w:lang w:val="en-US"/>
        </w:rPr>
        <w:t>that</w:t>
      </w:r>
      <w:r w:rsidRPr="00E5736D">
        <w:rPr>
          <w:lang w:val="en-US"/>
        </w:rPr>
        <w:t xml:space="preserve"> follows the premise that </w:t>
      </w:r>
      <w:r>
        <w:rPr>
          <w:lang w:val="en-US"/>
        </w:rPr>
        <w:t>disability is a “deficit” and people with disability are therefore in</w:t>
      </w:r>
      <w:r w:rsidRPr="00E5736D">
        <w:rPr>
          <w:lang w:val="en-US"/>
        </w:rPr>
        <w:t xml:space="preserve"> need of being </w:t>
      </w:r>
      <w:r>
        <w:rPr>
          <w:lang w:val="en-US"/>
        </w:rPr>
        <w:t>“</w:t>
      </w:r>
      <w:r w:rsidRPr="00E5736D">
        <w:rPr>
          <w:lang w:val="en-US"/>
        </w:rPr>
        <w:t>cured</w:t>
      </w:r>
      <w:r>
        <w:rPr>
          <w:lang w:val="en-US"/>
        </w:rPr>
        <w:t>”</w:t>
      </w:r>
      <w:r w:rsidRPr="00E5736D">
        <w:rPr>
          <w:lang w:val="en-US"/>
        </w:rPr>
        <w:t xml:space="preserve"> or </w:t>
      </w:r>
      <w:r>
        <w:rPr>
          <w:lang w:val="en-US"/>
        </w:rPr>
        <w:t>“</w:t>
      </w:r>
      <w:r w:rsidRPr="00E5736D">
        <w:rPr>
          <w:lang w:val="en-US"/>
        </w:rPr>
        <w:t>fixed</w:t>
      </w:r>
      <w:r>
        <w:rPr>
          <w:lang w:val="en-US"/>
        </w:rPr>
        <w:t xml:space="preserve">”, as opposed to a broader </w:t>
      </w:r>
      <w:r w:rsidRPr="00DC09EC">
        <w:rPr>
          <w:lang w:val="en-US"/>
        </w:rPr>
        <w:t xml:space="preserve">understanding of </w:t>
      </w:r>
      <w:r>
        <w:rPr>
          <w:lang w:val="en-US"/>
        </w:rPr>
        <w:t xml:space="preserve">disability through </w:t>
      </w:r>
      <w:r w:rsidRPr="00DC09EC">
        <w:rPr>
          <w:lang w:val="en-US"/>
        </w:rPr>
        <w:t xml:space="preserve">the </w:t>
      </w:r>
      <w:r>
        <w:rPr>
          <w:lang w:val="en-US"/>
        </w:rPr>
        <w:t>“</w:t>
      </w:r>
      <w:r w:rsidRPr="00DC09EC">
        <w:rPr>
          <w:lang w:val="en-US"/>
        </w:rPr>
        <w:t>social model</w:t>
      </w:r>
      <w:r>
        <w:rPr>
          <w:lang w:val="en-US"/>
        </w:rPr>
        <w:t>” that recognizes that the experience</w:t>
      </w:r>
      <w:r w:rsidRPr="00DC09EC">
        <w:rPr>
          <w:lang w:val="en-US"/>
        </w:rPr>
        <w:t xml:space="preserve"> of disability result</w:t>
      </w:r>
      <w:r>
        <w:rPr>
          <w:lang w:val="en-US"/>
        </w:rPr>
        <w:t>s</w:t>
      </w:r>
      <w:r w:rsidRPr="00DC09EC">
        <w:rPr>
          <w:lang w:val="en-US"/>
        </w:rPr>
        <w:t xml:space="preserve"> </w:t>
      </w:r>
      <w:r>
        <w:rPr>
          <w:lang w:val="en-US"/>
        </w:rPr>
        <w:t>from</w:t>
      </w:r>
      <w:r w:rsidRPr="00DC09EC">
        <w:rPr>
          <w:lang w:val="en-US"/>
        </w:rPr>
        <w:t xml:space="preserve"> the interaction between </w:t>
      </w:r>
      <w:r>
        <w:rPr>
          <w:lang w:val="en-US"/>
        </w:rPr>
        <w:t>the way a person’s body or mind function</w:t>
      </w:r>
      <w:r w:rsidRPr="00DC09EC">
        <w:rPr>
          <w:lang w:val="en-US"/>
        </w:rPr>
        <w:t xml:space="preserve"> and an environment </w:t>
      </w:r>
      <w:r>
        <w:rPr>
          <w:lang w:val="en-US"/>
        </w:rPr>
        <w:t xml:space="preserve">that has been constructed on assumptions about “typical” function and which are </w:t>
      </w:r>
      <w:r w:rsidRPr="00DC09EC">
        <w:rPr>
          <w:lang w:val="en-US"/>
        </w:rPr>
        <w:t>filled with physical, attitudinal, communication and social barriers</w:t>
      </w:r>
      <w:r>
        <w:rPr>
          <w:lang w:val="en-US"/>
        </w:rPr>
        <w:t xml:space="preserve"> for people who don’t fall within the “typical” function parameters.  The </w:t>
      </w:r>
      <w:r w:rsidRPr="00DC09EC">
        <w:rPr>
          <w:lang w:val="en-US"/>
        </w:rPr>
        <w:t xml:space="preserve">social model seeks to change society in order to accommodate people </w:t>
      </w:r>
      <w:r>
        <w:rPr>
          <w:lang w:val="en-US"/>
        </w:rPr>
        <w:t>who do not function in “typical” ways</w:t>
      </w:r>
      <w:r w:rsidRPr="00DC09EC">
        <w:rPr>
          <w:lang w:val="en-US"/>
        </w:rPr>
        <w:t xml:space="preserve">; it does not seek to change </w:t>
      </w:r>
      <w:r>
        <w:rPr>
          <w:lang w:val="en-US"/>
        </w:rPr>
        <w:t>such people to</w:t>
      </w:r>
      <w:r w:rsidRPr="00DC09EC">
        <w:rPr>
          <w:lang w:val="en-US"/>
        </w:rPr>
        <w:t xml:space="preserve"> </w:t>
      </w:r>
      <w:r w:rsidRPr="00DC09EC">
        <w:rPr>
          <w:lang w:val="en-US"/>
        </w:rPr>
        <w:lastRenderedPageBreak/>
        <w:t>accommodate society.</w:t>
      </w:r>
      <w:r w:rsidRPr="00F83993">
        <w:rPr>
          <w:vertAlign w:val="superscript"/>
          <w:lang w:val="en-US"/>
        </w:rPr>
        <w:footnoteReference w:id="10"/>
      </w:r>
      <w:r w:rsidRPr="00DC09EC">
        <w:rPr>
          <w:lang w:val="en-US"/>
        </w:rPr>
        <w:t>  It supports the view that people with disability have a right to be fully participating citizens on an equal basis with others</w:t>
      </w:r>
      <w:r>
        <w:rPr>
          <w:lang w:val="en-US"/>
        </w:rPr>
        <w:t xml:space="preserve"> and it calls for social systems and design that recognize human diversity and accommodates disability as an expression of it.</w:t>
      </w:r>
    </w:p>
    <w:p w:rsidR="004F77BF" w:rsidRPr="00E5736D" w:rsidRDefault="004F77BF" w:rsidP="004F77BF">
      <w:pPr>
        <w:pStyle w:val="ListBullet"/>
        <w:rPr>
          <w:lang w:val="en-US"/>
        </w:rPr>
      </w:pPr>
      <w:r>
        <w:rPr>
          <w:lang w:val="en-US"/>
        </w:rPr>
        <w:t>The assumption that</w:t>
      </w:r>
      <w:r w:rsidRPr="00E5736D">
        <w:rPr>
          <w:lang w:val="en-US"/>
        </w:rPr>
        <w:t xml:space="preserve"> all disabilities are visible</w:t>
      </w:r>
      <w:r>
        <w:rPr>
          <w:lang w:val="en-US"/>
        </w:rPr>
        <w:t xml:space="preserve">, whereas </w:t>
      </w:r>
      <w:r w:rsidRPr="00E5736D">
        <w:rPr>
          <w:lang w:val="en-US"/>
        </w:rPr>
        <w:t>the majority of disabilities are not visible and include mental health</w:t>
      </w:r>
      <w:r>
        <w:rPr>
          <w:lang w:val="en-US"/>
        </w:rPr>
        <w:t xml:space="preserve"> conditions and cognitive or </w:t>
      </w:r>
      <w:r w:rsidRPr="00E5736D">
        <w:rPr>
          <w:lang w:val="en-US"/>
        </w:rPr>
        <w:t xml:space="preserve">intellectual </w:t>
      </w:r>
      <w:r>
        <w:rPr>
          <w:lang w:val="en-US"/>
        </w:rPr>
        <w:t>disability</w:t>
      </w:r>
      <w:r w:rsidRPr="00E5736D">
        <w:rPr>
          <w:lang w:val="en-US"/>
        </w:rPr>
        <w:t xml:space="preserve"> such as dyslexia, as well as hearing and vision impairments.</w:t>
      </w:r>
    </w:p>
    <w:p w:rsidR="004F77BF" w:rsidRDefault="004F77BF" w:rsidP="004F77BF">
      <w:pPr>
        <w:pStyle w:val="Heading4"/>
      </w:pPr>
      <w:r>
        <w:t>Community Issues</w:t>
      </w:r>
    </w:p>
    <w:p w:rsidR="004F77BF" w:rsidRPr="00E5736D" w:rsidRDefault="004F77BF" w:rsidP="004F77BF">
      <w:pPr>
        <w:pStyle w:val="ListBullet"/>
        <w:rPr>
          <w:lang w:val="en-US"/>
        </w:rPr>
      </w:pPr>
      <w:r w:rsidRPr="00E5736D">
        <w:rPr>
          <w:lang w:val="en-US"/>
        </w:rPr>
        <w:t>Housing availability for people with disabilities, particularly young people with disabilities is a significant issue in Australia.  Nearly 300 people under 50 years are admitted to nursing homes in Australia each year. Their lives are characterized by boredom, loneliness and grief, with 53% receiving a visit from a friend less than once per year.</w:t>
      </w:r>
      <w:r w:rsidRPr="00F83993">
        <w:rPr>
          <w:vertAlign w:val="superscript"/>
          <w:lang w:val="en-US"/>
        </w:rPr>
        <w:footnoteReference w:id="11"/>
      </w:r>
    </w:p>
    <w:p w:rsidR="004F77BF" w:rsidRPr="00E5736D" w:rsidRDefault="004F77BF" w:rsidP="004F77BF">
      <w:pPr>
        <w:pStyle w:val="ListBullet"/>
        <w:rPr>
          <w:lang w:val="en-US"/>
        </w:rPr>
      </w:pPr>
      <w:r w:rsidRPr="00E5736D">
        <w:rPr>
          <w:lang w:val="en-US"/>
        </w:rPr>
        <w:t>Access to justice in the criminal justice system for people with disabilities is a significant problem in every jurisdiction in Australia. Whether a person with disability is the victim of a crime, accused of a crime or a witness, they are at increased risk of being disrespected and disbelieved and of not enjoying equality before the law.</w:t>
      </w:r>
      <w:r w:rsidRPr="00F83993">
        <w:rPr>
          <w:vertAlign w:val="superscript"/>
        </w:rPr>
        <w:footnoteReference w:id="12"/>
      </w:r>
    </w:p>
    <w:p w:rsidR="004F77BF" w:rsidRPr="00E5736D" w:rsidRDefault="004F77BF" w:rsidP="004F77BF">
      <w:pPr>
        <w:pStyle w:val="ListBullet"/>
        <w:rPr>
          <w:lang w:val="en-US"/>
        </w:rPr>
      </w:pPr>
      <w:r w:rsidRPr="00E5736D">
        <w:rPr>
          <w:lang w:val="en-US"/>
        </w:rPr>
        <w:t xml:space="preserve">Education levels of people with a disability are significantly lower than those without a disability.  Education is clearly a significant contributor to future employment opportunities and financial independence.  In 2009, 25% of people with a profound or severe disability aged 15 to 64 completed Year 12.  In comparison, 55% of </w:t>
      </w:r>
      <w:r>
        <w:rPr>
          <w:lang w:val="en-US"/>
        </w:rPr>
        <w:t xml:space="preserve">non-disabled </w:t>
      </w:r>
      <w:r w:rsidRPr="00E5736D">
        <w:rPr>
          <w:lang w:val="en-US"/>
        </w:rPr>
        <w:t>people completed Year 12.</w:t>
      </w:r>
      <w:r w:rsidRPr="00F83993">
        <w:rPr>
          <w:vertAlign w:val="superscript"/>
          <w:lang w:val="en-US"/>
        </w:rPr>
        <w:footnoteReference w:id="13"/>
      </w:r>
      <w:r w:rsidRPr="00E5736D">
        <w:rPr>
          <w:lang w:val="en-US"/>
        </w:rPr>
        <w:t xml:space="preserve">  </w:t>
      </w:r>
    </w:p>
    <w:p w:rsidR="004F77BF" w:rsidRPr="00E5736D" w:rsidRDefault="004F77BF" w:rsidP="004F77BF">
      <w:pPr>
        <w:pStyle w:val="ListBullet"/>
        <w:rPr>
          <w:lang w:val="en-US"/>
        </w:rPr>
      </w:pPr>
      <w:r w:rsidRPr="00E5736D">
        <w:rPr>
          <w:lang w:val="en-US"/>
        </w:rPr>
        <w:t>The poverty rate of people with a disability is currently 2.5 times the rate of poverty experienced by the general population</w:t>
      </w:r>
      <w:r>
        <w:rPr>
          <w:lang w:val="en-US"/>
        </w:rPr>
        <w:t>.</w:t>
      </w:r>
      <w:r w:rsidRPr="00F83993">
        <w:rPr>
          <w:szCs w:val="22"/>
          <w:vertAlign w:val="superscript"/>
          <w:lang w:val="en-US"/>
        </w:rPr>
        <w:footnoteReference w:id="14"/>
      </w:r>
    </w:p>
    <w:p w:rsidR="004F77BF" w:rsidRPr="00E5736D" w:rsidRDefault="004F77BF" w:rsidP="004F77BF">
      <w:pPr>
        <w:pStyle w:val="ListBullet"/>
        <w:rPr>
          <w:lang w:val="en-US"/>
        </w:rPr>
      </w:pPr>
      <w:r w:rsidRPr="00E5736D">
        <w:rPr>
          <w:lang w:val="en-US"/>
        </w:rPr>
        <w:t xml:space="preserve">Representation of people with </w:t>
      </w:r>
      <w:r>
        <w:rPr>
          <w:lang w:val="en-US"/>
        </w:rPr>
        <w:t>disability</w:t>
      </w:r>
      <w:r w:rsidRPr="00E5736D">
        <w:rPr>
          <w:lang w:val="en-US"/>
        </w:rPr>
        <w:t xml:space="preserve"> in the media does not reflect the community in which we live.  Very few people with </w:t>
      </w:r>
      <w:r>
        <w:rPr>
          <w:lang w:val="en-US"/>
        </w:rPr>
        <w:t>disability</w:t>
      </w:r>
      <w:r w:rsidRPr="00E5736D">
        <w:rPr>
          <w:lang w:val="en-US"/>
        </w:rPr>
        <w:t xml:space="preserve"> are included in advertising campaigns or television programming, </w:t>
      </w:r>
      <w:r>
        <w:rPr>
          <w:lang w:val="en-US"/>
        </w:rPr>
        <w:t>limiting</w:t>
      </w:r>
      <w:r w:rsidRPr="00E5736D">
        <w:rPr>
          <w:lang w:val="en-US"/>
        </w:rPr>
        <w:t xml:space="preserve"> mainstream Australia’s perception of our community</w:t>
      </w:r>
      <w:r>
        <w:rPr>
          <w:lang w:val="en-US"/>
        </w:rPr>
        <w:t xml:space="preserve"> and reinforcing marginalization in other areas</w:t>
      </w:r>
      <w:r w:rsidRPr="00E5736D">
        <w:rPr>
          <w:lang w:val="en-US"/>
        </w:rPr>
        <w:t>. Similar issues have been reported for a number of other minority groups, particularly the LGBTI community, indigenous Australians and religious groups</w:t>
      </w:r>
      <w:r>
        <w:rPr>
          <w:lang w:val="en-US"/>
        </w:rPr>
        <w:t>.</w:t>
      </w:r>
    </w:p>
    <w:p w:rsidR="004F77BF" w:rsidRPr="00CE65C1" w:rsidRDefault="004F77BF" w:rsidP="004F77BF">
      <w:pPr>
        <w:pStyle w:val="Heading3"/>
        <w:rPr>
          <w:sz w:val="22"/>
          <w:szCs w:val="22"/>
        </w:rPr>
      </w:pPr>
    </w:p>
    <w:p w:rsidR="004F77BF" w:rsidRDefault="004F77BF" w:rsidP="004F77BF">
      <w:pPr>
        <w:pStyle w:val="Heading3"/>
      </w:pPr>
      <w:bookmarkStart w:id="5" w:name="_Toc473623346"/>
      <w:r>
        <w:t>Workplaces</w:t>
      </w:r>
      <w:bookmarkEnd w:id="5"/>
    </w:p>
    <w:p w:rsidR="004F77BF" w:rsidRDefault="004F77BF" w:rsidP="004F77BF">
      <w:pPr>
        <w:pStyle w:val="Heading4"/>
      </w:pPr>
      <w:r>
        <w:t>Business benefits from increased employment</w:t>
      </w:r>
    </w:p>
    <w:p w:rsidR="004F77BF" w:rsidRPr="00CD785B" w:rsidRDefault="004F77BF" w:rsidP="004F77BF">
      <w:pPr>
        <w:pStyle w:val="Body"/>
      </w:pPr>
      <w:r w:rsidRPr="00CD785B">
        <w:t>A report from the Business Council of Australia found that in order to remain competitive, business needs to reconsider methods of attracting and retaining employees. Attracting, recruiting and retaining employees with disability can provide a significant and often overlooked opportunity for business, and a solution to Australia’s skills crisis.</w:t>
      </w:r>
    </w:p>
    <w:p w:rsidR="004F77BF" w:rsidRDefault="004F77BF" w:rsidP="004F77BF">
      <w:pPr>
        <w:pStyle w:val="Body"/>
        <w:rPr>
          <w:lang w:val="en-AU"/>
        </w:rPr>
      </w:pPr>
      <w:r>
        <w:rPr>
          <w:lang w:val="en-AU"/>
        </w:rPr>
        <w:t xml:space="preserve">As the Business Council of Australia Chief Executive said when launching the report, </w:t>
      </w:r>
      <w:r w:rsidRPr="009329FE">
        <w:rPr>
          <w:lang w:val="en-AU"/>
        </w:rPr>
        <w:t>“Inclusion, diversity and flexible work practices aren’t just fashionable concepts, they are at the heart of workplaces of the future. Those workplaces need to be designed to unloc</w:t>
      </w:r>
      <w:r>
        <w:rPr>
          <w:lang w:val="en-AU"/>
        </w:rPr>
        <w:t xml:space="preserve">k the best in all Australians.”  </w:t>
      </w:r>
    </w:p>
    <w:p w:rsidR="004F77BF" w:rsidRDefault="004F77BF" w:rsidP="004F77BF">
      <w:pPr>
        <w:pStyle w:val="Body"/>
        <w:rPr>
          <w:lang w:val="en-AU"/>
        </w:rPr>
      </w:pPr>
      <w:r>
        <w:rPr>
          <w:lang w:val="en-AU"/>
        </w:rPr>
        <w:lastRenderedPageBreak/>
        <w:t>“</w:t>
      </w:r>
      <w:r w:rsidRPr="009329FE">
        <w:rPr>
          <w:lang w:val="en-AU"/>
        </w:rPr>
        <w:t xml:space="preserve">For people with disability, employment is not just about a job. It’s about being valued, useful and included. </w:t>
      </w:r>
    </w:p>
    <w:p w:rsidR="004F77BF" w:rsidRPr="009A36EC" w:rsidRDefault="004F77BF" w:rsidP="004F77BF">
      <w:pPr>
        <w:pStyle w:val="Body"/>
        <w:rPr>
          <w:lang w:val="en-AU"/>
        </w:rPr>
      </w:pPr>
      <w:r w:rsidRPr="009329FE">
        <w:rPr>
          <w:lang w:val="en-AU"/>
        </w:rPr>
        <w:t>For business, it’s in their best interest to have access to diverse talent and a workforce that’s inclusive of the community</w:t>
      </w:r>
      <w:r>
        <w:rPr>
          <w:lang w:val="en-AU"/>
        </w:rPr>
        <w:t>.</w:t>
      </w:r>
    </w:p>
    <w:p w:rsidR="004F77BF" w:rsidRPr="009329FE" w:rsidRDefault="004F77BF" w:rsidP="004F77BF">
      <w:pPr>
        <w:pStyle w:val="Body"/>
      </w:pPr>
      <w:r w:rsidRPr="009329FE">
        <w:t>For Australia, national prosperity is about helping create the context for everyone to participate</w:t>
      </w:r>
      <w:r>
        <w:t xml:space="preserve"> and contribute.”</w:t>
      </w:r>
    </w:p>
    <w:p w:rsidR="004F77BF" w:rsidRDefault="004F77BF" w:rsidP="004F77BF">
      <w:pPr>
        <w:pStyle w:val="Body"/>
      </w:pPr>
      <w:r>
        <w:t>Organisations that recruit people with disability have found they:</w:t>
      </w:r>
    </w:p>
    <w:p w:rsidR="004F77BF" w:rsidRPr="00E5736D" w:rsidRDefault="004F77BF" w:rsidP="004F77BF">
      <w:pPr>
        <w:pStyle w:val="ListBullet"/>
        <w:rPr>
          <w:lang w:val="en-US"/>
        </w:rPr>
      </w:pPr>
      <w:r w:rsidRPr="00E5736D">
        <w:rPr>
          <w:lang w:val="en-US"/>
        </w:rPr>
        <w:t>have access to a larger talent pool whom frequently bring forward new ideas and ways of doing business due to their diverse experiences and background;</w:t>
      </w:r>
    </w:p>
    <w:p w:rsidR="004F77BF" w:rsidRPr="00E5736D" w:rsidRDefault="004F77BF" w:rsidP="004F77BF">
      <w:pPr>
        <w:pStyle w:val="ListBullet"/>
        <w:rPr>
          <w:lang w:val="en-US"/>
        </w:rPr>
      </w:pPr>
      <w:r w:rsidRPr="00E5736D">
        <w:rPr>
          <w:lang w:val="en-US"/>
        </w:rPr>
        <w:t>enjoy higher employee engagement and staff retention rates (avoiding recruiting and re-training costs);</w:t>
      </w:r>
    </w:p>
    <w:p w:rsidR="004F77BF" w:rsidRPr="00E5736D" w:rsidRDefault="004F77BF" w:rsidP="004F77BF">
      <w:pPr>
        <w:pStyle w:val="ListBullet"/>
        <w:rPr>
          <w:lang w:val="en-US"/>
        </w:rPr>
      </w:pPr>
      <w:r w:rsidRPr="00E5736D">
        <w:rPr>
          <w:lang w:val="en-US"/>
        </w:rPr>
        <w:t>achieve greater productivity (happy staff make productive staff); and</w:t>
      </w:r>
    </w:p>
    <w:p w:rsidR="004F77BF" w:rsidRPr="00E5736D" w:rsidRDefault="004F77BF" w:rsidP="004F77BF">
      <w:pPr>
        <w:pStyle w:val="ListBullet"/>
        <w:rPr>
          <w:lang w:val="en-US"/>
        </w:rPr>
      </w:pPr>
      <w:r w:rsidRPr="00E5736D">
        <w:rPr>
          <w:lang w:val="en-US"/>
        </w:rPr>
        <w:t>potentially avoid any reputational issues and costs associated with complaints of discrimination</w:t>
      </w:r>
    </w:p>
    <w:p w:rsidR="004F77BF" w:rsidRPr="00CE65C1" w:rsidRDefault="004F77BF" w:rsidP="004F77BF">
      <w:pPr>
        <w:pStyle w:val="Heading4"/>
        <w:rPr>
          <w:rFonts w:asciiTheme="minorHAnsi" w:hAnsiTheme="minorHAnsi" w:cstheme="minorHAnsi"/>
          <w:sz w:val="22"/>
          <w:szCs w:val="22"/>
        </w:rPr>
      </w:pPr>
    </w:p>
    <w:p w:rsidR="004F77BF" w:rsidRDefault="004F77BF" w:rsidP="004F77BF">
      <w:pPr>
        <w:pStyle w:val="Heading4"/>
      </w:pPr>
      <w:r>
        <w:t>Business benefits from increased customer base</w:t>
      </w:r>
    </w:p>
    <w:p w:rsidR="004F77BF" w:rsidRPr="00CD785B" w:rsidRDefault="004F77BF" w:rsidP="004F77BF">
      <w:pPr>
        <w:pStyle w:val="Body"/>
        <w:rPr>
          <w:u w:color="012087"/>
        </w:rPr>
      </w:pPr>
      <w:r w:rsidRPr="00CD785B">
        <w:t>Organisations that understand the impact of disability on their customers will reach a wider market. A UK survey found that a staggering 83</w:t>
      </w:r>
      <w:r>
        <w:t>%</w:t>
      </w:r>
      <w:r w:rsidRPr="00CD785B">
        <w:t xml:space="preserve"> of people with disability had avoided a business, having been unable or unwilling to make a </w:t>
      </w:r>
      <w:r w:rsidRPr="009A36EC">
        <w:rPr>
          <w:u w:color="012087"/>
        </w:rPr>
        <w:t>purchase.</w:t>
      </w:r>
      <w:r>
        <w:rPr>
          <w:rStyle w:val="FootnoteReference"/>
          <w:rFonts w:cs="Arial"/>
          <w:u w:color="012087"/>
        </w:rPr>
        <w:footnoteReference w:id="15"/>
      </w:r>
      <w:r w:rsidRPr="009A36EC">
        <w:rPr>
          <w:u w:color="012087"/>
        </w:rPr>
        <w:t xml:space="preserve">  </w:t>
      </w:r>
      <w:r w:rsidRPr="00CD785B">
        <w:rPr>
          <w:u w:color="012087"/>
        </w:rPr>
        <w:t>Common factors included inaccessible premises, rude or prejudiced staff and poorly designed products.</w:t>
      </w:r>
    </w:p>
    <w:p w:rsidR="004F77BF" w:rsidRPr="002241CA" w:rsidRDefault="004F77BF" w:rsidP="004F77BF">
      <w:pPr>
        <w:pStyle w:val="Body"/>
        <w:rPr>
          <w:u w:color="012087"/>
        </w:rPr>
      </w:pPr>
      <w:r w:rsidRPr="00CD785B">
        <w:rPr>
          <w:u w:color="012087"/>
        </w:rPr>
        <w:t>Businesses that fail to make their products and services accessible to people with disability, or who don’t build their expertise in welcoming customers with disability, risk missing out on a great deal of business.</w:t>
      </w:r>
      <w:r>
        <w:rPr>
          <w:u w:color="012087"/>
        </w:rPr>
        <w:t xml:space="preserve"> </w:t>
      </w:r>
      <w:r w:rsidRPr="002241CA">
        <w:t>Apart from the 20</w:t>
      </w:r>
      <w:r>
        <w:t>%</w:t>
      </w:r>
      <w:r w:rsidRPr="002241CA">
        <w:t> of Australians who have a disability, family members, friends and colleagues will also avoid businesses that are not accessible.</w:t>
      </w:r>
    </w:p>
    <w:p w:rsidR="004F77BF" w:rsidRPr="002241CA" w:rsidRDefault="004F77BF" w:rsidP="004F77BF">
      <w:pPr>
        <w:pStyle w:val="Body"/>
        <w:rPr>
          <w:u w:color="012087"/>
        </w:rPr>
      </w:pPr>
      <w:r w:rsidRPr="002241CA">
        <w:t>An Access Economics report forecasting consumer trends from 2001 to 2011 predicted that mature consumers are the largest growth market in Australia, accounting for half of all growth in retail spending in the decade. It’s clear that mature consumers are more likely to have higher disposable incomes, and statistics show they are also more likely to have a disability. The rate of disability increases to over 56</w:t>
      </w:r>
      <w:r>
        <w:t xml:space="preserve">% </w:t>
      </w:r>
      <w:r w:rsidRPr="002241CA">
        <w:t xml:space="preserve">by age 65. If </w:t>
      </w:r>
      <w:r>
        <w:t>a</w:t>
      </w:r>
      <w:r w:rsidRPr="002241CA">
        <w:t xml:space="preserve"> business wants to tap into this lucrative customer base, it </w:t>
      </w:r>
      <w:r>
        <w:t>must</w:t>
      </w:r>
      <w:r w:rsidRPr="002241CA">
        <w:t xml:space="preserve"> be accessible.</w:t>
      </w:r>
    </w:p>
    <w:p w:rsidR="004F77BF" w:rsidRPr="002241CA" w:rsidRDefault="004F77BF" w:rsidP="004F77BF">
      <w:pPr>
        <w:pStyle w:val="Body"/>
        <w:rPr>
          <w:u w:color="012087"/>
        </w:rPr>
      </w:pPr>
      <w:r w:rsidRPr="002241CA">
        <w:t xml:space="preserve">Forward-thinking organisations </w:t>
      </w:r>
      <w:r>
        <w:t>should</w:t>
      </w:r>
      <w:r w:rsidRPr="002241CA">
        <w:t xml:space="preserve"> therefore</w:t>
      </w:r>
      <w:r>
        <w:t xml:space="preserve"> be </w:t>
      </w:r>
      <w:r w:rsidRPr="002241CA">
        <w:t>looking for ways to improve their confidence and capability in meeting the needs of the four million Australians with disability, who are people with spending power.</w:t>
      </w:r>
    </w:p>
    <w:p w:rsidR="004F77BF" w:rsidRPr="00CE65C1" w:rsidRDefault="004F77BF" w:rsidP="004F77BF">
      <w:pPr>
        <w:pStyle w:val="Heading3"/>
        <w:rPr>
          <w:sz w:val="22"/>
          <w:szCs w:val="22"/>
        </w:rPr>
      </w:pPr>
    </w:p>
    <w:p w:rsidR="004F77BF" w:rsidRDefault="004F77BF" w:rsidP="004F77BF">
      <w:pPr>
        <w:pStyle w:val="Heading3"/>
      </w:pPr>
      <w:bookmarkStart w:id="6" w:name="_Toc473623347"/>
      <w:r>
        <w:t>The Economy</w:t>
      </w:r>
      <w:bookmarkEnd w:id="6"/>
    </w:p>
    <w:p w:rsidR="004F77BF" w:rsidRPr="009329FE" w:rsidRDefault="004F77BF" w:rsidP="004F77BF">
      <w:pPr>
        <w:pStyle w:val="Body"/>
      </w:pPr>
      <w:r w:rsidRPr="009329FE">
        <w:t xml:space="preserve">Australia has participation and productivity challenges that need to be addressed to achieve the growth required to underpin Australia’s long-term prosperity and social wellbeing. </w:t>
      </w:r>
    </w:p>
    <w:p w:rsidR="004F77BF" w:rsidRPr="00EB4E19" w:rsidRDefault="004F77BF" w:rsidP="004F77BF">
      <w:pPr>
        <w:pStyle w:val="Body"/>
        <w:rPr>
          <w:rFonts w:cs="Arial"/>
        </w:rPr>
      </w:pPr>
      <w:r>
        <w:rPr>
          <w:rFonts w:cs="Arial"/>
        </w:rPr>
        <w:t>T</w:t>
      </w:r>
      <w:r w:rsidRPr="00EB4E19">
        <w:rPr>
          <w:rFonts w:cs="Arial"/>
        </w:rPr>
        <w:t xml:space="preserve">here is </w:t>
      </w:r>
      <w:r>
        <w:rPr>
          <w:rFonts w:cs="Arial"/>
        </w:rPr>
        <w:t>an</w:t>
      </w:r>
      <w:r w:rsidRPr="00EB4E19">
        <w:rPr>
          <w:rFonts w:cs="Arial"/>
        </w:rPr>
        <w:t xml:space="preserve"> economic imperative to increase labour force participation and help to address Australia’s impending labour shortages, while at the same time, reducing fiscal pressures </w:t>
      </w:r>
      <w:r w:rsidRPr="00EB4E19">
        <w:rPr>
          <w:rFonts w:cs="Arial"/>
        </w:rPr>
        <w:lastRenderedPageBreak/>
        <w:t>associated with welfare dependency.</w:t>
      </w:r>
      <w:r>
        <w:rPr>
          <w:rStyle w:val="FootnoteReference"/>
          <w:rFonts w:cs="Arial"/>
        </w:rPr>
        <w:footnoteReference w:id="16"/>
      </w:r>
      <w:r w:rsidRPr="00EB4E19">
        <w:rPr>
          <w:rFonts w:cs="Arial"/>
        </w:rPr>
        <w:t xml:space="preserve"> </w:t>
      </w:r>
      <w:r>
        <w:rPr>
          <w:rFonts w:cs="Arial"/>
        </w:rPr>
        <w:t xml:space="preserve"> Employing more people with disability can assist in plugging these gaps when considering </w:t>
      </w:r>
      <w:r w:rsidRPr="00216485">
        <w:rPr>
          <w:rFonts w:cs="Arial"/>
        </w:rPr>
        <w:t>“the vast majority of people with a disability can, and do want to work and be as financially independent as possible”</w:t>
      </w:r>
      <w:r>
        <w:rPr>
          <w:rFonts w:cs="Arial"/>
        </w:rPr>
        <w:t>.</w:t>
      </w:r>
      <w:r>
        <w:rPr>
          <w:rStyle w:val="FootnoteReference"/>
          <w:rFonts w:cs="Arial"/>
        </w:rPr>
        <w:footnoteReference w:id="17"/>
      </w:r>
      <w:r w:rsidRPr="00216485">
        <w:rPr>
          <w:rFonts w:cs="Arial"/>
        </w:rPr>
        <w:t xml:space="preserve"> </w:t>
      </w:r>
    </w:p>
    <w:p w:rsidR="004F77BF" w:rsidRPr="0038370F" w:rsidRDefault="004F77BF" w:rsidP="004F77BF">
      <w:pPr>
        <w:pStyle w:val="Body"/>
      </w:pPr>
      <w:r>
        <w:t>In 2012, the Australian Network on Disability commissioned a</w:t>
      </w:r>
      <w:r w:rsidRPr="00224040">
        <w:t xml:space="preserve"> study</w:t>
      </w:r>
      <w:r>
        <w:t xml:space="preserve"> which</w:t>
      </w:r>
      <w:r w:rsidRPr="00224040">
        <w:t> projected the outcome if governments and employers increased the current employment rate for Australians with disability by one-third over th</w:t>
      </w:r>
      <w:r>
        <w:t xml:space="preserve">e next decade (from 54% to 64%) as well </w:t>
      </w:r>
      <w:r w:rsidRPr="0038370F">
        <w:t xml:space="preserve">as reduced the unemployment rate for people with disability by 0.9 percentage points to 6.9%. </w:t>
      </w:r>
    </w:p>
    <w:p w:rsidR="004F77BF" w:rsidRPr="00A2105E" w:rsidRDefault="004F77BF" w:rsidP="004F77BF">
      <w:pPr>
        <w:rPr>
          <w:rFonts w:asciiTheme="minorHAnsi" w:eastAsia="Arial Unicode MS" w:hAnsiTheme="minorHAnsi" w:cstheme="minorHAnsi"/>
          <w:color w:val="000000"/>
          <w:sz w:val="22"/>
          <w:szCs w:val="22"/>
          <w:u w:color="000000"/>
          <w:bdr w:val="nil"/>
        </w:rPr>
      </w:pPr>
      <w:r w:rsidRPr="00A2105E">
        <w:rPr>
          <w:rFonts w:asciiTheme="minorHAnsi" w:hAnsiTheme="minorHAnsi" w:cstheme="minorHAnsi"/>
          <w:sz w:val="22"/>
          <w:szCs w:val="22"/>
        </w:rPr>
        <w:t>The results indicated:</w:t>
      </w:r>
    </w:p>
    <w:p w:rsidR="004F77BF" w:rsidRDefault="004F77BF" w:rsidP="004F77BF">
      <w:pPr>
        <w:pStyle w:val="ListBullet"/>
        <w:rPr>
          <w:lang w:val="en-US"/>
        </w:rPr>
      </w:pPr>
      <w:r w:rsidRPr="00E5736D">
        <w:rPr>
          <w:lang w:val="en-US"/>
        </w:rPr>
        <w:t xml:space="preserve">the increase in workforce participation would result in a </w:t>
      </w:r>
      <w:r w:rsidRPr="00E5736D">
        <w:rPr>
          <w:b/>
          <w:lang w:val="en-US"/>
        </w:rPr>
        <w:t>cumulative boost to Australia’s GDP of a $40 billion in the next decade</w:t>
      </w:r>
      <w:r w:rsidRPr="00E5736D">
        <w:rPr>
          <w:lang w:val="en-US"/>
        </w:rPr>
        <w:t>; and</w:t>
      </w:r>
    </w:p>
    <w:p w:rsidR="004F77BF" w:rsidRPr="00E5736D" w:rsidRDefault="004F77BF" w:rsidP="004F77BF">
      <w:pPr>
        <w:pStyle w:val="ListBullet"/>
        <w:rPr>
          <w:lang w:val="en-US"/>
        </w:rPr>
      </w:pPr>
      <w:r w:rsidRPr="00E5736D">
        <w:t xml:space="preserve">if unemployment was also reduced, </w:t>
      </w:r>
      <w:r w:rsidRPr="00E5736D">
        <w:rPr>
          <w:b/>
        </w:rPr>
        <w:t>GDP could increase by an additional $43 billion in the coming decade</w:t>
      </w:r>
      <w:r>
        <w:rPr>
          <w:b/>
        </w:rPr>
        <w:t>.</w:t>
      </w:r>
      <w:r>
        <w:t xml:space="preserve"> </w:t>
      </w:r>
      <w:r>
        <w:rPr>
          <w:rStyle w:val="FootnoteReference"/>
        </w:rPr>
        <w:footnoteReference w:id="18"/>
      </w:r>
    </w:p>
    <w:p w:rsidR="004F77BF" w:rsidRPr="003A4D3C" w:rsidRDefault="004F77BF" w:rsidP="004F77BF">
      <w:pPr>
        <w:pStyle w:val="Body"/>
      </w:pPr>
      <w:r>
        <w:t xml:space="preserve">The PWC review also reported similar findings, noting </w:t>
      </w:r>
      <w:r w:rsidRPr="003A4D3C">
        <w:t>Australia could achieve additional GDP of almost $50 billion (a further 1.4% contribution to GDP) in 2050 if Australia moved into the top eight OECD countries in employing people with a disability.</w:t>
      </w:r>
      <w:r>
        <w:rPr>
          <w:rStyle w:val="FootnoteReference"/>
          <w:rFonts w:asciiTheme="majorHAnsi" w:hAnsiTheme="majorHAnsi"/>
        </w:rPr>
        <w:footnoteReference w:id="19"/>
      </w:r>
      <w:r w:rsidRPr="003A4D3C">
        <w:t xml:space="preserve"> </w:t>
      </w:r>
      <w:r>
        <w:t xml:space="preserve"> It also found i</w:t>
      </w:r>
      <w:r w:rsidRPr="003A4D3C">
        <w:t>ncreasing the number of carers in the workforce or their number of hours worked, would lead to additiona</w:t>
      </w:r>
      <w:r>
        <w:t>l GDP of $1.5 billion per annum.</w:t>
      </w:r>
      <w:r>
        <w:rPr>
          <w:rStyle w:val="FootnoteReference"/>
          <w:rFonts w:asciiTheme="majorHAnsi" w:hAnsiTheme="majorHAnsi"/>
        </w:rPr>
        <w:footnoteReference w:id="20"/>
      </w:r>
    </w:p>
    <w:p w:rsidR="004F77BF" w:rsidRPr="00CE65C1" w:rsidRDefault="004F77BF" w:rsidP="004F77BF">
      <w:pPr>
        <w:pStyle w:val="Heading3"/>
        <w:rPr>
          <w:sz w:val="22"/>
          <w:szCs w:val="22"/>
        </w:rPr>
      </w:pPr>
    </w:p>
    <w:p w:rsidR="004F77BF" w:rsidRPr="002241CA" w:rsidRDefault="004F77BF" w:rsidP="004F77BF">
      <w:pPr>
        <w:pStyle w:val="Heading3"/>
      </w:pPr>
      <w:bookmarkStart w:id="7" w:name="_Toc473623348"/>
      <w:r>
        <w:t>The Individual</w:t>
      </w:r>
      <w:bookmarkEnd w:id="7"/>
    </w:p>
    <w:p w:rsidR="004F77BF" w:rsidRDefault="004F77BF" w:rsidP="004F77BF">
      <w:pPr>
        <w:pStyle w:val="Body"/>
      </w:pPr>
      <w:r>
        <w:t>Greater inclusion and employment opportunities for people with disability have obvious benefits: greater income and with this, higher living standards and financial independence.  Employment can also contribute to a sense of identify and self-worth and have positive health impacts for some people with disability.</w:t>
      </w:r>
      <w:r>
        <w:rPr>
          <w:rStyle w:val="FootnoteReference"/>
        </w:rPr>
        <w:footnoteReference w:id="21"/>
      </w:r>
      <w:r>
        <w:t xml:space="preserve">  </w:t>
      </w:r>
    </w:p>
    <w:p w:rsidR="004F77BF" w:rsidRDefault="004F77BF" w:rsidP="004F77BF">
      <w:pPr>
        <w:pStyle w:val="Body"/>
      </w:pPr>
      <w:r>
        <w:lastRenderedPageBreak/>
        <w:t>If we can transform our society to be more inclusive of people with disability (not just through employment initiatives) we will see greater participation in broader community activities and further independence, which are both protective against mental health problems.</w:t>
      </w:r>
      <w:r>
        <w:rPr>
          <w:rStyle w:val="FootnoteReference"/>
        </w:rPr>
        <w:footnoteReference w:id="22"/>
      </w:r>
    </w:p>
    <w:p w:rsidR="004F77BF" w:rsidRDefault="004F77BF" w:rsidP="004F77BF">
      <w:pPr>
        <w:pStyle w:val="Body"/>
      </w:pPr>
      <w:r>
        <w:t>Alongside this shift exists the potential to realise significant benefits for others such as the individual’s family and carers.</w:t>
      </w:r>
    </w:p>
    <w:p w:rsidR="004F77BF" w:rsidRPr="00702A9B" w:rsidRDefault="004F77BF" w:rsidP="004F77BF">
      <w:pPr>
        <w:pStyle w:val="Body"/>
      </w:pPr>
      <w:r>
        <w:t xml:space="preserve">Our documentary series aims to </w:t>
      </w:r>
      <w:r w:rsidRPr="00E97328">
        <w:t xml:space="preserve">break down </w:t>
      </w:r>
      <w:r>
        <w:t xml:space="preserve">social and community </w:t>
      </w:r>
      <w:r w:rsidRPr="00E97328">
        <w:t xml:space="preserve">misconceptions and create a more inclusive and </w:t>
      </w:r>
      <w:r>
        <w:t>accepting</w:t>
      </w:r>
      <w:r w:rsidRPr="00E97328">
        <w:t xml:space="preserve"> society, which in turn will lead </w:t>
      </w:r>
      <w:r>
        <w:t xml:space="preserve">to </w:t>
      </w:r>
      <w:r w:rsidRPr="00E97328">
        <w:t xml:space="preserve">better education </w:t>
      </w:r>
      <w:r>
        <w:t xml:space="preserve">and employment </w:t>
      </w:r>
      <w:r w:rsidRPr="00E97328">
        <w:t>opportunities for people with dis</w:t>
      </w:r>
      <w:r>
        <w:t>ability</w:t>
      </w:r>
      <w:r w:rsidRPr="00E97328">
        <w:t>, a boosted economy where employers are n</w:t>
      </w:r>
      <w:r>
        <w:t>ot apprehensive about employing</w:t>
      </w:r>
      <w:r w:rsidRPr="00E97328">
        <w:t xml:space="preserve"> jobseekers with </w:t>
      </w:r>
      <w:r>
        <w:t>a disability and the individuals themselves have greater spending power, feelings of greater self-worth</w:t>
      </w:r>
      <w:r w:rsidRPr="00E97328">
        <w:t xml:space="preserve">, </w:t>
      </w:r>
      <w:r>
        <w:t>and achieve better overall health.</w:t>
      </w:r>
      <w:r w:rsidRPr="00E97328">
        <w:t> </w:t>
      </w:r>
    </w:p>
    <w:p w:rsidR="00CD3FC1" w:rsidRPr="00E9663D" w:rsidRDefault="00CD3FC1" w:rsidP="00CD3FC1">
      <w:pPr>
        <w:pStyle w:val="Heading2"/>
        <w:rPr>
          <w:u w:color="000000"/>
          <w:bdr w:val="nil"/>
          <w:lang w:val="en-US"/>
        </w:rPr>
      </w:pPr>
      <w:bookmarkStart w:id="8" w:name="_Toc473623349"/>
      <w:r>
        <w:rPr>
          <w:u w:color="000000"/>
          <w:bdr w:val="nil"/>
          <w:lang w:val="en-US"/>
        </w:rPr>
        <w:t>Attitude Initiatives</w:t>
      </w:r>
      <w:bookmarkEnd w:id="8"/>
    </w:p>
    <w:p w:rsidR="00CD3FC1" w:rsidRPr="00E9663D" w:rsidRDefault="00CD3FC1" w:rsidP="00CD3FC1">
      <w:pPr>
        <w:pStyle w:val="Body"/>
      </w:pPr>
      <w:r>
        <w:t>In order for the Foundation to deliver on its ambitions, there are a number of milestones and initiatives to be considered:</w:t>
      </w:r>
    </w:p>
    <w:p w:rsidR="00CD3FC1" w:rsidRDefault="00CD3FC1" w:rsidP="00CD3FC1">
      <w:pPr>
        <w:pStyle w:val="Heading3"/>
        <w:rPr>
          <w:u w:color="000000"/>
          <w:bdr w:val="nil"/>
          <w:lang w:val="en-US"/>
        </w:rPr>
      </w:pPr>
      <w:bookmarkStart w:id="9" w:name="_Toc473623350"/>
      <w:r>
        <w:rPr>
          <w:u w:color="000000"/>
          <w:bdr w:val="nil"/>
          <w:lang w:val="en-US"/>
        </w:rPr>
        <w:t>Television Series</w:t>
      </w:r>
      <w:bookmarkEnd w:id="9"/>
    </w:p>
    <w:p w:rsidR="00CD3FC1" w:rsidRPr="009B2400" w:rsidRDefault="00CD3FC1" w:rsidP="00CD3FC1">
      <w:pPr>
        <w:pStyle w:val="Body"/>
        <w:rPr>
          <w:lang w:val="en"/>
        </w:rPr>
      </w:pPr>
      <w:r w:rsidRPr="009B2400">
        <w:rPr>
          <w:lang w:val="en"/>
        </w:rPr>
        <w:t xml:space="preserve">The primary activity </w:t>
      </w:r>
      <w:r>
        <w:rPr>
          <w:lang w:val="en"/>
        </w:rPr>
        <w:t xml:space="preserve">of the Foundation </w:t>
      </w:r>
      <w:r w:rsidRPr="009B2400">
        <w:rPr>
          <w:lang w:val="en"/>
        </w:rPr>
        <w:t xml:space="preserve">will be the development of a TV series to be aired on mainstream television. The series will not focus on a victim or hero mentality but will follow the stories of people with </w:t>
      </w:r>
      <w:r>
        <w:rPr>
          <w:lang w:val="en"/>
        </w:rPr>
        <w:t>disability</w:t>
      </w:r>
      <w:r w:rsidRPr="009B2400">
        <w:rPr>
          <w:lang w:val="en"/>
        </w:rPr>
        <w:t xml:space="preserve"> engaging in life and relationships, working and undertaking activities in the community. The stories will not portray people with </w:t>
      </w:r>
      <w:r>
        <w:rPr>
          <w:lang w:val="en"/>
        </w:rPr>
        <w:t>disability</w:t>
      </w:r>
      <w:r w:rsidRPr="009B2400">
        <w:rPr>
          <w:lang w:val="en"/>
        </w:rPr>
        <w:t xml:space="preserve"> as 'amazing' or 'inspirational' but will show them authentically and depict the reality of life for people with </w:t>
      </w:r>
      <w:r>
        <w:rPr>
          <w:lang w:val="en"/>
        </w:rPr>
        <w:t>disability</w:t>
      </w:r>
      <w:r w:rsidRPr="009B2400">
        <w:rPr>
          <w:lang w:val="en"/>
        </w:rPr>
        <w:t xml:space="preserve">, and all the complexity this may entail. Some of the subjects may be people who have achieved extraordinary things. Other stories may be of people who have quietly created a unique meaning from their disability. The individual experience and perspective of disability will be respected and this will result in a broad diversity of disability being depicted across the series. </w:t>
      </w:r>
    </w:p>
    <w:p w:rsidR="00CD3FC1" w:rsidRPr="009B2400" w:rsidRDefault="00CD3FC1" w:rsidP="00CD3FC1">
      <w:pPr>
        <w:pStyle w:val="Body"/>
        <w:rPr>
          <w:lang w:val="en"/>
        </w:rPr>
      </w:pPr>
      <w:r w:rsidRPr="009B2400">
        <w:rPr>
          <w:lang w:val="en"/>
        </w:rPr>
        <w:t xml:space="preserve">By engaging the audience in compelling stories, the series aims to create an understanding of the issues surrounding disability, and will show the benefits to be gained by the full inclusion of people with </w:t>
      </w:r>
      <w:r>
        <w:rPr>
          <w:lang w:val="en"/>
        </w:rPr>
        <w:t>disability</w:t>
      </w:r>
      <w:r w:rsidRPr="009B2400">
        <w:rPr>
          <w:lang w:val="en"/>
        </w:rPr>
        <w:t xml:space="preserve">, and challenge and change the pre-existing assumptions and attitudes toward people with disability. </w:t>
      </w:r>
    </w:p>
    <w:p w:rsidR="00CD3FC1" w:rsidRDefault="00CD3FC1" w:rsidP="00CD3FC1">
      <w:pPr>
        <w:pStyle w:val="Body"/>
      </w:pPr>
      <w:r>
        <w:t xml:space="preserve">The Foundation strongly believes a documentary television series of this nature could be effective in shifting attitudes to people with disability.  </w:t>
      </w:r>
    </w:p>
    <w:p w:rsidR="00CD3FC1" w:rsidRPr="00403523" w:rsidRDefault="00CD3FC1" w:rsidP="00CD3FC1">
      <w:pPr>
        <w:pStyle w:val="ListBullet"/>
        <w:rPr>
          <w:lang w:val="en-US"/>
        </w:rPr>
      </w:pPr>
      <w:r w:rsidRPr="00403523">
        <w:rPr>
          <w:lang w:val="en-US"/>
        </w:rPr>
        <w:t>The time is right for the series with the continuing rollout of the National Disability Insurance Scheme across the country</w:t>
      </w:r>
      <w:r>
        <w:rPr>
          <w:lang w:val="en-US"/>
        </w:rPr>
        <w:t>.</w:t>
      </w:r>
    </w:p>
    <w:p w:rsidR="00A2087A" w:rsidRDefault="00CD3FC1" w:rsidP="00CD3FC1">
      <w:pPr>
        <w:pStyle w:val="ListBullet"/>
        <w:rPr>
          <w:lang w:val="en-US"/>
        </w:rPr>
      </w:pPr>
      <w:r w:rsidRPr="00403523">
        <w:rPr>
          <w:lang w:val="en-US"/>
        </w:rPr>
        <w:t xml:space="preserve">The Australian national television broadcaster has received </w:t>
      </w:r>
      <w:r>
        <w:rPr>
          <w:lang w:val="en-US"/>
        </w:rPr>
        <w:t>an</w:t>
      </w:r>
      <w:r w:rsidRPr="00403523">
        <w:rPr>
          <w:lang w:val="en-US"/>
        </w:rPr>
        <w:t xml:space="preserve"> informal proposal </w:t>
      </w:r>
      <w:r>
        <w:rPr>
          <w:lang w:val="en-US"/>
        </w:rPr>
        <w:t>from the Foundation and responded positively. It is</w:t>
      </w:r>
      <w:r w:rsidRPr="00403523">
        <w:rPr>
          <w:lang w:val="en-US"/>
        </w:rPr>
        <w:t xml:space="preserve"> anticipat</w:t>
      </w:r>
      <w:r>
        <w:rPr>
          <w:lang w:val="en-US"/>
        </w:rPr>
        <w:t>ed that</w:t>
      </w:r>
      <w:r w:rsidRPr="00403523">
        <w:rPr>
          <w:lang w:val="en-US"/>
        </w:rPr>
        <w:t xml:space="preserve"> </w:t>
      </w:r>
      <w:r>
        <w:rPr>
          <w:lang w:val="en-US"/>
        </w:rPr>
        <w:t>it will be willing to broadcast the</w:t>
      </w:r>
      <w:r w:rsidRPr="00403523">
        <w:rPr>
          <w:lang w:val="en-US"/>
        </w:rPr>
        <w:t xml:space="preserve"> series</w:t>
      </w:r>
      <w:r w:rsidR="00732968">
        <w:rPr>
          <w:lang w:val="en-US"/>
        </w:rPr>
        <w:t xml:space="preserve"> as the content fits well within the strategic delivery of content associated with diversity</w:t>
      </w:r>
      <w:r>
        <w:rPr>
          <w:lang w:val="en-US"/>
        </w:rPr>
        <w:t>.</w:t>
      </w:r>
      <w:r w:rsidR="00732968">
        <w:rPr>
          <w:lang w:val="en-US"/>
        </w:rPr>
        <w:t xml:space="preserve"> </w:t>
      </w:r>
    </w:p>
    <w:p w:rsidR="00CD3FC1" w:rsidRPr="00403523" w:rsidRDefault="00A2087A" w:rsidP="00CD3FC1">
      <w:pPr>
        <w:pStyle w:val="ListBullet"/>
        <w:rPr>
          <w:lang w:val="en-US"/>
        </w:rPr>
      </w:pPr>
      <w:r>
        <w:rPr>
          <w:lang w:val="en-US"/>
        </w:rPr>
        <w:t>If</w:t>
      </w:r>
      <w:r w:rsidR="00732968">
        <w:rPr>
          <w:lang w:val="en-US"/>
        </w:rPr>
        <w:t xml:space="preserve"> </w:t>
      </w:r>
      <w:r>
        <w:rPr>
          <w:lang w:val="en-US"/>
        </w:rPr>
        <w:t xml:space="preserve">ABC does not proceed with screening the </w:t>
      </w:r>
      <w:r w:rsidR="00732968">
        <w:rPr>
          <w:lang w:val="en-US"/>
        </w:rPr>
        <w:t>TV series</w:t>
      </w:r>
      <w:r>
        <w:rPr>
          <w:lang w:val="en-US"/>
        </w:rPr>
        <w:t>, Attitude Foundation will then liaise with</w:t>
      </w:r>
      <w:r w:rsidR="00732968">
        <w:rPr>
          <w:lang w:val="en-US"/>
        </w:rPr>
        <w:t xml:space="preserve"> commercial TV channels in Australia </w:t>
      </w:r>
      <w:r>
        <w:rPr>
          <w:lang w:val="en-US"/>
        </w:rPr>
        <w:t>(</w:t>
      </w:r>
      <w:r w:rsidR="00732968">
        <w:rPr>
          <w:lang w:val="en-US"/>
        </w:rPr>
        <w:t>and potentially abroad</w:t>
      </w:r>
      <w:r>
        <w:rPr>
          <w:lang w:val="en-US"/>
        </w:rPr>
        <w:t>). We believe the content will be be a ‘good fit’ for broadcast on such commercial outlets, as an alternative to the ABC.</w:t>
      </w:r>
    </w:p>
    <w:p w:rsidR="00CD3FC1" w:rsidRPr="00403523" w:rsidRDefault="00CD3FC1" w:rsidP="00CD3FC1">
      <w:pPr>
        <w:pStyle w:val="ListBullet"/>
        <w:rPr>
          <w:lang w:val="en-US"/>
        </w:rPr>
      </w:pPr>
      <w:r w:rsidRPr="00403523">
        <w:rPr>
          <w:lang w:val="en-US"/>
        </w:rPr>
        <w:lastRenderedPageBreak/>
        <w:t>There are several experienced Australian production companies that have the relevant experience, reputation and relationships as well as the infrastructure needed to produce a high quality and authentic series</w:t>
      </w:r>
      <w:r>
        <w:rPr>
          <w:lang w:val="en-US"/>
        </w:rPr>
        <w:t>.</w:t>
      </w:r>
    </w:p>
    <w:p w:rsidR="00CD3FC1" w:rsidRPr="00403523" w:rsidRDefault="00CD3FC1" w:rsidP="00CD3FC1">
      <w:pPr>
        <w:pStyle w:val="ListBullet"/>
        <w:rPr>
          <w:lang w:val="en-US"/>
        </w:rPr>
      </w:pPr>
      <w:r w:rsidRPr="00403523">
        <w:rPr>
          <w:lang w:val="en-US"/>
        </w:rPr>
        <w:t xml:space="preserve">Television is an ideal vehicle for delivery of positive messages about people with disability, with free-to-air television attracting large </w:t>
      </w:r>
      <w:r>
        <w:rPr>
          <w:lang w:val="en-US"/>
        </w:rPr>
        <w:t xml:space="preserve">mainstream </w:t>
      </w:r>
      <w:r w:rsidRPr="00403523">
        <w:rPr>
          <w:lang w:val="en-US"/>
        </w:rPr>
        <w:t>audiences</w:t>
      </w:r>
      <w:r>
        <w:rPr>
          <w:lang w:val="en-US"/>
        </w:rPr>
        <w:t>.</w:t>
      </w:r>
    </w:p>
    <w:p w:rsidR="00CD3FC1" w:rsidRPr="00403523" w:rsidRDefault="00CD3FC1" w:rsidP="00CD3FC1">
      <w:pPr>
        <w:pStyle w:val="ListBullet"/>
        <w:rPr>
          <w:lang w:val="en-US"/>
        </w:rPr>
      </w:pPr>
      <w:r w:rsidRPr="00403523">
        <w:rPr>
          <w:lang w:val="en-US"/>
        </w:rPr>
        <w:t>There have been several other successful television programs about people with disability, indicating audience interest in this content.</w:t>
      </w:r>
    </w:p>
    <w:p w:rsidR="00CD3FC1" w:rsidRPr="00E93F06" w:rsidRDefault="00CD3FC1" w:rsidP="00CD3FC1">
      <w:pPr>
        <w:pStyle w:val="ListBullet"/>
        <w:rPr>
          <w:lang w:val="en-US"/>
        </w:rPr>
      </w:pPr>
      <w:r w:rsidRPr="00403523">
        <w:rPr>
          <w:lang w:val="en-US"/>
        </w:rPr>
        <w:t>There is research that indicates a willingness amongst television viewers to seek out entertainment and storytelling that is meaningful.  It further found that dramatic films and documentaries inspire audiences to change their behavior by challenging them to question long-held beliefs.  These stories have the capacity to raise questions about a particular issue and motivate an individual to change assumptions, investigate a cause or even join one.</w:t>
      </w:r>
    </w:p>
    <w:p w:rsidR="00CD3FC1" w:rsidRDefault="00CD3FC1" w:rsidP="00CD3FC1">
      <w:pPr>
        <w:pStyle w:val="Heading3"/>
        <w:rPr>
          <w:u w:color="000000"/>
          <w:bdr w:val="nil"/>
          <w:lang w:val="en-US"/>
        </w:rPr>
      </w:pPr>
      <w:bookmarkStart w:id="10" w:name="_Toc473623351"/>
      <w:r>
        <w:rPr>
          <w:u w:color="000000"/>
          <w:bdr w:val="nil"/>
          <w:lang w:val="en-US"/>
        </w:rPr>
        <w:t>Web Portal</w:t>
      </w:r>
      <w:bookmarkEnd w:id="10"/>
    </w:p>
    <w:p w:rsidR="00CD3FC1" w:rsidRDefault="00131E54" w:rsidP="00CD3FC1">
      <w:pPr>
        <w:pStyle w:val="Body"/>
      </w:pPr>
      <w:r>
        <w:t xml:space="preserve">The Attitude Foundation is committed to starting the conversation of changing attitudes prior to the screening of the television series, amplifying the messaging during the screening of the series as well as continuing the conversation once the series has aired. Therefore, a fully accessible web portal will </w:t>
      </w:r>
      <w:r w:rsidR="00CD3FC1" w:rsidRPr="00E6323B">
        <w:t>supplement</w:t>
      </w:r>
      <w:r>
        <w:t xml:space="preserve"> the television series</w:t>
      </w:r>
      <w:r w:rsidR="00CD3FC1" w:rsidRPr="00E34897">
        <w:rPr>
          <w:lang w:val="en"/>
        </w:rPr>
        <w:t xml:space="preserve"> and will act as an online hub where viewers can </w:t>
      </w:r>
      <w:r w:rsidR="00CD3FC1">
        <w:rPr>
          <w:lang w:val="en"/>
        </w:rPr>
        <w:t xml:space="preserve">access the content digitally, </w:t>
      </w:r>
      <w:r w:rsidR="00CD3FC1" w:rsidRPr="00E34897">
        <w:rPr>
          <w:lang w:val="en"/>
        </w:rPr>
        <w:t>engage with additional content about disability and connect with the disability community</w:t>
      </w:r>
      <w:r w:rsidR="00CD3FC1">
        <w:t xml:space="preserve">.  The platform, content and all communications must be accessible.  There are a number of options available to ensure Attitude provides only highly accessible content.  </w:t>
      </w:r>
      <w:r>
        <w:t>Ultimately the web portal will act as a key hub for mainstream viewers and disabili</w:t>
      </w:r>
      <w:r w:rsidR="0081655F">
        <w:t xml:space="preserve">ty sector stakeholders </w:t>
      </w:r>
      <w:r>
        <w:t>to engage in furthering their conversations.</w:t>
      </w:r>
    </w:p>
    <w:p w:rsidR="00131E54" w:rsidRDefault="00131E54" w:rsidP="00CD3FC1">
      <w:pPr>
        <w:pStyle w:val="Body"/>
      </w:pPr>
      <w:r>
        <w:t>An administrator resource of the web portal is incorporated in the plan.</w:t>
      </w:r>
    </w:p>
    <w:p w:rsidR="00CD3FC1" w:rsidRDefault="00CD3FC1" w:rsidP="00CD3FC1">
      <w:pPr>
        <w:pStyle w:val="Heading3"/>
        <w:rPr>
          <w:u w:color="000000"/>
          <w:bdr w:val="nil"/>
          <w:lang w:val="en-US"/>
        </w:rPr>
      </w:pPr>
      <w:bookmarkStart w:id="11" w:name="_Toc473623352"/>
      <w:r>
        <w:rPr>
          <w:u w:color="000000"/>
          <w:bdr w:val="nil"/>
          <w:lang w:val="en-US"/>
        </w:rPr>
        <w:t>Research</w:t>
      </w:r>
      <w:bookmarkEnd w:id="11"/>
    </w:p>
    <w:p w:rsidR="00CD3FC1" w:rsidRDefault="00CD3FC1" w:rsidP="00CD3FC1">
      <w:pPr>
        <w:pStyle w:val="Body"/>
      </w:pPr>
      <w:r>
        <w:t>There has only been limited research into attitudinal studies globally to date.  The Foundation has been in discussions with two university academics with the goal of commissioning unique research that will measure attitudinal change in Australia.   Research is considered a vital element of the proposal to ensure the Foundation can measure the effectiveness of the intervention in changing attitudes.  The proposed research would be game-changing in Australia, and would provide a strong foundation for further research over time. It would consider:</w:t>
      </w:r>
    </w:p>
    <w:p w:rsidR="00CD3FC1" w:rsidRPr="006A1DFE" w:rsidRDefault="00CD3FC1" w:rsidP="00CD3FC1">
      <w:pPr>
        <w:pStyle w:val="ListBullet"/>
        <w:rPr>
          <w:lang w:val="en-US"/>
        </w:rPr>
      </w:pPr>
      <w:r w:rsidRPr="006A1DFE">
        <w:rPr>
          <w:lang w:val="en-US"/>
        </w:rPr>
        <w:t xml:space="preserve">a population representative "community attitudes to disability" </w:t>
      </w:r>
      <w:r>
        <w:rPr>
          <w:lang w:val="en-US"/>
        </w:rPr>
        <w:t xml:space="preserve">base line </w:t>
      </w:r>
      <w:r w:rsidRPr="006A1DFE">
        <w:rPr>
          <w:lang w:val="en-US"/>
        </w:rPr>
        <w:t xml:space="preserve">survey, the first of its kind in Australia; and </w:t>
      </w:r>
    </w:p>
    <w:p w:rsidR="00CD3FC1" w:rsidRPr="00CD3FC1" w:rsidRDefault="00CD3FC1" w:rsidP="00CD3FC1">
      <w:pPr>
        <w:pStyle w:val="ListBullet"/>
        <w:rPr>
          <w:lang w:val="en-US"/>
        </w:rPr>
      </w:pPr>
      <w:r>
        <w:rPr>
          <w:lang w:val="en-US"/>
        </w:rPr>
        <w:t xml:space="preserve">an </w:t>
      </w:r>
      <w:r w:rsidRPr="006A1DFE">
        <w:rPr>
          <w:lang w:val="en-US"/>
        </w:rPr>
        <w:t>evaluat</w:t>
      </w:r>
      <w:r>
        <w:rPr>
          <w:lang w:val="en-US"/>
        </w:rPr>
        <w:t>ion of</w:t>
      </w:r>
      <w:r w:rsidRPr="006A1DFE">
        <w:rPr>
          <w:lang w:val="en-US"/>
        </w:rPr>
        <w:t xml:space="preserve"> the effectiveness of the documentary series in promoting positive attitudes, beliefs and intended behaviours towards people with a disability. </w:t>
      </w:r>
    </w:p>
    <w:p w:rsidR="00CD3FC1" w:rsidRPr="00434385" w:rsidRDefault="00CD3FC1" w:rsidP="00CD3FC1">
      <w:pPr>
        <w:pStyle w:val="Heading2"/>
        <w:rPr>
          <w:u w:color="000000"/>
          <w:bdr w:val="nil"/>
          <w:lang w:val="en-US"/>
        </w:rPr>
      </w:pPr>
      <w:bookmarkStart w:id="12" w:name="_Toc473623353"/>
      <w:r>
        <w:rPr>
          <w:u w:color="000000"/>
          <w:bdr w:val="nil"/>
          <w:lang w:val="en-US"/>
        </w:rPr>
        <w:t>Fundraising and Sponsorship</w:t>
      </w:r>
      <w:bookmarkEnd w:id="12"/>
    </w:p>
    <w:p w:rsidR="00CD3FC1" w:rsidRPr="004F5EE9" w:rsidRDefault="007C3A5F" w:rsidP="00CD3FC1">
      <w:pPr>
        <w:pStyle w:val="Body"/>
      </w:pPr>
      <w:r>
        <w:t xml:space="preserve">The </w:t>
      </w:r>
      <w:r w:rsidR="00CD3FC1">
        <w:t xml:space="preserve">Attitude Foundation has secured </w:t>
      </w:r>
      <w:r>
        <w:t>the ANZ Banking Group as the</w:t>
      </w:r>
      <w:r w:rsidR="00CD3FC1">
        <w:t xml:space="preserve"> founding sponsor</w:t>
      </w:r>
      <w:r w:rsidR="009E675A">
        <w:t xml:space="preserve"> </w:t>
      </w:r>
      <w:r w:rsidR="00800CCF">
        <w:t xml:space="preserve">because </w:t>
      </w:r>
      <w:r w:rsidR="002A36A5">
        <w:t xml:space="preserve">ANZ is the fourth-largest bank in Australia and employs over 50,000 people so creating a diverse workforce is a top business priority.  </w:t>
      </w:r>
      <w:r w:rsidR="00916075">
        <w:t xml:space="preserve">Group Head of Talent, Resourcing &amp; Diversity, Sara van Vliet, explains: “Diversity is important, but on its own, not an end goal.  It’s only when you leverage the unique skills and talent that you really do realise the benefits.  And to do that, you need to create an inclusive culture, and that is something we have intentionally focused on </w:t>
      </w:r>
      <w:r w:rsidR="009E675A">
        <w:t>a</w:t>
      </w:r>
      <w:r w:rsidR="00916075">
        <w:t xml:space="preserve">t ANZ”.  </w:t>
      </w:r>
      <w:r w:rsidR="002A36A5">
        <w:t>As such</w:t>
      </w:r>
      <w:r w:rsidR="009E675A">
        <w:t>,</w:t>
      </w:r>
      <w:r w:rsidR="002A36A5">
        <w:t xml:space="preserve"> </w:t>
      </w:r>
      <w:r>
        <w:t xml:space="preserve">ANZ is committed to </w:t>
      </w:r>
      <w:r w:rsidR="00800CCF">
        <w:t>developing its disability confidence through changing attitudes. The foundation</w:t>
      </w:r>
      <w:r w:rsidR="00CD3FC1">
        <w:t xml:space="preserve"> is now </w:t>
      </w:r>
      <w:r w:rsidR="00CD3FC1">
        <w:lastRenderedPageBreak/>
        <w:t>seeking to secure a second and third sponsor to ensure appropriate funding to deliver its initiatives.  Sponsorship may be in the form of both financial and in-kind sponsorship.  Key sponsorship will be sought from Government (both State and Federal), corporate and philanthropic organisations (including some grants).</w:t>
      </w:r>
      <w:r w:rsidR="008257AC">
        <w:t xml:space="preserve">  Sponsorship of the first TV Series is the primary goal of this business case, with further series on the back of the success of the first series and the research findings making the basis for a second business case.</w:t>
      </w:r>
    </w:p>
    <w:p w:rsidR="00CD3FC1" w:rsidRDefault="00CD3FC1" w:rsidP="00CD3FC1">
      <w:pPr>
        <w:pStyle w:val="Heading2"/>
        <w:rPr>
          <w:u w:color="000000"/>
          <w:bdr w:val="nil"/>
          <w:lang w:val="en-US"/>
        </w:rPr>
      </w:pPr>
      <w:bookmarkStart w:id="13" w:name="_Toc473623354"/>
      <w:r>
        <w:rPr>
          <w:u w:color="000000"/>
          <w:bdr w:val="nil"/>
          <w:lang w:val="en-US"/>
        </w:rPr>
        <w:t>Overheads</w:t>
      </w:r>
      <w:bookmarkEnd w:id="13"/>
    </w:p>
    <w:p w:rsidR="00CD3FC1" w:rsidRPr="00CD3FC1" w:rsidRDefault="00CD3FC1" w:rsidP="00CD3FC1">
      <w:pPr>
        <w:pStyle w:val="Body"/>
      </w:pPr>
      <w:r>
        <w:t>All three elements of the proposal will require a small amount of overhead to administer operations.  In line with most not-for-profit organisations, these costs will be keep to a minimum (initially by asking staff to work from home rather than renting office premises as an example), however there are some costs that are considered critical to ensuring successful delivery.  This includes the cost of an Executive Officer/Chief Executive as well as staff to deliver the promotion of the series and execution of the social media strategy.</w:t>
      </w:r>
    </w:p>
    <w:p w:rsidR="00CD3FC1" w:rsidRPr="004A5E5C" w:rsidRDefault="00CD3FC1" w:rsidP="00CD3FC1">
      <w:pPr>
        <w:pStyle w:val="Heading2"/>
        <w:rPr>
          <w:u w:color="000000"/>
          <w:bdr w:val="nil"/>
          <w:lang w:val="en-US"/>
        </w:rPr>
      </w:pPr>
      <w:bookmarkStart w:id="14" w:name="_Toc473623355"/>
      <w:r w:rsidRPr="004A5E5C">
        <w:rPr>
          <w:u w:color="000000"/>
          <w:bdr w:val="nil"/>
          <w:lang w:val="en-US"/>
        </w:rPr>
        <w:t>Financials</w:t>
      </w:r>
      <w:bookmarkEnd w:id="14"/>
    </w:p>
    <w:p w:rsidR="00CD3FC1" w:rsidRPr="00A37793" w:rsidRDefault="00CD3FC1" w:rsidP="00CD3FC1">
      <w:pPr>
        <w:pStyle w:val="Body"/>
        <w:rPr>
          <w:b/>
        </w:rPr>
      </w:pPr>
      <w:r w:rsidRPr="00A37793">
        <w:rPr>
          <w:b/>
        </w:rPr>
        <w:t>Table 1: Financial Budget</w:t>
      </w:r>
    </w:p>
    <w:tbl>
      <w:tblPr>
        <w:tblStyle w:val="TableGrid"/>
        <w:tblW w:w="0" w:type="auto"/>
        <w:tblLook w:val="04A0" w:firstRow="1" w:lastRow="0" w:firstColumn="1" w:lastColumn="0" w:noHBand="0" w:noVBand="1"/>
      </w:tblPr>
      <w:tblGrid>
        <w:gridCol w:w="4603"/>
        <w:gridCol w:w="1784"/>
        <w:gridCol w:w="1784"/>
        <w:gridCol w:w="1785"/>
      </w:tblGrid>
      <w:tr w:rsidR="00CD3FC1" w:rsidRPr="004A5E83" w:rsidTr="00732968">
        <w:trPr>
          <w:cnfStyle w:val="100000000000" w:firstRow="1" w:lastRow="0" w:firstColumn="0" w:lastColumn="0" w:oddVBand="0" w:evenVBand="0" w:oddHBand="0" w:evenHBand="0" w:firstRowFirstColumn="0" w:firstRowLastColumn="0" w:lastRowFirstColumn="0" w:lastRowLastColumn="0"/>
          <w:tblHeader/>
        </w:trPr>
        <w:tc>
          <w:tcPr>
            <w:tcW w:w="4606" w:type="dxa"/>
            <w:shd w:val="clear" w:color="auto" w:fill="FF0000"/>
          </w:tcPr>
          <w:p w:rsidR="00CD3FC1" w:rsidRPr="004A5E83" w:rsidRDefault="00CD3FC1" w:rsidP="00732968">
            <w:pPr>
              <w:pStyle w:val="Heading4"/>
              <w:spacing w:before="120"/>
              <w:outlineLvl w:val="3"/>
              <w:rPr>
                <w:b/>
                <w:u w:color="000000"/>
                <w:bdr w:val="nil"/>
              </w:rPr>
            </w:pPr>
            <w:r w:rsidRPr="004A5E83">
              <w:rPr>
                <w:b/>
                <w:u w:color="000000"/>
                <w:bdr w:val="nil"/>
              </w:rPr>
              <w:t>Initiative</w:t>
            </w:r>
            <w:r>
              <w:rPr>
                <w:b/>
                <w:u w:color="000000"/>
                <w:bdr w:val="nil"/>
              </w:rPr>
              <w:t>s</w:t>
            </w:r>
          </w:p>
        </w:tc>
        <w:tc>
          <w:tcPr>
            <w:tcW w:w="1785" w:type="dxa"/>
            <w:shd w:val="clear" w:color="auto" w:fill="FF0000"/>
          </w:tcPr>
          <w:p w:rsidR="00CD3FC1" w:rsidRPr="004A5E83" w:rsidRDefault="00CD3FC1" w:rsidP="00732968">
            <w:pPr>
              <w:pStyle w:val="Heading4"/>
              <w:spacing w:before="120"/>
              <w:jc w:val="right"/>
              <w:outlineLvl w:val="3"/>
              <w:rPr>
                <w:b/>
                <w:u w:color="000000"/>
                <w:bdr w:val="nil"/>
              </w:rPr>
            </w:pPr>
            <w:r w:rsidRPr="004A5E83">
              <w:rPr>
                <w:b/>
                <w:u w:color="000000"/>
                <w:bdr w:val="nil"/>
              </w:rPr>
              <w:t>Year 1</w:t>
            </w:r>
          </w:p>
        </w:tc>
        <w:tc>
          <w:tcPr>
            <w:tcW w:w="1785" w:type="dxa"/>
            <w:shd w:val="clear" w:color="auto" w:fill="FF0000"/>
          </w:tcPr>
          <w:p w:rsidR="00CD3FC1" w:rsidRPr="004A5E83" w:rsidRDefault="00CD3FC1" w:rsidP="00732968">
            <w:pPr>
              <w:pStyle w:val="Heading4"/>
              <w:spacing w:before="120"/>
              <w:jc w:val="right"/>
              <w:outlineLvl w:val="3"/>
              <w:rPr>
                <w:b/>
                <w:u w:color="000000"/>
                <w:bdr w:val="nil"/>
              </w:rPr>
            </w:pPr>
            <w:r w:rsidRPr="004A5E83">
              <w:rPr>
                <w:b/>
                <w:u w:color="000000"/>
                <w:bdr w:val="nil"/>
              </w:rPr>
              <w:t>Year 2</w:t>
            </w:r>
          </w:p>
        </w:tc>
        <w:tc>
          <w:tcPr>
            <w:tcW w:w="1786" w:type="dxa"/>
            <w:shd w:val="clear" w:color="auto" w:fill="FF0000"/>
          </w:tcPr>
          <w:p w:rsidR="00CD3FC1" w:rsidRPr="004A5E83" w:rsidRDefault="00CD3FC1" w:rsidP="00732968">
            <w:pPr>
              <w:pStyle w:val="Heading4"/>
              <w:spacing w:before="120"/>
              <w:jc w:val="right"/>
              <w:outlineLvl w:val="3"/>
              <w:rPr>
                <w:b/>
                <w:u w:color="000000"/>
                <w:bdr w:val="nil"/>
              </w:rPr>
            </w:pPr>
            <w:r w:rsidRPr="004A5E83">
              <w:rPr>
                <w:b/>
                <w:u w:color="000000"/>
                <w:bdr w:val="nil"/>
              </w:rPr>
              <w:t>Year 3</w:t>
            </w:r>
          </w:p>
        </w:tc>
      </w:tr>
      <w:tr w:rsidR="00CD3FC1" w:rsidTr="00732968">
        <w:tc>
          <w:tcPr>
            <w:tcW w:w="4606" w:type="dxa"/>
          </w:tcPr>
          <w:p w:rsidR="00CD3FC1" w:rsidRDefault="00CD3FC1" w:rsidP="00732968">
            <w:pPr>
              <w:pStyle w:val="Body"/>
              <w:spacing w:before="120" w:after="0"/>
            </w:pPr>
            <w:r>
              <w:t>TV Series production</w:t>
            </w:r>
          </w:p>
          <w:p w:rsidR="00CD3FC1" w:rsidRDefault="00CD3FC1" w:rsidP="00732968">
            <w:pPr>
              <w:pStyle w:val="Body"/>
              <w:spacing w:before="120" w:after="0"/>
            </w:pPr>
            <w:r>
              <w:t>(13 episodes per annum)</w:t>
            </w:r>
          </w:p>
        </w:tc>
        <w:tc>
          <w:tcPr>
            <w:tcW w:w="1785" w:type="dxa"/>
          </w:tcPr>
          <w:p w:rsidR="00CD3FC1" w:rsidRDefault="00CD3FC1" w:rsidP="00732968">
            <w:pPr>
              <w:pStyle w:val="Body"/>
              <w:spacing w:before="120"/>
              <w:jc w:val="right"/>
            </w:pPr>
            <w:r>
              <w:t>1,300,000</w:t>
            </w:r>
          </w:p>
        </w:tc>
        <w:tc>
          <w:tcPr>
            <w:tcW w:w="1785" w:type="dxa"/>
          </w:tcPr>
          <w:p w:rsidR="00CD3FC1" w:rsidRDefault="00CD3FC1" w:rsidP="00732968">
            <w:pPr>
              <w:pStyle w:val="Body"/>
              <w:spacing w:before="120"/>
              <w:jc w:val="right"/>
            </w:pPr>
            <w:r>
              <w:t>1,325,000</w:t>
            </w:r>
          </w:p>
        </w:tc>
        <w:tc>
          <w:tcPr>
            <w:tcW w:w="1786" w:type="dxa"/>
          </w:tcPr>
          <w:p w:rsidR="00CD3FC1" w:rsidRDefault="00CD3FC1" w:rsidP="00732968">
            <w:pPr>
              <w:pStyle w:val="Body"/>
              <w:spacing w:before="120"/>
              <w:jc w:val="right"/>
            </w:pPr>
            <w:r>
              <w:t>1,350,000</w:t>
            </w:r>
          </w:p>
        </w:tc>
      </w:tr>
      <w:tr w:rsidR="00CD3FC1" w:rsidTr="00732968">
        <w:tc>
          <w:tcPr>
            <w:tcW w:w="4606" w:type="dxa"/>
          </w:tcPr>
          <w:p w:rsidR="00CD3FC1" w:rsidRDefault="00CD3FC1" w:rsidP="00732968">
            <w:pPr>
              <w:pStyle w:val="Body"/>
              <w:spacing w:before="120" w:after="0"/>
            </w:pPr>
            <w:r>
              <w:t>Web portal</w:t>
            </w:r>
          </w:p>
          <w:p w:rsidR="00CD3FC1" w:rsidRDefault="00CD3FC1" w:rsidP="00732968">
            <w:pPr>
              <w:pStyle w:val="Body"/>
            </w:pPr>
            <w:r>
              <w:t>(Video enabled, accessible &amp; maintained)</w:t>
            </w:r>
          </w:p>
        </w:tc>
        <w:tc>
          <w:tcPr>
            <w:tcW w:w="1785" w:type="dxa"/>
          </w:tcPr>
          <w:p w:rsidR="00CD3FC1" w:rsidRDefault="00CD3FC1" w:rsidP="00732968">
            <w:pPr>
              <w:pStyle w:val="Body"/>
              <w:spacing w:before="120"/>
              <w:jc w:val="right"/>
            </w:pPr>
            <w:r>
              <w:t>50,000</w:t>
            </w:r>
          </w:p>
        </w:tc>
        <w:tc>
          <w:tcPr>
            <w:tcW w:w="1785" w:type="dxa"/>
          </w:tcPr>
          <w:p w:rsidR="00CD3FC1" w:rsidRDefault="00CD3FC1" w:rsidP="00732968">
            <w:pPr>
              <w:pStyle w:val="Body"/>
              <w:spacing w:before="120"/>
              <w:jc w:val="right"/>
            </w:pPr>
            <w:r>
              <w:t>10,000</w:t>
            </w:r>
          </w:p>
        </w:tc>
        <w:tc>
          <w:tcPr>
            <w:tcW w:w="1786" w:type="dxa"/>
          </w:tcPr>
          <w:p w:rsidR="00CD3FC1" w:rsidRDefault="00CD3FC1" w:rsidP="00732968">
            <w:pPr>
              <w:pStyle w:val="Body"/>
              <w:spacing w:before="120"/>
              <w:jc w:val="right"/>
            </w:pPr>
            <w:r>
              <w:t>10,000</w:t>
            </w:r>
          </w:p>
        </w:tc>
      </w:tr>
      <w:tr w:rsidR="00CD3FC1" w:rsidTr="00732968">
        <w:tc>
          <w:tcPr>
            <w:tcW w:w="4606" w:type="dxa"/>
          </w:tcPr>
          <w:p w:rsidR="00CD3FC1" w:rsidRDefault="00CD3FC1" w:rsidP="00732968">
            <w:pPr>
              <w:pStyle w:val="Body"/>
              <w:spacing w:before="120"/>
            </w:pPr>
            <w:r>
              <w:t>Audio description &amp; multiple language captioning</w:t>
            </w:r>
          </w:p>
        </w:tc>
        <w:tc>
          <w:tcPr>
            <w:tcW w:w="1785" w:type="dxa"/>
          </w:tcPr>
          <w:p w:rsidR="00CD3FC1" w:rsidRDefault="00CD3FC1" w:rsidP="00732968">
            <w:pPr>
              <w:pStyle w:val="Body"/>
              <w:spacing w:before="120"/>
              <w:jc w:val="right"/>
            </w:pPr>
            <w:r>
              <w:t>30,000</w:t>
            </w:r>
          </w:p>
        </w:tc>
        <w:tc>
          <w:tcPr>
            <w:tcW w:w="1785" w:type="dxa"/>
          </w:tcPr>
          <w:p w:rsidR="00CD3FC1" w:rsidRDefault="00CD3FC1" w:rsidP="00732968">
            <w:pPr>
              <w:pStyle w:val="Body"/>
              <w:spacing w:before="120"/>
              <w:jc w:val="right"/>
            </w:pPr>
            <w:r>
              <w:t>30,000</w:t>
            </w:r>
          </w:p>
        </w:tc>
        <w:tc>
          <w:tcPr>
            <w:tcW w:w="1786" w:type="dxa"/>
          </w:tcPr>
          <w:p w:rsidR="00CD3FC1" w:rsidRDefault="00CD3FC1" w:rsidP="00732968">
            <w:pPr>
              <w:pStyle w:val="Body"/>
              <w:spacing w:before="120"/>
              <w:jc w:val="right"/>
            </w:pPr>
            <w:r>
              <w:t>31,000</w:t>
            </w:r>
          </w:p>
        </w:tc>
      </w:tr>
      <w:tr w:rsidR="00CD3FC1" w:rsidTr="00732968">
        <w:tc>
          <w:tcPr>
            <w:tcW w:w="4606" w:type="dxa"/>
          </w:tcPr>
          <w:p w:rsidR="00CD3FC1" w:rsidRDefault="00CD3FC1" w:rsidP="00732968">
            <w:pPr>
              <w:pStyle w:val="Body"/>
              <w:spacing w:before="120"/>
            </w:pPr>
            <w:r>
              <w:t xml:space="preserve">Production of accessible trailers </w:t>
            </w:r>
          </w:p>
        </w:tc>
        <w:tc>
          <w:tcPr>
            <w:tcW w:w="1785" w:type="dxa"/>
          </w:tcPr>
          <w:p w:rsidR="00CD3FC1" w:rsidRDefault="00CD3FC1" w:rsidP="00732968">
            <w:pPr>
              <w:pStyle w:val="Body"/>
              <w:spacing w:before="120"/>
              <w:jc w:val="right"/>
            </w:pPr>
            <w:r>
              <w:t>20,000</w:t>
            </w:r>
          </w:p>
        </w:tc>
        <w:tc>
          <w:tcPr>
            <w:tcW w:w="1785" w:type="dxa"/>
          </w:tcPr>
          <w:p w:rsidR="00CD3FC1" w:rsidRDefault="00CD3FC1" w:rsidP="00732968">
            <w:pPr>
              <w:pStyle w:val="Body"/>
              <w:spacing w:before="120"/>
              <w:jc w:val="right"/>
            </w:pPr>
            <w:r>
              <w:t>20,000</w:t>
            </w:r>
          </w:p>
        </w:tc>
        <w:tc>
          <w:tcPr>
            <w:tcW w:w="1786" w:type="dxa"/>
          </w:tcPr>
          <w:p w:rsidR="00CD3FC1" w:rsidRDefault="00CD3FC1" w:rsidP="00732968">
            <w:pPr>
              <w:pStyle w:val="Body"/>
              <w:spacing w:before="120"/>
              <w:jc w:val="right"/>
            </w:pPr>
            <w:r>
              <w:t>21,000</w:t>
            </w:r>
          </w:p>
        </w:tc>
      </w:tr>
      <w:tr w:rsidR="00CD3FC1" w:rsidTr="00732968">
        <w:tc>
          <w:tcPr>
            <w:tcW w:w="4606" w:type="dxa"/>
          </w:tcPr>
          <w:p w:rsidR="00CD3FC1" w:rsidRDefault="00CD3FC1" w:rsidP="00732968">
            <w:pPr>
              <w:pStyle w:val="Body"/>
              <w:spacing w:before="120"/>
            </w:pPr>
            <w:r>
              <w:t>Research</w:t>
            </w:r>
          </w:p>
        </w:tc>
        <w:tc>
          <w:tcPr>
            <w:tcW w:w="1785" w:type="dxa"/>
          </w:tcPr>
          <w:p w:rsidR="00CD3FC1" w:rsidRDefault="00CD3FC1" w:rsidP="00732968">
            <w:pPr>
              <w:pStyle w:val="Body"/>
              <w:spacing w:before="120"/>
              <w:jc w:val="right"/>
            </w:pPr>
            <w:r>
              <w:t>150,000</w:t>
            </w:r>
          </w:p>
        </w:tc>
        <w:tc>
          <w:tcPr>
            <w:tcW w:w="1785" w:type="dxa"/>
          </w:tcPr>
          <w:p w:rsidR="00CD3FC1" w:rsidRDefault="00CD3FC1" w:rsidP="00732968">
            <w:pPr>
              <w:pStyle w:val="Body"/>
              <w:spacing w:before="120"/>
              <w:jc w:val="right"/>
            </w:pPr>
            <w:r>
              <w:t>68,000</w:t>
            </w:r>
          </w:p>
        </w:tc>
        <w:tc>
          <w:tcPr>
            <w:tcW w:w="1786" w:type="dxa"/>
          </w:tcPr>
          <w:p w:rsidR="00CD3FC1" w:rsidRDefault="00CD3FC1" w:rsidP="00732968">
            <w:pPr>
              <w:pStyle w:val="Body"/>
              <w:spacing w:before="120"/>
              <w:jc w:val="right"/>
            </w:pPr>
            <w:r>
              <w:t>-</w:t>
            </w:r>
          </w:p>
        </w:tc>
      </w:tr>
      <w:tr w:rsidR="00CD3FC1" w:rsidTr="00732968">
        <w:tc>
          <w:tcPr>
            <w:tcW w:w="4606" w:type="dxa"/>
          </w:tcPr>
          <w:p w:rsidR="00CD3FC1" w:rsidRDefault="00CD3FC1" w:rsidP="00732968">
            <w:pPr>
              <w:pStyle w:val="Body"/>
              <w:spacing w:before="120" w:after="0"/>
            </w:pPr>
            <w:r>
              <w:t>Overheads</w:t>
            </w:r>
          </w:p>
          <w:p w:rsidR="00CD3FC1" w:rsidRDefault="00CD3FC1" w:rsidP="00732968">
            <w:pPr>
              <w:pStyle w:val="Body"/>
              <w:spacing w:before="120" w:after="0"/>
            </w:pPr>
            <w:r>
              <w:t>(Salary &amp; wages, promotion, fees etc.)</w:t>
            </w:r>
          </w:p>
        </w:tc>
        <w:tc>
          <w:tcPr>
            <w:tcW w:w="1785" w:type="dxa"/>
          </w:tcPr>
          <w:p w:rsidR="00CD3FC1" w:rsidRDefault="00CD3FC1" w:rsidP="00732968">
            <w:pPr>
              <w:pStyle w:val="Body"/>
              <w:spacing w:before="120"/>
              <w:jc w:val="right"/>
            </w:pPr>
            <w:r>
              <w:t>243,000</w:t>
            </w:r>
          </w:p>
        </w:tc>
        <w:tc>
          <w:tcPr>
            <w:tcW w:w="1785" w:type="dxa"/>
          </w:tcPr>
          <w:p w:rsidR="00CD3FC1" w:rsidRDefault="00CD3FC1" w:rsidP="00732968">
            <w:pPr>
              <w:pStyle w:val="Body"/>
              <w:spacing w:before="120"/>
              <w:jc w:val="right"/>
            </w:pPr>
            <w:r>
              <w:t>296,000</w:t>
            </w:r>
          </w:p>
        </w:tc>
        <w:tc>
          <w:tcPr>
            <w:tcW w:w="1786" w:type="dxa"/>
          </w:tcPr>
          <w:p w:rsidR="00CD3FC1" w:rsidRDefault="00CD3FC1" w:rsidP="00732968">
            <w:pPr>
              <w:pStyle w:val="Body"/>
              <w:spacing w:before="120"/>
              <w:jc w:val="right"/>
            </w:pPr>
            <w:r>
              <w:t>300,000</w:t>
            </w:r>
          </w:p>
        </w:tc>
      </w:tr>
      <w:tr w:rsidR="00CD3FC1" w:rsidRPr="00CD7661" w:rsidTr="00732968">
        <w:trPr>
          <w:trHeight w:val="395"/>
        </w:trPr>
        <w:tc>
          <w:tcPr>
            <w:tcW w:w="4606" w:type="dxa"/>
          </w:tcPr>
          <w:p w:rsidR="00CD3FC1" w:rsidRPr="00CD7661" w:rsidRDefault="00CD3FC1" w:rsidP="00732968">
            <w:pPr>
              <w:pStyle w:val="Body"/>
              <w:spacing w:before="120"/>
              <w:rPr>
                <w:b/>
              </w:rPr>
            </w:pPr>
            <w:r w:rsidRPr="00CD7661">
              <w:rPr>
                <w:b/>
              </w:rPr>
              <w:t>Total expenditure</w:t>
            </w:r>
          </w:p>
        </w:tc>
        <w:tc>
          <w:tcPr>
            <w:tcW w:w="1785" w:type="dxa"/>
          </w:tcPr>
          <w:p w:rsidR="00CD3FC1" w:rsidRPr="00CD7661" w:rsidRDefault="00CD3FC1" w:rsidP="00732968">
            <w:pPr>
              <w:pStyle w:val="Body"/>
              <w:spacing w:before="120"/>
              <w:jc w:val="right"/>
              <w:rPr>
                <w:b/>
              </w:rPr>
            </w:pPr>
            <w:r>
              <w:rPr>
                <w:b/>
              </w:rPr>
              <w:t>1,793</w:t>
            </w:r>
            <w:r w:rsidRPr="00CD7661">
              <w:rPr>
                <w:b/>
              </w:rPr>
              <w:t>,000</w:t>
            </w:r>
          </w:p>
        </w:tc>
        <w:tc>
          <w:tcPr>
            <w:tcW w:w="1785" w:type="dxa"/>
          </w:tcPr>
          <w:p w:rsidR="00CD3FC1" w:rsidRPr="00CD7661" w:rsidRDefault="00CD3FC1" w:rsidP="00732968">
            <w:pPr>
              <w:pStyle w:val="Body"/>
              <w:spacing w:before="120"/>
              <w:jc w:val="right"/>
              <w:rPr>
                <w:b/>
              </w:rPr>
            </w:pPr>
            <w:r>
              <w:rPr>
                <w:b/>
              </w:rPr>
              <w:t>1,749,000</w:t>
            </w:r>
          </w:p>
        </w:tc>
        <w:tc>
          <w:tcPr>
            <w:tcW w:w="1786" w:type="dxa"/>
          </w:tcPr>
          <w:p w:rsidR="00CD3FC1" w:rsidRPr="00CD7661" w:rsidRDefault="00CD3FC1" w:rsidP="00732968">
            <w:pPr>
              <w:pStyle w:val="Body"/>
              <w:spacing w:before="120"/>
              <w:jc w:val="right"/>
              <w:rPr>
                <w:b/>
              </w:rPr>
            </w:pPr>
            <w:r>
              <w:rPr>
                <w:b/>
              </w:rPr>
              <w:t>1,712,000</w:t>
            </w:r>
          </w:p>
        </w:tc>
      </w:tr>
    </w:tbl>
    <w:p w:rsidR="00CD3FC1" w:rsidRDefault="00CD3FC1" w:rsidP="00CD3FC1">
      <w:pPr>
        <w:rPr>
          <w:u w:color="000000"/>
          <w:bdr w:val="nil"/>
        </w:rPr>
      </w:pPr>
    </w:p>
    <w:p w:rsidR="00CD3FC1" w:rsidRPr="004F5EE9" w:rsidRDefault="00CD3FC1" w:rsidP="00CD3FC1">
      <w:pPr>
        <w:pStyle w:val="Heading2"/>
        <w:rPr>
          <w:u w:color="000000"/>
          <w:bdr w:val="nil"/>
          <w:lang w:val="en-US"/>
        </w:rPr>
      </w:pPr>
      <w:bookmarkStart w:id="15" w:name="_Toc473623356"/>
      <w:r>
        <w:rPr>
          <w:u w:color="000000"/>
          <w:bdr w:val="nil"/>
          <w:lang w:val="en-US"/>
        </w:rPr>
        <w:t>Overall timeline and milestones</w:t>
      </w:r>
      <w:bookmarkEnd w:id="15"/>
    </w:p>
    <w:p w:rsidR="00CD3FC1" w:rsidRDefault="00CD3FC1" w:rsidP="00CD3FC1">
      <w:pPr>
        <w:pStyle w:val="Body"/>
      </w:pPr>
      <w:r>
        <w:t>The most significant driver of the timeline and milestones is the television series production.  All other initiatives would be scheduled according to the TV series.  It is also important to note the scheduling below is an estimate and would be determined once a production company is confirmed. Below is a high level summary of the timeline for the production of the TV series and the approximate budget associated with each stage:</w:t>
      </w:r>
    </w:p>
    <w:p w:rsidR="00CD3FC1" w:rsidRPr="007306CE" w:rsidRDefault="00CD3FC1" w:rsidP="00CD3FC1">
      <w:pPr>
        <w:pStyle w:val="Body"/>
        <w:rPr>
          <w:b/>
        </w:rPr>
      </w:pPr>
      <w:r w:rsidRPr="007306CE">
        <w:rPr>
          <w:b/>
        </w:rPr>
        <w:lastRenderedPageBreak/>
        <w:t>Table 2</w:t>
      </w:r>
      <w:r>
        <w:rPr>
          <w:b/>
        </w:rPr>
        <w:t>: TV series timelines and budget</w:t>
      </w:r>
    </w:p>
    <w:tbl>
      <w:tblPr>
        <w:tblStyle w:val="TableGrid"/>
        <w:tblW w:w="9932" w:type="dxa"/>
        <w:tblLook w:val="04A0" w:firstRow="1" w:lastRow="0" w:firstColumn="1" w:lastColumn="0" w:noHBand="0" w:noVBand="1"/>
      </w:tblPr>
      <w:tblGrid>
        <w:gridCol w:w="6487"/>
        <w:gridCol w:w="1418"/>
        <w:gridCol w:w="2027"/>
      </w:tblGrid>
      <w:tr w:rsidR="00CD3FC1" w:rsidRPr="00016D5A" w:rsidTr="00732968">
        <w:trPr>
          <w:cnfStyle w:val="100000000000" w:firstRow="1" w:lastRow="0" w:firstColumn="0" w:lastColumn="0" w:oddVBand="0" w:evenVBand="0" w:oddHBand="0" w:evenHBand="0" w:firstRowFirstColumn="0" w:firstRowLastColumn="0" w:lastRowFirstColumn="0" w:lastRowLastColumn="0"/>
          <w:trHeight w:val="479"/>
          <w:tblHeader/>
        </w:trPr>
        <w:tc>
          <w:tcPr>
            <w:tcW w:w="6487" w:type="dxa"/>
            <w:shd w:val="clear" w:color="auto" w:fill="FF0000"/>
          </w:tcPr>
          <w:p w:rsidR="00CD3FC1" w:rsidRPr="00016D5A" w:rsidRDefault="00CD3FC1" w:rsidP="00732968">
            <w:pPr>
              <w:pStyle w:val="Heading4"/>
              <w:spacing w:before="120"/>
              <w:outlineLvl w:val="3"/>
              <w:rPr>
                <w:b/>
                <w:u w:color="000000"/>
                <w:bdr w:val="nil"/>
              </w:rPr>
            </w:pPr>
            <w:r w:rsidRPr="00016D5A">
              <w:rPr>
                <w:b/>
                <w:u w:color="000000"/>
                <w:bdr w:val="nil"/>
              </w:rPr>
              <w:t>Activity</w:t>
            </w:r>
          </w:p>
        </w:tc>
        <w:tc>
          <w:tcPr>
            <w:tcW w:w="1418" w:type="dxa"/>
            <w:shd w:val="clear" w:color="auto" w:fill="FF0000"/>
          </w:tcPr>
          <w:p w:rsidR="00CD3FC1" w:rsidRPr="00016D5A" w:rsidRDefault="00CD3FC1" w:rsidP="00732968">
            <w:pPr>
              <w:pStyle w:val="Heading4"/>
              <w:spacing w:before="120"/>
              <w:jc w:val="center"/>
              <w:outlineLvl w:val="3"/>
              <w:rPr>
                <w:b/>
                <w:u w:color="000000"/>
                <w:bdr w:val="nil"/>
              </w:rPr>
            </w:pPr>
            <w:r w:rsidRPr="00016D5A">
              <w:rPr>
                <w:b/>
                <w:u w:color="000000"/>
                <w:bdr w:val="nil"/>
              </w:rPr>
              <w:t>Timeline</w:t>
            </w:r>
          </w:p>
        </w:tc>
        <w:tc>
          <w:tcPr>
            <w:tcW w:w="2027" w:type="dxa"/>
            <w:shd w:val="clear" w:color="auto" w:fill="FF0000"/>
          </w:tcPr>
          <w:p w:rsidR="00CD3FC1" w:rsidRPr="00016D5A" w:rsidRDefault="00CD3FC1" w:rsidP="00732968">
            <w:pPr>
              <w:pStyle w:val="Heading4"/>
              <w:spacing w:before="120"/>
              <w:jc w:val="center"/>
              <w:outlineLvl w:val="3"/>
              <w:rPr>
                <w:b/>
                <w:u w:color="000000"/>
                <w:bdr w:val="nil"/>
              </w:rPr>
            </w:pPr>
            <w:r>
              <w:rPr>
                <w:b/>
                <w:u w:color="000000"/>
                <w:bdr w:val="nil"/>
              </w:rPr>
              <w:t>Budget</w:t>
            </w:r>
          </w:p>
        </w:tc>
      </w:tr>
      <w:tr w:rsidR="00CD3FC1" w:rsidTr="00732968">
        <w:tc>
          <w:tcPr>
            <w:tcW w:w="6487" w:type="dxa"/>
          </w:tcPr>
          <w:p w:rsidR="00CD3FC1" w:rsidRPr="00016D5A" w:rsidRDefault="00CD3FC1" w:rsidP="00732968">
            <w:pPr>
              <w:pStyle w:val="Body"/>
            </w:pPr>
            <w:r w:rsidRPr="00016D5A">
              <w:t xml:space="preserve">Research </w:t>
            </w:r>
            <w:r>
              <w:t>&amp;</w:t>
            </w:r>
            <w:r w:rsidRPr="00016D5A">
              <w:t xml:space="preserve"> commissioning meetings with broadcaster</w:t>
            </w:r>
          </w:p>
        </w:tc>
        <w:tc>
          <w:tcPr>
            <w:tcW w:w="1418" w:type="dxa"/>
          </w:tcPr>
          <w:p w:rsidR="00CD3FC1" w:rsidRPr="00016D5A" w:rsidRDefault="00CD3FC1" w:rsidP="00732968">
            <w:pPr>
              <w:pStyle w:val="Body"/>
              <w:jc w:val="center"/>
            </w:pPr>
            <w:r w:rsidRPr="00016D5A">
              <w:t>8 weeks</w:t>
            </w:r>
          </w:p>
        </w:tc>
        <w:tc>
          <w:tcPr>
            <w:tcW w:w="2027" w:type="dxa"/>
          </w:tcPr>
          <w:p w:rsidR="00CD3FC1" w:rsidRPr="00016D5A" w:rsidRDefault="00CD3FC1" w:rsidP="00732968">
            <w:pPr>
              <w:pStyle w:val="Body"/>
              <w:jc w:val="right"/>
            </w:pPr>
            <w:r>
              <w:t xml:space="preserve"> $65,000 (5%)</w:t>
            </w:r>
          </w:p>
        </w:tc>
      </w:tr>
      <w:tr w:rsidR="00CD3FC1" w:rsidRPr="00016D5A" w:rsidTr="00732968">
        <w:tc>
          <w:tcPr>
            <w:tcW w:w="6487" w:type="dxa"/>
          </w:tcPr>
          <w:p w:rsidR="00CD3FC1" w:rsidRPr="00016D5A" w:rsidRDefault="00CD3FC1" w:rsidP="00732968">
            <w:pPr>
              <w:pStyle w:val="Body"/>
            </w:pPr>
            <w:r>
              <w:t>Pre-production</w:t>
            </w:r>
          </w:p>
        </w:tc>
        <w:tc>
          <w:tcPr>
            <w:tcW w:w="1418" w:type="dxa"/>
          </w:tcPr>
          <w:p w:rsidR="00CD3FC1" w:rsidRPr="00016D5A" w:rsidRDefault="00CD3FC1" w:rsidP="00732968">
            <w:pPr>
              <w:pStyle w:val="Body"/>
              <w:jc w:val="center"/>
            </w:pPr>
            <w:r>
              <w:t>6 weeks</w:t>
            </w:r>
          </w:p>
        </w:tc>
        <w:tc>
          <w:tcPr>
            <w:tcW w:w="2027" w:type="dxa"/>
          </w:tcPr>
          <w:p w:rsidR="00CD3FC1" w:rsidRDefault="00CD3FC1" w:rsidP="00732968">
            <w:pPr>
              <w:pStyle w:val="Body"/>
              <w:jc w:val="right"/>
            </w:pPr>
            <w:r>
              <w:t>$390,000 (30%)</w:t>
            </w:r>
          </w:p>
        </w:tc>
      </w:tr>
      <w:tr w:rsidR="00CD3FC1" w:rsidRPr="00016D5A" w:rsidTr="00732968">
        <w:tc>
          <w:tcPr>
            <w:tcW w:w="6487" w:type="dxa"/>
          </w:tcPr>
          <w:p w:rsidR="00CD3FC1" w:rsidRPr="00016D5A" w:rsidRDefault="00CD3FC1" w:rsidP="00732968">
            <w:pPr>
              <w:pStyle w:val="Body"/>
            </w:pPr>
            <w:r>
              <w:t>Production (approx. 1 week per episode)</w:t>
            </w:r>
          </w:p>
        </w:tc>
        <w:tc>
          <w:tcPr>
            <w:tcW w:w="1418" w:type="dxa"/>
          </w:tcPr>
          <w:p w:rsidR="00CD3FC1" w:rsidRPr="00016D5A" w:rsidRDefault="00CD3FC1" w:rsidP="00732968">
            <w:pPr>
              <w:pStyle w:val="Body"/>
              <w:jc w:val="center"/>
            </w:pPr>
            <w:r>
              <w:t>14 weeks</w:t>
            </w:r>
          </w:p>
        </w:tc>
        <w:tc>
          <w:tcPr>
            <w:tcW w:w="2027" w:type="dxa"/>
          </w:tcPr>
          <w:p w:rsidR="00CD3FC1" w:rsidRDefault="00CD3FC1" w:rsidP="00732968">
            <w:pPr>
              <w:pStyle w:val="Body"/>
              <w:jc w:val="right"/>
            </w:pPr>
            <w:r>
              <w:t>$520,000 (40%)</w:t>
            </w:r>
          </w:p>
        </w:tc>
      </w:tr>
      <w:tr w:rsidR="00CD3FC1" w:rsidRPr="00016D5A" w:rsidTr="00732968">
        <w:tc>
          <w:tcPr>
            <w:tcW w:w="6487" w:type="dxa"/>
          </w:tcPr>
          <w:p w:rsidR="00CD3FC1" w:rsidRPr="00016D5A" w:rsidRDefault="00CD3FC1" w:rsidP="00732968">
            <w:pPr>
              <w:pStyle w:val="Body"/>
            </w:pPr>
            <w:r>
              <w:t>Post production</w:t>
            </w:r>
          </w:p>
        </w:tc>
        <w:tc>
          <w:tcPr>
            <w:tcW w:w="1418" w:type="dxa"/>
          </w:tcPr>
          <w:p w:rsidR="00CD3FC1" w:rsidRPr="00016D5A" w:rsidRDefault="00CD3FC1" w:rsidP="00732968">
            <w:pPr>
              <w:pStyle w:val="Body"/>
              <w:jc w:val="center"/>
            </w:pPr>
            <w:r>
              <w:t>18 weeks</w:t>
            </w:r>
          </w:p>
        </w:tc>
        <w:tc>
          <w:tcPr>
            <w:tcW w:w="2027" w:type="dxa"/>
          </w:tcPr>
          <w:p w:rsidR="00CD3FC1" w:rsidRDefault="00CD3FC1" w:rsidP="00732968">
            <w:pPr>
              <w:pStyle w:val="Body"/>
              <w:jc w:val="right"/>
            </w:pPr>
            <w:r>
              <w:t>$260,000 (20%)</w:t>
            </w:r>
          </w:p>
        </w:tc>
      </w:tr>
      <w:tr w:rsidR="00CD3FC1" w:rsidRPr="00016D5A" w:rsidTr="00732968">
        <w:tc>
          <w:tcPr>
            <w:tcW w:w="6487" w:type="dxa"/>
          </w:tcPr>
          <w:p w:rsidR="00CD3FC1" w:rsidRPr="00016D5A" w:rsidRDefault="00CD3FC1" w:rsidP="00732968">
            <w:pPr>
              <w:pStyle w:val="Body"/>
            </w:pPr>
            <w:r>
              <w:t>Sound mixing</w:t>
            </w:r>
          </w:p>
        </w:tc>
        <w:tc>
          <w:tcPr>
            <w:tcW w:w="1418" w:type="dxa"/>
          </w:tcPr>
          <w:p w:rsidR="00CD3FC1" w:rsidRPr="00016D5A" w:rsidRDefault="00CD3FC1" w:rsidP="00732968">
            <w:pPr>
              <w:pStyle w:val="Body"/>
              <w:jc w:val="center"/>
            </w:pPr>
            <w:r>
              <w:t>2 weeks</w:t>
            </w:r>
          </w:p>
        </w:tc>
        <w:tc>
          <w:tcPr>
            <w:tcW w:w="2027" w:type="dxa"/>
          </w:tcPr>
          <w:p w:rsidR="00CD3FC1" w:rsidRDefault="00CD3FC1" w:rsidP="00732968">
            <w:pPr>
              <w:pStyle w:val="Body"/>
              <w:jc w:val="right"/>
            </w:pPr>
          </w:p>
        </w:tc>
      </w:tr>
      <w:tr w:rsidR="00CD3FC1" w:rsidRPr="00016D5A" w:rsidTr="00732968">
        <w:tc>
          <w:tcPr>
            <w:tcW w:w="6487" w:type="dxa"/>
          </w:tcPr>
          <w:p w:rsidR="00CD3FC1" w:rsidRPr="00016D5A" w:rsidRDefault="00CD3FC1" w:rsidP="00732968">
            <w:pPr>
              <w:pStyle w:val="Body"/>
            </w:pPr>
            <w:r>
              <w:t>Picture mastering</w:t>
            </w:r>
          </w:p>
        </w:tc>
        <w:tc>
          <w:tcPr>
            <w:tcW w:w="1418" w:type="dxa"/>
          </w:tcPr>
          <w:p w:rsidR="00CD3FC1" w:rsidRPr="00016D5A" w:rsidRDefault="00CD3FC1" w:rsidP="00732968">
            <w:pPr>
              <w:pStyle w:val="Body"/>
              <w:jc w:val="center"/>
            </w:pPr>
            <w:r>
              <w:t>2 weeks</w:t>
            </w:r>
          </w:p>
        </w:tc>
        <w:tc>
          <w:tcPr>
            <w:tcW w:w="2027" w:type="dxa"/>
          </w:tcPr>
          <w:p w:rsidR="00CD3FC1" w:rsidRDefault="00CD3FC1" w:rsidP="00732968">
            <w:pPr>
              <w:pStyle w:val="Body"/>
              <w:jc w:val="right"/>
            </w:pPr>
          </w:p>
        </w:tc>
      </w:tr>
      <w:tr w:rsidR="00CD3FC1" w:rsidRPr="00F17EB3" w:rsidTr="00732968">
        <w:tc>
          <w:tcPr>
            <w:tcW w:w="6487" w:type="dxa"/>
          </w:tcPr>
          <w:p w:rsidR="00CD3FC1" w:rsidRPr="00F17EB3" w:rsidRDefault="00CD3FC1" w:rsidP="00732968">
            <w:pPr>
              <w:pStyle w:val="Body"/>
            </w:pPr>
            <w:r w:rsidRPr="00F17EB3">
              <w:t>Delivery of material to broadcaster</w:t>
            </w:r>
          </w:p>
        </w:tc>
        <w:tc>
          <w:tcPr>
            <w:tcW w:w="1418" w:type="dxa"/>
          </w:tcPr>
          <w:p w:rsidR="00CD3FC1" w:rsidRPr="00F17EB3" w:rsidRDefault="00CD3FC1" w:rsidP="00732968">
            <w:pPr>
              <w:pStyle w:val="Body"/>
              <w:jc w:val="center"/>
            </w:pPr>
          </w:p>
        </w:tc>
        <w:tc>
          <w:tcPr>
            <w:tcW w:w="2027" w:type="dxa"/>
          </w:tcPr>
          <w:p w:rsidR="00CD3FC1" w:rsidRPr="00F17EB3" w:rsidRDefault="00CD3FC1" w:rsidP="00732968">
            <w:pPr>
              <w:pStyle w:val="Body"/>
              <w:jc w:val="right"/>
            </w:pPr>
            <w:r w:rsidRPr="00F17EB3">
              <w:t>$65,000 (5%)</w:t>
            </w:r>
          </w:p>
        </w:tc>
      </w:tr>
      <w:tr w:rsidR="00CD3FC1" w:rsidRPr="00016D5A" w:rsidTr="00732968">
        <w:tc>
          <w:tcPr>
            <w:tcW w:w="6487" w:type="dxa"/>
          </w:tcPr>
          <w:p w:rsidR="00CD3FC1" w:rsidRDefault="00CD3FC1" w:rsidP="00732968">
            <w:pPr>
              <w:pStyle w:val="Body"/>
              <w:rPr>
                <w:b/>
              </w:rPr>
            </w:pPr>
            <w:r>
              <w:rPr>
                <w:b/>
              </w:rPr>
              <w:t>Total</w:t>
            </w:r>
          </w:p>
        </w:tc>
        <w:tc>
          <w:tcPr>
            <w:tcW w:w="1418" w:type="dxa"/>
          </w:tcPr>
          <w:p w:rsidR="00CD3FC1" w:rsidRPr="00016D5A" w:rsidRDefault="00CD3FC1" w:rsidP="00732968">
            <w:pPr>
              <w:pStyle w:val="Body"/>
              <w:jc w:val="center"/>
              <w:rPr>
                <w:b/>
              </w:rPr>
            </w:pPr>
            <w:r w:rsidRPr="00016D5A">
              <w:rPr>
                <w:b/>
              </w:rPr>
              <w:t>50 weeks</w:t>
            </w:r>
          </w:p>
        </w:tc>
        <w:tc>
          <w:tcPr>
            <w:tcW w:w="2027" w:type="dxa"/>
          </w:tcPr>
          <w:p w:rsidR="00CD3FC1" w:rsidRDefault="00CD3FC1" w:rsidP="00732968">
            <w:pPr>
              <w:pStyle w:val="Body"/>
              <w:jc w:val="right"/>
              <w:rPr>
                <w:b/>
              </w:rPr>
            </w:pPr>
            <w:r>
              <w:rPr>
                <w:b/>
              </w:rPr>
              <w:t>$1,300,000</w:t>
            </w:r>
          </w:p>
        </w:tc>
      </w:tr>
    </w:tbl>
    <w:p w:rsidR="008177FC" w:rsidRPr="00EC6612" w:rsidRDefault="008177FC" w:rsidP="004F77BF">
      <w:pPr>
        <w:pStyle w:val="Heading1"/>
      </w:pPr>
    </w:p>
    <w:sectPr w:rsidR="008177FC" w:rsidRPr="00EC6612" w:rsidSect="00EC6612">
      <w:pgSz w:w="11900" w:h="16820"/>
      <w:pgMar w:top="1440" w:right="1080" w:bottom="1440" w:left="108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94B" w:rsidRDefault="00D7394B" w:rsidP="00A7286E">
      <w:r>
        <w:separator/>
      </w:r>
    </w:p>
  </w:endnote>
  <w:endnote w:type="continuationSeparator" w:id="0">
    <w:p w:rsidR="00D7394B" w:rsidRDefault="00D7394B" w:rsidP="00A7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altName w:val="Arial"/>
    <w:charset w:val="00"/>
    <w:family w:val="auto"/>
    <w:pitch w:val="variable"/>
    <w:sig w:usb0="E00002FF" w:usb1="5200205F" w:usb2="00A0C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7AC" w:rsidRDefault="008257AC"/>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685"/>
      <w:gridCol w:w="992"/>
    </w:tblGrid>
    <w:tr w:rsidR="008257AC" w:rsidTr="00593B95">
      <w:trPr>
        <w:cnfStyle w:val="100000000000" w:firstRow="1" w:lastRow="0" w:firstColumn="0" w:lastColumn="0" w:oddVBand="0" w:evenVBand="0" w:oddHBand="0" w:evenHBand="0" w:firstRowFirstColumn="0" w:firstRowLastColumn="0" w:lastRowFirstColumn="0" w:lastRowLastColumn="0"/>
        <w:trHeight w:val="1107"/>
      </w:trPr>
      <w:tc>
        <w:tcPr>
          <w:tcW w:w="5070" w:type="dxa"/>
          <w:vAlign w:val="bottom"/>
        </w:tcPr>
        <w:p w:rsidR="008257AC" w:rsidRDefault="008257AC" w:rsidP="00CF3218">
          <w:pPr>
            <w:pStyle w:val="Footer"/>
            <w:spacing w:before="20"/>
          </w:pPr>
          <w:r>
            <w:rPr>
              <w:noProof/>
              <w:lang w:val="en-AU" w:eastAsia="en-AU"/>
            </w:rPr>
            <w:drawing>
              <wp:inline distT="0" distB="0" distL="0" distR="0" wp14:anchorId="4870E296" wp14:editId="2DB1796C">
                <wp:extent cx="1428967" cy="586530"/>
                <wp:effectExtent l="0" t="0" r="0" b="4445"/>
                <wp:docPr id="29" name="Picture 29" descr="Attitude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ter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967" cy="586530"/>
                        </a:xfrm>
                        <a:prstGeom prst="rect">
                          <a:avLst/>
                        </a:prstGeom>
                      </pic:spPr>
                    </pic:pic>
                  </a:graphicData>
                </a:graphic>
              </wp:inline>
            </w:drawing>
          </w:r>
        </w:p>
      </w:tc>
      <w:tc>
        <w:tcPr>
          <w:tcW w:w="3685" w:type="dxa"/>
          <w:vAlign w:val="bottom"/>
        </w:tcPr>
        <w:p w:rsidR="008257AC" w:rsidRPr="008C307E" w:rsidRDefault="008257AC" w:rsidP="008C307E">
          <w:pPr>
            <w:pStyle w:val="Footer"/>
            <w:spacing w:after="120"/>
            <w:rPr>
              <w:rFonts w:asciiTheme="minorHAnsi" w:hAnsiTheme="minorHAnsi" w:cstheme="minorHAnsi"/>
              <w:color w:val="auto"/>
              <w:sz w:val="18"/>
              <w:szCs w:val="18"/>
            </w:rPr>
          </w:pPr>
          <w:r w:rsidRPr="008C307E">
            <w:rPr>
              <w:rFonts w:asciiTheme="minorHAnsi" w:hAnsiTheme="minorHAnsi" w:cstheme="minorHAnsi"/>
              <w:color w:val="auto"/>
              <w:sz w:val="18"/>
              <w:szCs w:val="18"/>
            </w:rPr>
            <w:t>Phone:</w:t>
          </w:r>
          <w:r w:rsidRPr="008C307E">
            <w:rPr>
              <w:rFonts w:asciiTheme="minorHAnsi" w:hAnsiTheme="minorHAnsi" w:cstheme="minorHAnsi"/>
              <w:sz w:val="18"/>
              <w:szCs w:val="18"/>
            </w:rPr>
            <w:t xml:space="preserve">  </w:t>
          </w:r>
          <w:r w:rsidR="00AE09FA">
            <w:rPr>
              <w:rFonts w:asciiTheme="minorHAnsi" w:hAnsiTheme="minorHAnsi" w:cstheme="minorHAnsi"/>
              <w:color w:val="auto"/>
              <w:sz w:val="18"/>
              <w:szCs w:val="18"/>
            </w:rPr>
            <w:t>0407 215 047</w:t>
          </w:r>
        </w:p>
        <w:p w:rsidR="008257AC" w:rsidRPr="008C307E" w:rsidRDefault="008257AC" w:rsidP="008C307E">
          <w:pPr>
            <w:pStyle w:val="Footer"/>
            <w:tabs>
              <w:tab w:val="left" w:pos="858"/>
            </w:tabs>
            <w:spacing w:after="120"/>
            <w:rPr>
              <w:rFonts w:asciiTheme="minorHAnsi" w:hAnsiTheme="minorHAnsi" w:cstheme="minorHAnsi"/>
              <w:color w:val="auto"/>
              <w:sz w:val="18"/>
              <w:szCs w:val="18"/>
            </w:rPr>
          </w:pPr>
          <w:r w:rsidRPr="008C307E">
            <w:rPr>
              <w:rFonts w:asciiTheme="minorHAnsi" w:hAnsiTheme="minorHAnsi" w:cstheme="minorHAnsi"/>
              <w:color w:val="auto"/>
              <w:sz w:val="18"/>
              <w:szCs w:val="18"/>
            </w:rPr>
            <w:t xml:space="preserve">Email:   </w:t>
          </w:r>
          <w:r>
            <w:rPr>
              <w:rFonts w:asciiTheme="minorHAnsi" w:hAnsiTheme="minorHAnsi" w:cstheme="minorHAnsi"/>
              <w:color w:val="auto"/>
              <w:sz w:val="18"/>
              <w:szCs w:val="18"/>
            </w:rPr>
            <w:t>attitude@</w:t>
          </w:r>
          <w:r w:rsidR="00AE09FA">
            <w:rPr>
              <w:rFonts w:asciiTheme="minorHAnsi" w:hAnsiTheme="minorHAnsi" w:cstheme="minorHAnsi"/>
              <w:color w:val="auto"/>
              <w:sz w:val="18"/>
              <w:szCs w:val="18"/>
            </w:rPr>
            <w:t>attitude.org.au</w:t>
          </w:r>
          <w:r w:rsidRPr="008C307E">
            <w:rPr>
              <w:rFonts w:asciiTheme="minorHAnsi" w:hAnsiTheme="minorHAnsi" w:cstheme="minorHAnsi"/>
              <w:color w:val="auto"/>
              <w:sz w:val="18"/>
              <w:szCs w:val="18"/>
            </w:rPr>
            <w:t xml:space="preserve"> </w:t>
          </w:r>
        </w:p>
        <w:p w:rsidR="008257AC" w:rsidRDefault="008257AC" w:rsidP="00E10667">
          <w:pPr>
            <w:pStyle w:val="Footer"/>
            <w:tabs>
              <w:tab w:val="clear" w:pos="255"/>
              <w:tab w:val="left" w:pos="742"/>
            </w:tabs>
            <w:spacing w:after="120"/>
          </w:pPr>
          <w:r w:rsidRPr="008C307E">
            <w:rPr>
              <w:rFonts w:asciiTheme="minorHAnsi" w:hAnsiTheme="minorHAnsi" w:cstheme="minorHAnsi"/>
              <w:color w:val="auto"/>
              <w:sz w:val="18"/>
              <w:szCs w:val="18"/>
            </w:rPr>
            <w:t>Web</w:t>
          </w:r>
          <w:r w:rsidR="00AE09FA">
            <w:rPr>
              <w:rFonts w:asciiTheme="minorHAnsi" w:hAnsiTheme="minorHAnsi" w:cstheme="minorHAnsi"/>
              <w:color w:val="auto"/>
              <w:sz w:val="18"/>
              <w:szCs w:val="18"/>
            </w:rPr>
            <w:t>site</w:t>
          </w:r>
          <w:r w:rsidRPr="008C307E">
            <w:rPr>
              <w:rFonts w:asciiTheme="minorHAnsi" w:hAnsiTheme="minorHAnsi" w:cstheme="minorHAnsi"/>
              <w:color w:val="auto"/>
              <w:sz w:val="18"/>
              <w:szCs w:val="18"/>
            </w:rPr>
            <w:t xml:space="preserve">: </w:t>
          </w:r>
          <w:r>
            <w:rPr>
              <w:rFonts w:asciiTheme="minorHAnsi" w:hAnsiTheme="minorHAnsi" w:cstheme="minorHAnsi"/>
              <w:color w:val="auto"/>
              <w:sz w:val="18"/>
              <w:szCs w:val="18"/>
            </w:rPr>
            <w:t xml:space="preserve">    </w:t>
          </w:r>
          <w:r w:rsidR="003660C9">
            <w:rPr>
              <w:rFonts w:asciiTheme="minorHAnsi" w:hAnsiTheme="minorHAnsi" w:cstheme="minorHAnsi"/>
              <w:color w:val="auto"/>
              <w:sz w:val="18"/>
              <w:szCs w:val="18"/>
            </w:rPr>
            <w:t>www.</w:t>
          </w:r>
          <w:r w:rsidRPr="008C307E">
            <w:rPr>
              <w:rFonts w:asciiTheme="minorHAnsi" w:hAnsiTheme="minorHAnsi" w:cstheme="minorHAnsi"/>
              <w:color w:val="auto"/>
              <w:sz w:val="18"/>
              <w:szCs w:val="18"/>
            </w:rPr>
            <w:t>attitude.org.au</w:t>
          </w:r>
        </w:p>
      </w:tc>
      <w:tc>
        <w:tcPr>
          <w:tcW w:w="992" w:type="dxa"/>
          <w:vAlign w:val="bottom"/>
        </w:tcPr>
        <w:p w:rsidR="008257AC" w:rsidRPr="00CF3218" w:rsidRDefault="008257AC" w:rsidP="004F659A">
          <w:pPr>
            <w:pStyle w:val="PageNumber1"/>
          </w:pPr>
          <w:r w:rsidRPr="00CF3218">
            <w:fldChar w:fldCharType="begin"/>
          </w:r>
          <w:r w:rsidRPr="00CF3218">
            <w:instrText xml:space="preserve"> PAGE   \* MERGEFORMAT </w:instrText>
          </w:r>
          <w:r w:rsidRPr="00CF3218">
            <w:fldChar w:fldCharType="separate"/>
          </w:r>
          <w:r w:rsidR="003660C9">
            <w:t>6</w:t>
          </w:r>
          <w:r w:rsidRPr="00CF3218">
            <w:fldChar w:fldCharType="end"/>
          </w:r>
        </w:p>
      </w:tc>
    </w:tr>
  </w:tbl>
  <w:p w:rsidR="008257AC" w:rsidRPr="00B93F2B" w:rsidRDefault="008257AC" w:rsidP="00B93F2B">
    <w:pPr>
      <w:pStyle w:val="1pixe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94B" w:rsidRDefault="00D7394B" w:rsidP="00A7286E">
      <w:r>
        <w:separator/>
      </w:r>
    </w:p>
  </w:footnote>
  <w:footnote w:type="continuationSeparator" w:id="0">
    <w:p w:rsidR="00D7394B" w:rsidRDefault="00D7394B" w:rsidP="00A7286E">
      <w:r>
        <w:continuationSeparator/>
      </w:r>
    </w:p>
  </w:footnote>
  <w:footnote w:id="1">
    <w:p w:rsidR="004F77BF" w:rsidRDefault="004F77BF" w:rsidP="004F77BF">
      <w:pPr>
        <w:pStyle w:val="FootnoteText"/>
      </w:pPr>
      <w:r>
        <w:rPr>
          <w:rStyle w:val="FootnoteReference"/>
        </w:rPr>
        <w:footnoteRef/>
      </w:r>
      <w:r>
        <w:t xml:space="preserve"> </w:t>
      </w:r>
      <w:r w:rsidRPr="003C0D40">
        <w:rPr>
          <w:i/>
        </w:rPr>
        <w:t>Disability expectations: Investing in a better life, a strong</w:t>
      </w:r>
      <w:r>
        <w:rPr>
          <w:i/>
        </w:rPr>
        <w:t>er</w:t>
      </w:r>
      <w:r w:rsidRPr="003C0D40">
        <w:rPr>
          <w:i/>
        </w:rPr>
        <w:t xml:space="preserve"> Australia</w:t>
      </w:r>
      <w:r>
        <w:t>, PWC, November 2011</w:t>
      </w:r>
    </w:p>
  </w:footnote>
  <w:footnote w:id="2">
    <w:p w:rsidR="004F77BF" w:rsidRPr="003E4C12" w:rsidRDefault="004F77BF" w:rsidP="004F77BF">
      <w:pPr>
        <w:pStyle w:val="Notes"/>
        <w:numPr>
          <w:ilvl w:val="0"/>
          <w:numId w:val="0"/>
        </w:numPr>
        <w:ind w:left="288" w:hanging="288"/>
        <w:rPr>
          <w:rFonts w:asciiTheme="majorHAnsi" w:hAnsiTheme="majorHAnsi"/>
          <w:sz w:val="20"/>
          <w:szCs w:val="20"/>
        </w:rPr>
      </w:pPr>
      <w:r w:rsidRPr="003E4C12">
        <w:rPr>
          <w:rStyle w:val="FootnoteReference"/>
          <w:rFonts w:asciiTheme="majorHAnsi" w:hAnsiTheme="majorHAnsi"/>
          <w:sz w:val="20"/>
          <w:szCs w:val="20"/>
        </w:rPr>
        <w:footnoteRef/>
      </w:r>
      <w:r w:rsidRPr="003E4C12">
        <w:rPr>
          <w:rFonts w:asciiTheme="majorHAnsi" w:hAnsiTheme="majorHAnsi"/>
          <w:sz w:val="20"/>
          <w:szCs w:val="20"/>
        </w:rPr>
        <w:t xml:space="preserve"> </w:t>
      </w:r>
      <w:r w:rsidRPr="003E4C12">
        <w:rPr>
          <w:rFonts w:asciiTheme="majorHAnsi" w:hAnsiTheme="majorHAnsi"/>
          <w:i/>
          <w:sz w:val="20"/>
          <w:szCs w:val="20"/>
        </w:rPr>
        <w:t>Sickness, Disability and Work: Breaking the Barriers - A Synthesis of Findings across OECD Countries</w:t>
      </w:r>
      <w:r w:rsidRPr="003E4C12">
        <w:rPr>
          <w:rFonts w:asciiTheme="majorHAnsi" w:hAnsiTheme="majorHAnsi"/>
          <w:sz w:val="20"/>
          <w:szCs w:val="20"/>
        </w:rPr>
        <w:t>. OECD. (2010)</w:t>
      </w:r>
    </w:p>
  </w:footnote>
  <w:footnote w:id="3">
    <w:p w:rsidR="004F77BF" w:rsidRDefault="004F77BF" w:rsidP="004F77BF">
      <w:pPr>
        <w:pStyle w:val="FootnoteText"/>
      </w:pPr>
      <w:r>
        <w:rPr>
          <w:rStyle w:val="FootnoteReference"/>
        </w:rPr>
        <w:footnoteRef/>
      </w:r>
      <w:r>
        <w:t xml:space="preserve"> </w:t>
      </w:r>
      <w:r w:rsidRPr="003C0D40">
        <w:rPr>
          <w:i/>
        </w:rPr>
        <w:t>Disability expectations: Investing in a better life, a strong</w:t>
      </w:r>
      <w:r>
        <w:rPr>
          <w:i/>
        </w:rPr>
        <w:t>er</w:t>
      </w:r>
      <w:r w:rsidRPr="003C0D40">
        <w:rPr>
          <w:i/>
        </w:rPr>
        <w:t xml:space="preserve"> Australia</w:t>
      </w:r>
      <w:r>
        <w:t>, PWC, November 2011</w:t>
      </w:r>
    </w:p>
  </w:footnote>
  <w:footnote w:id="4">
    <w:p w:rsidR="004F77BF" w:rsidRPr="008E383C" w:rsidRDefault="004F77BF" w:rsidP="004F77BF">
      <w:pPr>
        <w:pStyle w:val="Notes"/>
        <w:numPr>
          <w:ilvl w:val="0"/>
          <w:numId w:val="0"/>
        </w:numPr>
        <w:ind w:left="288" w:hanging="288"/>
        <w:rPr>
          <w:rFonts w:asciiTheme="majorHAnsi" w:hAnsiTheme="majorHAnsi"/>
          <w:sz w:val="20"/>
          <w:szCs w:val="20"/>
        </w:rPr>
      </w:pPr>
      <w:r w:rsidRPr="003E4C12">
        <w:rPr>
          <w:rStyle w:val="FootnoteReference"/>
          <w:rFonts w:asciiTheme="majorHAnsi" w:hAnsiTheme="majorHAnsi"/>
          <w:sz w:val="20"/>
          <w:szCs w:val="20"/>
        </w:rPr>
        <w:footnoteRef/>
      </w:r>
      <w:r w:rsidRPr="003E4C12">
        <w:rPr>
          <w:rFonts w:asciiTheme="majorHAnsi" w:hAnsiTheme="majorHAnsi"/>
          <w:sz w:val="20"/>
          <w:szCs w:val="20"/>
        </w:rPr>
        <w:t xml:space="preserve"> </w:t>
      </w:r>
      <w:r w:rsidRPr="003E4C12">
        <w:rPr>
          <w:rFonts w:asciiTheme="majorHAnsi" w:hAnsiTheme="majorHAnsi"/>
          <w:i/>
          <w:sz w:val="20"/>
          <w:szCs w:val="20"/>
        </w:rPr>
        <w:t>Sickness, Disability and Work: Breaking the Barriers - A Synthesis of Findings across OECD Countries</w:t>
      </w:r>
      <w:r w:rsidRPr="003E4C12">
        <w:rPr>
          <w:rFonts w:asciiTheme="majorHAnsi" w:hAnsiTheme="majorHAnsi"/>
          <w:sz w:val="20"/>
          <w:szCs w:val="20"/>
        </w:rPr>
        <w:t>. OECD. (2010)</w:t>
      </w:r>
    </w:p>
  </w:footnote>
  <w:footnote w:id="5">
    <w:p w:rsidR="004F77BF" w:rsidRDefault="004F77BF" w:rsidP="004F77BF">
      <w:pPr>
        <w:pStyle w:val="FootnoteText"/>
      </w:pPr>
      <w:r>
        <w:rPr>
          <w:rStyle w:val="FootnoteReference"/>
        </w:rPr>
        <w:footnoteRef/>
      </w:r>
      <w:r>
        <w:t xml:space="preserve"> </w:t>
      </w:r>
      <w:r w:rsidRPr="003C0D40">
        <w:rPr>
          <w:i/>
        </w:rPr>
        <w:t>Disability expectations: Investing in a better life, a strong</w:t>
      </w:r>
      <w:r>
        <w:rPr>
          <w:i/>
        </w:rPr>
        <w:t>er</w:t>
      </w:r>
      <w:r w:rsidRPr="003C0D40">
        <w:rPr>
          <w:i/>
        </w:rPr>
        <w:t xml:space="preserve"> Australia</w:t>
      </w:r>
      <w:r>
        <w:t>, PWC, (November 2011)</w:t>
      </w:r>
    </w:p>
  </w:footnote>
  <w:footnote w:id="6">
    <w:p w:rsidR="004F77BF" w:rsidRDefault="004F77BF" w:rsidP="004F77BF">
      <w:pPr>
        <w:pStyle w:val="FootnoteText"/>
      </w:pPr>
      <w:r>
        <w:rPr>
          <w:rStyle w:val="FootnoteReference"/>
        </w:rPr>
        <w:footnoteRef/>
      </w:r>
      <w:r>
        <w:t xml:space="preserve"> </w:t>
      </w:r>
      <w:r w:rsidRPr="007574FE">
        <w:rPr>
          <w:i/>
        </w:rPr>
        <w:t xml:space="preserve">Australia to 2050: Future </w:t>
      </w:r>
      <w:r w:rsidRPr="007574FE">
        <w:t xml:space="preserve">challenges. Intergenerational Report 2010 </w:t>
      </w:r>
      <w:r>
        <w:t>Commonwealth of Australia (2010)</w:t>
      </w:r>
    </w:p>
  </w:footnote>
  <w:footnote w:id="7">
    <w:p w:rsidR="004F77BF" w:rsidRDefault="004F77BF" w:rsidP="004F77BF">
      <w:pPr>
        <w:pStyle w:val="FootnoteText"/>
      </w:pPr>
      <w:r>
        <w:rPr>
          <w:rStyle w:val="FootnoteReference"/>
        </w:rPr>
        <w:footnoteRef/>
      </w:r>
      <w:r>
        <w:t xml:space="preserve"> </w:t>
      </w:r>
      <w:r w:rsidRPr="007A5D5E">
        <w:rPr>
          <w:i/>
        </w:rPr>
        <w:t>Survey of Disability, Ageing and Carers (SDAC) CURF, ABS Population Projections, 2006 – 2101</w:t>
      </w:r>
      <w:r>
        <w:t>, Series B. Cat. No. 3222.0., ABS (2009)</w:t>
      </w:r>
    </w:p>
  </w:footnote>
  <w:footnote w:id="8">
    <w:p w:rsidR="004F77BF" w:rsidRPr="00E93F06" w:rsidRDefault="004F77BF" w:rsidP="004F77BF">
      <w:pPr>
        <w:pStyle w:val="FootnoteText"/>
        <w:rPr>
          <w:lang w:val="en-US"/>
        </w:rPr>
      </w:pPr>
      <w:r>
        <w:rPr>
          <w:rStyle w:val="FootnoteReference"/>
        </w:rPr>
        <w:footnoteRef/>
      </w:r>
      <w:r>
        <w:t xml:space="preserve"> </w:t>
      </w:r>
      <w:r w:rsidRPr="009A14BE">
        <w:rPr>
          <w:lang w:val="en-US"/>
        </w:rPr>
        <w:t xml:space="preserve">ABS. (2011). Disability Australia 2009. Cat. no. 4446.0. </w:t>
      </w:r>
      <w:r w:rsidRPr="009A14BE">
        <w:rPr>
          <w:rFonts w:ascii="MS Mincho" w:eastAsia="MS Mincho" w:hAnsi="MS Mincho" w:cs="MS Mincho"/>
          <w:lang w:val="en-US"/>
        </w:rPr>
        <w:t> </w:t>
      </w:r>
    </w:p>
  </w:footnote>
  <w:footnote w:id="9">
    <w:p w:rsidR="004F77BF" w:rsidRDefault="004F77BF" w:rsidP="004F77BF">
      <w:pPr>
        <w:pStyle w:val="FootnoteText"/>
      </w:pPr>
      <w:r>
        <w:rPr>
          <w:rStyle w:val="FootnoteReference"/>
        </w:rPr>
        <w:footnoteRef/>
      </w:r>
      <w:r>
        <w:t xml:space="preserve"> </w:t>
      </w:r>
      <w:r w:rsidRPr="00E97328">
        <w:rPr>
          <w:i/>
        </w:rPr>
        <w:t>Willing to Work: Australian Human Rights Commission</w:t>
      </w:r>
      <w:r>
        <w:t>: Issue Paper: Employment discrimination against Australians with disability, 2015</w:t>
      </w:r>
      <w:bookmarkStart w:id="3" w:name="_GoBack"/>
      <w:bookmarkEnd w:id="3"/>
    </w:p>
  </w:footnote>
  <w:footnote w:id="10">
    <w:p w:rsidR="004F77BF" w:rsidRDefault="004F77BF" w:rsidP="004F77BF">
      <w:pPr>
        <w:pStyle w:val="FootnoteText"/>
      </w:pPr>
      <w:r>
        <w:rPr>
          <w:rStyle w:val="FootnoteReference"/>
        </w:rPr>
        <w:footnoteRef/>
      </w:r>
      <w:r w:rsidRPr="00B836F0">
        <w:rPr>
          <w:rStyle w:val="FootnoteReference"/>
        </w:rPr>
        <w:t xml:space="preserve"> </w:t>
      </w:r>
      <w:hyperlink r:id="rId1" w:history="1">
        <w:r w:rsidRPr="00BB5A2B">
          <w:rPr>
            <w:rStyle w:val="Hyperlink"/>
          </w:rPr>
          <w:t>http://www.pwd.org.au/student-section/the-social-model-of-disability.html</w:t>
        </w:r>
      </w:hyperlink>
    </w:p>
  </w:footnote>
  <w:footnote w:id="11">
    <w:p w:rsidR="004F77BF" w:rsidRDefault="004F77BF" w:rsidP="004F77BF">
      <w:pPr>
        <w:pStyle w:val="FootnoteText"/>
      </w:pPr>
      <w:r>
        <w:rPr>
          <w:rStyle w:val="FootnoteReference"/>
        </w:rPr>
        <w:footnoteRef/>
      </w:r>
      <w:r>
        <w:t xml:space="preserve"> </w:t>
      </w:r>
      <w:hyperlink r:id="rId2" w:history="1">
        <w:r w:rsidRPr="00C9459E">
          <w:rPr>
            <w:rStyle w:val="Hyperlink"/>
          </w:rPr>
          <w:t>https://www.summerfoundation.org.au/what-we-do/the-issue/</w:t>
        </w:r>
      </w:hyperlink>
    </w:p>
  </w:footnote>
  <w:footnote w:id="12">
    <w:p w:rsidR="004F77BF" w:rsidRDefault="004F77BF" w:rsidP="004F77BF">
      <w:pPr>
        <w:pStyle w:val="FootnoteText"/>
      </w:pPr>
      <w:r>
        <w:rPr>
          <w:rStyle w:val="FootnoteReference"/>
        </w:rPr>
        <w:footnoteRef/>
      </w:r>
      <w:r>
        <w:t xml:space="preserve"> </w:t>
      </w:r>
      <w:r w:rsidRPr="0056687A">
        <w:rPr>
          <w:i/>
        </w:rPr>
        <w:t>Equal before the law: towards disability justice strategies</w:t>
      </w:r>
      <w:r>
        <w:t>, Australian Human Rights Commission, February 2014</w:t>
      </w:r>
    </w:p>
  </w:footnote>
  <w:footnote w:id="13">
    <w:p w:rsidR="004F77BF" w:rsidRPr="00B836F0" w:rsidRDefault="004F77BF" w:rsidP="004F77BF">
      <w:pPr>
        <w:pStyle w:val="FootnoteText"/>
        <w:rPr>
          <w:lang w:val="en-US"/>
        </w:rPr>
      </w:pPr>
      <w:r>
        <w:rPr>
          <w:rStyle w:val="FootnoteReference"/>
        </w:rPr>
        <w:footnoteRef/>
      </w:r>
      <w:r>
        <w:t xml:space="preserve"> </w:t>
      </w:r>
      <w:r w:rsidRPr="009A14BE">
        <w:rPr>
          <w:lang w:val="en-US"/>
        </w:rPr>
        <w:t xml:space="preserve">ABS. (2011). Disability Australia 2009. Cat. no. 4446.0. </w:t>
      </w:r>
      <w:r w:rsidRPr="009A14BE">
        <w:rPr>
          <w:rFonts w:ascii="MS Mincho" w:eastAsia="MS Mincho" w:hAnsi="MS Mincho" w:cs="MS Mincho"/>
          <w:lang w:val="en-US"/>
        </w:rPr>
        <w:t> </w:t>
      </w:r>
    </w:p>
  </w:footnote>
  <w:footnote w:id="14">
    <w:p w:rsidR="004F77BF" w:rsidRDefault="004F77BF" w:rsidP="004F77BF">
      <w:pPr>
        <w:pStyle w:val="FootnoteText"/>
      </w:pPr>
      <w:r>
        <w:rPr>
          <w:rStyle w:val="FootnoteReference"/>
        </w:rPr>
        <w:footnoteRef/>
      </w:r>
      <w:r>
        <w:t xml:space="preserve"> </w:t>
      </w:r>
      <w:r w:rsidRPr="008340C1">
        <w:rPr>
          <w:i/>
        </w:rPr>
        <w:t>Willing to Work</w:t>
      </w:r>
      <w:r w:rsidRPr="008340C1">
        <w:t xml:space="preserve">: </w:t>
      </w:r>
      <w:r w:rsidRPr="008340C1">
        <w:rPr>
          <w:i/>
        </w:rPr>
        <w:t>Issue Paper: Employment discrimination against Australians with disability</w:t>
      </w:r>
      <w:r>
        <w:rPr>
          <w:i/>
        </w:rPr>
        <w:t>,</w:t>
      </w:r>
      <w:r w:rsidRPr="008340C1">
        <w:rPr>
          <w:i/>
        </w:rPr>
        <w:t xml:space="preserve"> </w:t>
      </w:r>
      <w:r w:rsidRPr="008340C1">
        <w:t>Australian Human Rights Commission</w:t>
      </w:r>
      <w:r>
        <w:t>, 2015</w:t>
      </w:r>
    </w:p>
  </w:footnote>
  <w:footnote w:id="15">
    <w:p w:rsidR="004F77BF" w:rsidRDefault="004F77BF" w:rsidP="004F77BF">
      <w:pPr>
        <w:pStyle w:val="FootnoteText"/>
      </w:pPr>
      <w:r>
        <w:rPr>
          <w:rStyle w:val="FootnoteReference"/>
        </w:rPr>
        <w:footnoteRef/>
      </w:r>
      <w:r>
        <w:t xml:space="preserve"> </w:t>
      </w:r>
      <w:r w:rsidRPr="009A36EC">
        <w:rPr>
          <w:i/>
          <w:lang w:val="en-US"/>
        </w:rPr>
        <w:t>The Walk Away Pound Survey</w:t>
      </w:r>
      <w:r w:rsidRPr="009A36EC">
        <w:rPr>
          <w:lang w:val="en-US"/>
        </w:rPr>
        <w:t>, Employers Forum on Disability and Royal Association for Disability and Rehabilitation (UK), 2006.</w:t>
      </w:r>
    </w:p>
  </w:footnote>
  <w:footnote w:id="16">
    <w:p w:rsidR="004F77BF" w:rsidRDefault="004F77BF" w:rsidP="004F77BF">
      <w:pPr>
        <w:pStyle w:val="FootnoteText"/>
      </w:pPr>
      <w:r>
        <w:rPr>
          <w:rStyle w:val="FootnoteReference"/>
        </w:rPr>
        <w:footnoteRef/>
      </w:r>
      <w:r>
        <w:t xml:space="preserve"> </w:t>
      </w:r>
      <w:r w:rsidRPr="00216485">
        <w:rPr>
          <w:i/>
        </w:rPr>
        <w:t>The economic benefits of increasing employment for people with disability</w:t>
      </w:r>
      <w:r>
        <w:t>, Deloitte Access Economics, August 2011</w:t>
      </w:r>
    </w:p>
  </w:footnote>
  <w:footnote w:id="17">
    <w:p w:rsidR="004F77BF" w:rsidRPr="00216485" w:rsidRDefault="004F77BF" w:rsidP="004F77BF">
      <w:pPr>
        <w:pStyle w:val="NormalWeb"/>
        <w:spacing w:after="0" w:line="240" w:lineRule="auto"/>
        <w:rPr>
          <w:lang w:val="en-US"/>
        </w:rPr>
      </w:pPr>
      <w:r w:rsidRPr="00B836F0">
        <w:rPr>
          <w:rStyle w:val="FootnoteReference"/>
          <w:rFonts w:asciiTheme="minorHAnsi" w:hAnsiTheme="minorHAnsi" w:cstheme="minorBidi"/>
          <w:sz w:val="20"/>
          <w:szCs w:val="20"/>
        </w:rPr>
        <w:footnoteRef/>
      </w:r>
      <w:r w:rsidRPr="00B836F0">
        <w:rPr>
          <w:rStyle w:val="FootnoteReference"/>
          <w:rFonts w:asciiTheme="minorHAnsi" w:hAnsiTheme="minorHAnsi" w:cstheme="minorBidi"/>
          <w:sz w:val="20"/>
          <w:szCs w:val="20"/>
        </w:rPr>
        <w:t xml:space="preserve"> </w:t>
      </w:r>
      <w:r w:rsidRPr="00216485">
        <w:rPr>
          <w:rFonts w:ascii="Calibri" w:hAnsi="Calibri"/>
          <w:sz w:val="22"/>
          <w:szCs w:val="22"/>
          <w:lang w:val="en-US"/>
        </w:rPr>
        <w:t xml:space="preserve">National Disability Strategy 2010-2020 (NDS, 2011) </w:t>
      </w:r>
    </w:p>
  </w:footnote>
  <w:footnote w:id="18">
    <w:p w:rsidR="004F77BF" w:rsidRDefault="004F77BF" w:rsidP="004F77BF">
      <w:pPr>
        <w:pStyle w:val="FootnoteText"/>
      </w:pPr>
      <w:r>
        <w:rPr>
          <w:rStyle w:val="FootnoteReference"/>
        </w:rPr>
        <w:footnoteRef/>
      </w:r>
      <w:r>
        <w:t xml:space="preserve"> Deloitte Access Economics, 2011, op.cit</w:t>
      </w:r>
    </w:p>
  </w:footnote>
  <w:footnote w:id="19">
    <w:p w:rsidR="004F77BF" w:rsidRPr="00E93F06" w:rsidRDefault="004F77BF" w:rsidP="004F77BF">
      <w:pPr>
        <w:pStyle w:val="FootnoteText"/>
        <w:rPr>
          <w:lang w:val="en-US"/>
        </w:rPr>
      </w:pPr>
      <w:r>
        <w:rPr>
          <w:rStyle w:val="FootnoteReference"/>
        </w:rPr>
        <w:footnoteRef/>
      </w:r>
      <w:r>
        <w:t xml:space="preserve"> </w:t>
      </w:r>
      <w:r w:rsidRPr="003A4D3C">
        <w:rPr>
          <w:lang w:val="en-US"/>
        </w:rPr>
        <w:t xml:space="preserve">OECD, 2010, Sickness, Disability and Work: Breaking the Barriers - A Synthesis of </w:t>
      </w:r>
      <w:r>
        <w:rPr>
          <w:lang w:val="en-US"/>
        </w:rPr>
        <w:t xml:space="preserve">Findings across OECD Countries, </w:t>
      </w:r>
      <w:r w:rsidRPr="003A4D3C">
        <w:rPr>
          <w:lang w:val="en-US"/>
        </w:rPr>
        <w:t xml:space="preserve">PwC calculations </w:t>
      </w:r>
      <w:r w:rsidRPr="003A4D3C">
        <w:rPr>
          <w:rFonts w:ascii="MS Mincho" w:eastAsia="MS Mincho" w:hAnsi="MS Mincho" w:cs="MS Mincho"/>
          <w:lang w:val="en-US"/>
        </w:rPr>
        <w:t> </w:t>
      </w:r>
    </w:p>
  </w:footnote>
  <w:footnote w:id="20">
    <w:p w:rsidR="004F77BF" w:rsidRPr="00E93F06" w:rsidRDefault="004F77BF" w:rsidP="004F77BF">
      <w:pPr>
        <w:widowControl w:val="0"/>
        <w:tabs>
          <w:tab w:val="left" w:pos="220"/>
          <w:tab w:val="left" w:pos="720"/>
        </w:tabs>
        <w:autoSpaceDE w:val="0"/>
        <w:autoSpaceDN w:val="0"/>
        <w:adjustRightInd w:val="0"/>
        <w:spacing w:line="260" w:lineRule="atLeast"/>
        <w:rPr>
          <w:rFonts w:ascii="Times" w:hAnsi="Times" w:cs="Times"/>
        </w:rPr>
      </w:pPr>
      <w:r>
        <w:rPr>
          <w:rStyle w:val="FootnoteReference"/>
        </w:rPr>
        <w:footnoteRef/>
      </w:r>
      <w:r>
        <w:t xml:space="preserve"> </w:t>
      </w:r>
      <w:r>
        <w:rPr>
          <w:sz w:val="20"/>
        </w:rPr>
        <w:t>Disability Care and Support, Productivity Commission Inquiry Report. No. 54, 31 July 2011</w:t>
      </w:r>
      <w:r w:rsidRPr="003A4D3C">
        <w:rPr>
          <w:sz w:val="20"/>
        </w:rPr>
        <w:t xml:space="preserve"> </w:t>
      </w:r>
      <w:r w:rsidRPr="003A4D3C">
        <w:rPr>
          <w:rFonts w:ascii="MS Mincho" w:eastAsia="MS Mincho" w:hAnsi="MS Mincho" w:cs="MS Mincho"/>
          <w:sz w:val="20"/>
        </w:rPr>
        <w:t> </w:t>
      </w:r>
    </w:p>
  </w:footnote>
  <w:footnote w:id="21">
    <w:p w:rsidR="004F77BF" w:rsidRDefault="004F77BF" w:rsidP="004F77BF">
      <w:pPr>
        <w:pStyle w:val="FootnoteText"/>
      </w:pPr>
      <w:r>
        <w:rPr>
          <w:rStyle w:val="FootnoteReference"/>
        </w:rPr>
        <w:footnoteRef/>
      </w:r>
      <w:r>
        <w:t xml:space="preserve"> </w:t>
      </w:r>
      <w:r w:rsidRPr="003F49F9">
        <w:rPr>
          <w:i/>
        </w:rPr>
        <w:t>Willing to Work</w:t>
      </w:r>
      <w:r>
        <w:t>, Australian Human Rights Commission, 2015, op cit.</w:t>
      </w:r>
    </w:p>
  </w:footnote>
  <w:footnote w:id="22">
    <w:p w:rsidR="004F77BF" w:rsidRDefault="004F77BF" w:rsidP="004F77BF">
      <w:pPr>
        <w:pStyle w:val="FootnoteText"/>
      </w:pPr>
      <w:r>
        <w:rPr>
          <w:rStyle w:val="FootnoteReference"/>
        </w:rPr>
        <w:footnoteRef/>
      </w:r>
      <w:r>
        <w:t xml:space="preserve"> </w:t>
      </w:r>
      <w:r w:rsidRPr="003C0D40">
        <w:rPr>
          <w:i/>
        </w:rPr>
        <w:t>Disability expectations: Investing in a better life, a strong</w:t>
      </w:r>
      <w:r>
        <w:rPr>
          <w:i/>
        </w:rPr>
        <w:t>er</w:t>
      </w:r>
      <w:r w:rsidRPr="003C0D40">
        <w:rPr>
          <w:i/>
        </w:rPr>
        <w:t xml:space="preserve"> Australia</w:t>
      </w:r>
      <w:r>
        <w:t>, PWC, (November 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C587AA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0ACC9EF0"/>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E12AA7FA"/>
    <w:lvl w:ilvl="0">
      <w:start w:val="1"/>
      <w:numFmt w:val="decimal"/>
      <w:pStyle w:val="ListNumber2"/>
      <w:lvlText w:val="%1."/>
      <w:lvlJc w:val="left"/>
      <w:pPr>
        <w:tabs>
          <w:tab w:val="num" w:pos="643"/>
        </w:tabs>
        <w:ind w:left="643" w:hanging="360"/>
      </w:pPr>
    </w:lvl>
  </w:abstractNum>
  <w:abstractNum w:abstractNumId="3" w15:restartNumberingAfterBreak="0">
    <w:nsid w:val="FFFFFF88"/>
    <w:multiLevelType w:val="singleLevel"/>
    <w:tmpl w:val="51FCA75C"/>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6E288030"/>
    <w:lvl w:ilvl="0">
      <w:start w:val="1"/>
      <w:numFmt w:val="bullet"/>
      <w:pStyle w:val="ListBullet"/>
      <w:lvlText w:val=""/>
      <w:lvlJc w:val="left"/>
      <w:pPr>
        <w:ind w:left="360" w:hanging="360"/>
      </w:pPr>
      <w:rPr>
        <w:rFonts w:ascii="Symbol" w:hAnsi="Symbol" w:hint="default"/>
        <w:color w:val="F9423A"/>
      </w:rPr>
    </w:lvl>
  </w:abstractNum>
  <w:abstractNum w:abstractNumId="5" w15:restartNumberingAfterBreak="0">
    <w:nsid w:val="04CC2BE3"/>
    <w:multiLevelType w:val="hybridMultilevel"/>
    <w:tmpl w:val="D012D1C0"/>
    <w:styleLink w:val="Bullet"/>
    <w:lvl w:ilvl="0" w:tplc="65D2A084">
      <w:start w:val="1"/>
      <w:numFmt w:val="bullet"/>
      <w:lvlText w:val="•"/>
      <w:lvlJc w:val="left"/>
      <w:pPr>
        <w:tabs>
          <w:tab w:val="num" w:pos="238"/>
        </w:tabs>
        <w:ind w:left="598" w:hanging="598"/>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1" w:tplc="9142F6F8">
      <w:start w:val="1"/>
      <w:numFmt w:val="bullet"/>
      <w:lvlText w:val="•"/>
      <w:lvlJc w:val="left"/>
      <w:pPr>
        <w:tabs>
          <w:tab w:val="num" w:pos="462"/>
        </w:tabs>
        <w:ind w:left="822" w:hanging="602"/>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2" w:tplc="1528003C">
      <w:start w:val="1"/>
      <w:numFmt w:val="bullet"/>
      <w:lvlText w:val="•"/>
      <w:lvlJc w:val="left"/>
      <w:pPr>
        <w:tabs>
          <w:tab w:val="num" w:pos="682"/>
        </w:tabs>
        <w:ind w:left="1042" w:hanging="602"/>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3" w:tplc="586225CA">
      <w:start w:val="1"/>
      <w:numFmt w:val="bullet"/>
      <w:lvlText w:val="•"/>
      <w:lvlJc w:val="left"/>
      <w:pPr>
        <w:tabs>
          <w:tab w:val="num" w:pos="902"/>
        </w:tabs>
        <w:ind w:left="1262" w:hanging="602"/>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4" w:tplc="FD369936">
      <w:start w:val="1"/>
      <w:numFmt w:val="bullet"/>
      <w:lvlText w:val="•"/>
      <w:lvlJc w:val="left"/>
      <w:pPr>
        <w:tabs>
          <w:tab w:val="num" w:pos="1122"/>
        </w:tabs>
        <w:ind w:left="1482" w:hanging="602"/>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5" w:tplc="4F5C02CA">
      <w:start w:val="1"/>
      <w:numFmt w:val="bullet"/>
      <w:lvlText w:val="•"/>
      <w:lvlJc w:val="left"/>
      <w:pPr>
        <w:tabs>
          <w:tab w:val="num" w:pos="1342"/>
        </w:tabs>
        <w:ind w:left="1702" w:hanging="602"/>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6" w:tplc="3E68AAF6">
      <w:start w:val="1"/>
      <w:numFmt w:val="bullet"/>
      <w:lvlText w:val="•"/>
      <w:lvlJc w:val="left"/>
      <w:pPr>
        <w:tabs>
          <w:tab w:val="num" w:pos="1562"/>
        </w:tabs>
        <w:ind w:left="1922" w:hanging="602"/>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7" w:tplc="37123350">
      <w:start w:val="1"/>
      <w:numFmt w:val="bullet"/>
      <w:lvlText w:val="•"/>
      <w:lvlJc w:val="left"/>
      <w:pPr>
        <w:tabs>
          <w:tab w:val="num" w:pos="1782"/>
        </w:tabs>
        <w:ind w:left="2142" w:hanging="602"/>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8" w:tplc="F5845B4C">
      <w:start w:val="1"/>
      <w:numFmt w:val="bullet"/>
      <w:lvlText w:val="•"/>
      <w:lvlJc w:val="left"/>
      <w:pPr>
        <w:tabs>
          <w:tab w:val="num" w:pos="2002"/>
        </w:tabs>
        <w:ind w:left="2362" w:hanging="602"/>
      </w:pPr>
      <w:rPr>
        <w:rFonts w:hAnsi="Arial Unicode MS"/>
        <w:caps w:val="0"/>
        <w:smallCaps w:val="0"/>
        <w:strike w:val="0"/>
        <w:dstrike w:val="0"/>
        <w:outline w:val="0"/>
        <w:emboss w:val="0"/>
        <w:imprint w:val="0"/>
        <w:color w:val="7F8685"/>
        <w:spacing w:val="0"/>
        <w:w w:val="100"/>
        <w:kern w:val="0"/>
        <w:position w:val="0"/>
        <w:highlight w:val="none"/>
        <w:vertAlign w:val="baseline"/>
      </w:rPr>
    </w:lvl>
  </w:abstractNum>
  <w:abstractNum w:abstractNumId="6" w15:restartNumberingAfterBreak="0">
    <w:nsid w:val="07D63C65"/>
    <w:multiLevelType w:val="hybridMultilevel"/>
    <w:tmpl w:val="879003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8244E4C"/>
    <w:multiLevelType w:val="hybridMultilevel"/>
    <w:tmpl w:val="0A0E10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653AE2"/>
    <w:multiLevelType w:val="hybridMultilevel"/>
    <w:tmpl w:val="6546AC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4D1EC8"/>
    <w:multiLevelType w:val="hybridMultilevel"/>
    <w:tmpl w:val="3BB88C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0AB55C4"/>
    <w:multiLevelType w:val="hybridMultilevel"/>
    <w:tmpl w:val="04768D18"/>
    <w:lvl w:ilvl="0" w:tplc="0C090001">
      <w:start w:val="1"/>
      <w:numFmt w:val="bullet"/>
      <w:lvlText w:val=""/>
      <w:lvlJc w:val="left"/>
      <w:pPr>
        <w:ind w:left="1215" w:hanging="360"/>
      </w:pPr>
      <w:rPr>
        <w:rFonts w:ascii="Symbol" w:hAnsi="Symbol" w:hint="default"/>
      </w:rPr>
    </w:lvl>
    <w:lvl w:ilvl="1" w:tplc="0C090003" w:tentative="1">
      <w:start w:val="1"/>
      <w:numFmt w:val="bullet"/>
      <w:lvlText w:val="o"/>
      <w:lvlJc w:val="left"/>
      <w:pPr>
        <w:ind w:left="1935" w:hanging="360"/>
      </w:pPr>
      <w:rPr>
        <w:rFonts w:ascii="Courier New" w:hAnsi="Courier New" w:cs="Courier New" w:hint="default"/>
      </w:rPr>
    </w:lvl>
    <w:lvl w:ilvl="2" w:tplc="0C090005" w:tentative="1">
      <w:start w:val="1"/>
      <w:numFmt w:val="bullet"/>
      <w:lvlText w:val=""/>
      <w:lvlJc w:val="left"/>
      <w:pPr>
        <w:ind w:left="2655" w:hanging="360"/>
      </w:pPr>
      <w:rPr>
        <w:rFonts w:ascii="Wingdings" w:hAnsi="Wingdings" w:hint="default"/>
      </w:rPr>
    </w:lvl>
    <w:lvl w:ilvl="3" w:tplc="0C090001" w:tentative="1">
      <w:start w:val="1"/>
      <w:numFmt w:val="bullet"/>
      <w:lvlText w:val=""/>
      <w:lvlJc w:val="left"/>
      <w:pPr>
        <w:ind w:left="3375" w:hanging="360"/>
      </w:pPr>
      <w:rPr>
        <w:rFonts w:ascii="Symbol" w:hAnsi="Symbol" w:hint="default"/>
      </w:rPr>
    </w:lvl>
    <w:lvl w:ilvl="4" w:tplc="0C090003" w:tentative="1">
      <w:start w:val="1"/>
      <w:numFmt w:val="bullet"/>
      <w:lvlText w:val="o"/>
      <w:lvlJc w:val="left"/>
      <w:pPr>
        <w:ind w:left="4095" w:hanging="360"/>
      </w:pPr>
      <w:rPr>
        <w:rFonts w:ascii="Courier New" w:hAnsi="Courier New" w:cs="Courier New" w:hint="default"/>
      </w:rPr>
    </w:lvl>
    <w:lvl w:ilvl="5" w:tplc="0C090005" w:tentative="1">
      <w:start w:val="1"/>
      <w:numFmt w:val="bullet"/>
      <w:lvlText w:val=""/>
      <w:lvlJc w:val="left"/>
      <w:pPr>
        <w:ind w:left="4815" w:hanging="360"/>
      </w:pPr>
      <w:rPr>
        <w:rFonts w:ascii="Wingdings" w:hAnsi="Wingdings" w:hint="default"/>
      </w:rPr>
    </w:lvl>
    <w:lvl w:ilvl="6" w:tplc="0C090001" w:tentative="1">
      <w:start w:val="1"/>
      <w:numFmt w:val="bullet"/>
      <w:lvlText w:val=""/>
      <w:lvlJc w:val="left"/>
      <w:pPr>
        <w:ind w:left="5535" w:hanging="360"/>
      </w:pPr>
      <w:rPr>
        <w:rFonts w:ascii="Symbol" w:hAnsi="Symbol" w:hint="default"/>
      </w:rPr>
    </w:lvl>
    <w:lvl w:ilvl="7" w:tplc="0C090003" w:tentative="1">
      <w:start w:val="1"/>
      <w:numFmt w:val="bullet"/>
      <w:lvlText w:val="o"/>
      <w:lvlJc w:val="left"/>
      <w:pPr>
        <w:ind w:left="6255" w:hanging="360"/>
      </w:pPr>
      <w:rPr>
        <w:rFonts w:ascii="Courier New" w:hAnsi="Courier New" w:cs="Courier New" w:hint="default"/>
      </w:rPr>
    </w:lvl>
    <w:lvl w:ilvl="8" w:tplc="0C090005" w:tentative="1">
      <w:start w:val="1"/>
      <w:numFmt w:val="bullet"/>
      <w:lvlText w:val=""/>
      <w:lvlJc w:val="left"/>
      <w:pPr>
        <w:ind w:left="6975" w:hanging="360"/>
      </w:pPr>
      <w:rPr>
        <w:rFonts w:ascii="Wingdings" w:hAnsi="Wingdings" w:hint="default"/>
      </w:rPr>
    </w:lvl>
  </w:abstractNum>
  <w:abstractNum w:abstractNumId="11" w15:restartNumberingAfterBreak="0">
    <w:nsid w:val="78E250F6"/>
    <w:multiLevelType w:val="hybridMultilevel"/>
    <w:tmpl w:val="9E7A3286"/>
    <w:lvl w:ilvl="0" w:tplc="9DCE50F0">
      <w:start w:val="1"/>
      <w:numFmt w:val="decimal"/>
      <w:pStyle w:val="Notes"/>
      <w:lvlText w:val="%1."/>
      <w:lvlJc w:val="left"/>
      <w:pPr>
        <w:ind w:left="720" w:hanging="360"/>
      </w:pPr>
      <w:rPr>
        <w:color w:val="F36E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5"/>
  </w:num>
  <w:num w:numId="10">
    <w:abstractNumId w:val="6"/>
  </w:num>
  <w:num w:numId="11">
    <w:abstractNumId w:val="9"/>
  </w:num>
  <w:num w:numId="12">
    <w:abstractNumId w:val="8"/>
  </w:num>
  <w:num w:numId="13">
    <w:abstractNumId w:val="7"/>
  </w:num>
  <w:num w:numId="14">
    <w:abstractNumId w:val="11"/>
  </w:num>
  <w:num w:numId="15">
    <w:abstractNumId w:val="10"/>
  </w:num>
  <w:num w:numId="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BD0"/>
    <w:rsid w:val="00012921"/>
    <w:rsid w:val="00016D5A"/>
    <w:rsid w:val="00020F27"/>
    <w:rsid w:val="0002419A"/>
    <w:rsid w:val="000242B8"/>
    <w:rsid w:val="00031BEC"/>
    <w:rsid w:val="000353EE"/>
    <w:rsid w:val="00042B45"/>
    <w:rsid w:val="000453E0"/>
    <w:rsid w:val="00047B18"/>
    <w:rsid w:val="00060690"/>
    <w:rsid w:val="00062355"/>
    <w:rsid w:val="00065669"/>
    <w:rsid w:val="0007235F"/>
    <w:rsid w:val="00075800"/>
    <w:rsid w:val="00075D3F"/>
    <w:rsid w:val="00077124"/>
    <w:rsid w:val="000771EB"/>
    <w:rsid w:val="00085B2A"/>
    <w:rsid w:val="00086DF8"/>
    <w:rsid w:val="000A3619"/>
    <w:rsid w:val="000B0F1A"/>
    <w:rsid w:val="000D368F"/>
    <w:rsid w:val="000E13F5"/>
    <w:rsid w:val="000E6788"/>
    <w:rsid w:val="000F0EC9"/>
    <w:rsid w:val="000F19F8"/>
    <w:rsid w:val="000F544B"/>
    <w:rsid w:val="001126D6"/>
    <w:rsid w:val="00113D3F"/>
    <w:rsid w:val="001144B7"/>
    <w:rsid w:val="00115BB1"/>
    <w:rsid w:val="00121498"/>
    <w:rsid w:val="00122C29"/>
    <w:rsid w:val="00125D72"/>
    <w:rsid w:val="001261BE"/>
    <w:rsid w:val="00131E54"/>
    <w:rsid w:val="001323AA"/>
    <w:rsid w:val="00143C33"/>
    <w:rsid w:val="00162C5E"/>
    <w:rsid w:val="00164128"/>
    <w:rsid w:val="00165D75"/>
    <w:rsid w:val="00173238"/>
    <w:rsid w:val="001746F3"/>
    <w:rsid w:val="00181B99"/>
    <w:rsid w:val="00194684"/>
    <w:rsid w:val="001A2874"/>
    <w:rsid w:val="001A4697"/>
    <w:rsid w:val="001B31B3"/>
    <w:rsid w:val="001C4186"/>
    <w:rsid w:val="001C67CC"/>
    <w:rsid w:val="001D1F4F"/>
    <w:rsid w:val="001D497C"/>
    <w:rsid w:val="001D6647"/>
    <w:rsid w:val="001E13A7"/>
    <w:rsid w:val="001E6645"/>
    <w:rsid w:val="001E742A"/>
    <w:rsid w:val="001F1D60"/>
    <w:rsid w:val="001F23AC"/>
    <w:rsid w:val="001F3C58"/>
    <w:rsid w:val="001F4F38"/>
    <w:rsid w:val="001F6B3D"/>
    <w:rsid w:val="00204ABB"/>
    <w:rsid w:val="002058B7"/>
    <w:rsid w:val="002159F4"/>
    <w:rsid w:val="00216485"/>
    <w:rsid w:val="00216EB1"/>
    <w:rsid w:val="00224040"/>
    <w:rsid w:val="002279A0"/>
    <w:rsid w:val="002332FF"/>
    <w:rsid w:val="00244B70"/>
    <w:rsid w:val="00245A09"/>
    <w:rsid w:val="00247FCA"/>
    <w:rsid w:val="00262700"/>
    <w:rsid w:val="00263B4C"/>
    <w:rsid w:val="00267A38"/>
    <w:rsid w:val="00271043"/>
    <w:rsid w:val="00272331"/>
    <w:rsid w:val="00272A5D"/>
    <w:rsid w:val="002749D4"/>
    <w:rsid w:val="002760E3"/>
    <w:rsid w:val="00283532"/>
    <w:rsid w:val="00287EA3"/>
    <w:rsid w:val="0029492F"/>
    <w:rsid w:val="002A0B91"/>
    <w:rsid w:val="002A36A5"/>
    <w:rsid w:val="002A4B22"/>
    <w:rsid w:val="002B3ADA"/>
    <w:rsid w:val="002B7843"/>
    <w:rsid w:val="002C2A56"/>
    <w:rsid w:val="002D76FA"/>
    <w:rsid w:val="002E40EE"/>
    <w:rsid w:val="002E6FB1"/>
    <w:rsid w:val="002F4DDE"/>
    <w:rsid w:val="00300312"/>
    <w:rsid w:val="003012A5"/>
    <w:rsid w:val="003026AD"/>
    <w:rsid w:val="00304351"/>
    <w:rsid w:val="00305739"/>
    <w:rsid w:val="0030693D"/>
    <w:rsid w:val="003069E7"/>
    <w:rsid w:val="00311648"/>
    <w:rsid w:val="00311D98"/>
    <w:rsid w:val="003202A2"/>
    <w:rsid w:val="00320615"/>
    <w:rsid w:val="00321AB1"/>
    <w:rsid w:val="00323208"/>
    <w:rsid w:val="00323222"/>
    <w:rsid w:val="003246B0"/>
    <w:rsid w:val="00336A8D"/>
    <w:rsid w:val="00340801"/>
    <w:rsid w:val="003414A4"/>
    <w:rsid w:val="0034481D"/>
    <w:rsid w:val="00345658"/>
    <w:rsid w:val="00354BC5"/>
    <w:rsid w:val="003660C9"/>
    <w:rsid w:val="00376F23"/>
    <w:rsid w:val="00380AD9"/>
    <w:rsid w:val="0038370F"/>
    <w:rsid w:val="00386A1B"/>
    <w:rsid w:val="003A2690"/>
    <w:rsid w:val="003A4D3C"/>
    <w:rsid w:val="003A510E"/>
    <w:rsid w:val="003B2726"/>
    <w:rsid w:val="003B428A"/>
    <w:rsid w:val="003B4A83"/>
    <w:rsid w:val="003B6C9D"/>
    <w:rsid w:val="003C0D40"/>
    <w:rsid w:val="003C1CC9"/>
    <w:rsid w:val="003C3F31"/>
    <w:rsid w:val="003C50F5"/>
    <w:rsid w:val="003C5635"/>
    <w:rsid w:val="003E35A9"/>
    <w:rsid w:val="003F2B3A"/>
    <w:rsid w:val="003F49F9"/>
    <w:rsid w:val="004011A4"/>
    <w:rsid w:val="00403523"/>
    <w:rsid w:val="004136E9"/>
    <w:rsid w:val="004269A2"/>
    <w:rsid w:val="00431598"/>
    <w:rsid w:val="00434385"/>
    <w:rsid w:val="0044063C"/>
    <w:rsid w:val="00445957"/>
    <w:rsid w:val="00446881"/>
    <w:rsid w:val="00454077"/>
    <w:rsid w:val="00454344"/>
    <w:rsid w:val="00467752"/>
    <w:rsid w:val="00470504"/>
    <w:rsid w:val="00475D65"/>
    <w:rsid w:val="00485257"/>
    <w:rsid w:val="0049231E"/>
    <w:rsid w:val="004A0B46"/>
    <w:rsid w:val="004A0EB2"/>
    <w:rsid w:val="004A2A2E"/>
    <w:rsid w:val="004A5E5C"/>
    <w:rsid w:val="004A5E83"/>
    <w:rsid w:val="004B00EC"/>
    <w:rsid w:val="004B1FF1"/>
    <w:rsid w:val="004B506B"/>
    <w:rsid w:val="004C5769"/>
    <w:rsid w:val="004D299B"/>
    <w:rsid w:val="004D50E6"/>
    <w:rsid w:val="004D534D"/>
    <w:rsid w:val="004E05B1"/>
    <w:rsid w:val="004E1C69"/>
    <w:rsid w:val="004E4E90"/>
    <w:rsid w:val="004E6684"/>
    <w:rsid w:val="004F5EE9"/>
    <w:rsid w:val="004F659A"/>
    <w:rsid w:val="004F77BF"/>
    <w:rsid w:val="00506772"/>
    <w:rsid w:val="00523EB2"/>
    <w:rsid w:val="005541AC"/>
    <w:rsid w:val="005665A8"/>
    <w:rsid w:val="0056687A"/>
    <w:rsid w:val="00570BDE"/>
    <w:rsid w:val="00585F97"/>
    <w:rsid w:val="0058672B"/>
    <w:rsid w:val="00587C73"/>
    <w:rsid w:val="00593B95"/>
    <w:rsid w:val="005A68DD"/>
    <w:rsid w:val="005B10A9"/>
    <w:rsid w:val="005B6294"/>
    <w:rsid w:val="005C3B62"/>
    <w:rsid w:val="005C7A6C"/>
    <w:rsid w:val="005D0B87"/>
    <w:rsid w:val="005D51DC"/>
    <w:rsid w:val="005D5959"/>
    <w:rsid w:val="005D67C4"/>
    <w:rsid w:val="005F34CB"/>
    <w:rsid w:val="006027EA"/>
    <w:rsid w:val="00602C59"/>
    <w:rsid w:val="00603ED1"/>
    <w:rsid w:val="006057E4"/>
    <w:rsid w:val="00607546"/>
    <w:rsid w:val="00621091"/>
    <w:rsid w:val="006320F9"/>
    <w:rsid w:val="00632F31"/>
    <w:rsid w:val="00636E3A"/>
    <w:rsid w:val="00641A13"/>
    <w:rsid w:val="00662E2C"/>
    <w:rsid w:val="00680566"/>
    <w:rsid w:val="00687579"/>
    <w:rsid w:val="00694D6B"/>
    <w:rsid w:val="006954CA"/>
    <w:rsid w:val="0069656A"/>
    <w:rsid w:val="006A0F61"/>
    <w:rsid w:val="006A103E"/>
    <w:rsid w:val="006A1DFE"/>
    <w:rsid w:val="006A324E"/>
    <w:rsid w:val="006A5B93"/>
    <w:rsid w:val="006A6944"/>
    <w:rsid w:val="006A7254"/>
    <w:rsid w:val="006D029D"/>
    <w:rsid w:val="006D04FF"/>
    <w:rsid w:val="006D0ECA"/>
    <w:rsid w:val="006E134B"/>
    <w:rsid w:val="006E1509"/>
    <w:rsid w:val="006E1864"/>
    <w:rsid w:val="006E29C5"/>
    <w:rsid w:val="006E3777"/>
    <w:rsid w:val="006E7D21"/>
    <w:rsid w:val="006E7E08"/>
    <w:rsid w:val="00701F56"/>
    <w:rsid w:val="00702A9B"/>
    <w:rsid w:val="00710DDB"/>
    <w:rsid w:val="007112BE"/>
    <w:rsid w:val="00712D5D"/>
    <w:rsid w:val="007132CC"/>
    <w:rsid w:val="00715665"/>
    <w:rsid w:val="00720F3F"/>
    <w:rsid w:val="00721339"/>
    <w:rsid w:val="007254FE"/>
    <w:rsid w:val="007306CE"/>
    <w:rsid w:val="00732968"/>
    <w:rsid w:val="00734AAB"/>
    <w:rsid w:val="00741588"/>
    <w:rsid w:val="00742616"/>
    <w:rsid w:val="00752594"/>
    <w:rsid w:val="00752FBD"/>
    <w:rsid w:val="007574FE"/>
    <w:rsid w:val="007609B4"/>
    <w:rsid w:val="00763A84"/>
    <w:rsid w:val="00766DC2"/>
    <w:rsid w:val="0076704F"/>
    <w:rsid w:val="007676D5"/>
    <w:rsid w:val="007753F4"/>
    <w:rsid w:val="00780E14"/>
    <w:rsid w:val="007859A7"/>
    <w:rsid w:val="00791D21"/>
    <w:rsid w:val="0079623D"/>
    <w:rsid w:val="0079752E"/>
    <w:rsid w:val="007A099B"/>
    <w:rsid w:val="007A1385"/>
    <w:rsid w:val="007A4C4C"/>
    <w:rsid w:val="007A5D5E"/>
    <w:rsid w:val="007B0379"/>
    <w:rsid w:val="007B139B"/>
    <w:rsid w:val="007B72FE"/>
    <w:rsid w:val="007C01D9"/>
    <w:rsid w:val="007C2981"/>
    <w:rsid w:val="007C3A5F"/>
    <w:rsid w:val="007F73A2"/>
    <w:rsid w:val="007F7C9B"/>
    <w:rsid w:val="00800602"/>
    <w:rsid w:val="00800CCF"/>
    <w:rsid w:val="00803289"/>
    <w:rsid w:val="00805CE4"/>
    <w:rsid w:val="00805EF1"/>
    <w:rsid w:val="00806F15"/>
    <w:rsid w:val="008149E4"/>
    <w:rsid w:val="0081655F"/>
    <w:rsid w:val="008177FC"/>
    <w:rsid w:val="008257AC"/>
    <w:rsid w:val="008340C1"/>
    <w:rsid w:val="00846B28"/>
    <w:rsid w:val="00850D22"/>
    <w:rsid w:val="008531E2"/>
    <w:rsid w:val="008542DA"/>
    <w:rsid w:val="00857494"/>
    <w:rsid w:val="008613DA"/>
    <w:rsid w:val="0087126B"/>
    <w:rsid w:val="00874250"/>
    <w:rsid w:val="008771B9"/>
    <w:rsid w:val="00885048"/>
    <w:rsid w:val="00891A46"/>
    <w:rsid w:val="0089546B"/>
    <w:rsid w:val="008A5BA5"/>
    <w:rsid w:val="008B17D1"/>
    <w:rsid w:val="008B30FB"/>
    <w:rsid w:val="008B5145"/>
    <w:rsid w:val="008C307E"/>
    <w:rsid w:val="008C5AB3"/>
    <w:rsid w:val="008D4152"/>
    <w:rsid w:val="008D4A8B"/>
    <w:rsid w:val="008D50FF"/>
    <w:rsid w:val="008E1061"/>
    <w:rsid w:val="008E37A9"/>
    <w:rsid w:val="008E383C"/>
    <w:rsid w:val="008E7494"/>
    <w:rsid w:val="008F0C7A"/>
    <w:rsid w:val="008F2E9A"/>
    <w:rsid w:val="008F4ADB"/>
    <w:rsid w:val="00900845"/>
    <w:rsid w:val="00901ED7"/>
    <w:rsid w:val="00903C87"/>
    <w:rsid w:val="0091036E"/>
    <w:rsid w:val="00910DF6"/>
    <w:rsid w:val="00914BC7"/>
    <w:rsid w:val="00916075"/>
    <w:rsid w:val="00917282"/>
    <w:rsid w:val="00924F59"/>
    <w:rsid w:val="0092556A"/>
    <w:rsid w:val="0093142D"/>
    <w:rsid w:val="00931DC8"/>
    <w:rsid w:val="009329FE"/>
    <w:rsid w:val="00937A77"/>
    <w:rsid w:val="00941906"/>
    <w:rsid w:val="00942931"/>
    <w:rsid w:val="0094431E"/>
    <w:rsid w:val="009520BD"/>
    <w:rsid w:val="009545DC"/>
    <w:rsid w:val="00954F06"/>
    <w:rsid w:val="00955AD3"/>
    <w:rsid w:val="00962D5A"/>
    <w:rsid w:val="00962F42"/>
    <w:rsid w:val="00964EA7"/>
    <w:rsid w:val="00966321"/>
    <w:rsid w:val="00976E58"/>
    <w:rsid w:val="00984F88"/>
    <w:rsid w:val="009949B5"/>
    <w:rsid w:val="00996A69"/>
    <w:rsid w:val="00997E26"/>
    <w:rsid w:val="009A14BE"/>
    <w:rsid w:val="009A36EC"/>
    <w:rsid w:val="009A6D0B"/>
    <w:rsid w:val="009B2400"/>
    <w:rsid w:val="009B2B65"/>
    <w:rsid w:val="009C4C4B"/>
    <w:rsid w:val="009E30DC"/>
    <w:rsid w:val="009E39A7"/>
    <w:rsid w:val="009E675A"/>
    <w:rsid w:val="00A2087A"/>
    <w:rsid w:val="00A2105E"/>
    <w:rsid w:val="00A30A1F"/>
    <w:rsid w:val="00A318C9"/>
    <w:rsid w:val="00A37793"/>
    <w:rsid w:val="00A45995"/>
    <w:rsid w:val="00A540D8"/>
    <w:rsid w:val="00A54B24"/>
    <w:rsid w:val="00A56838"/>
    <w:rsid w:val="00A57185"/>
    <w:rsid w:val="00A71E56"/>
    <w:rsid w:val="00A7286E"/>
    <w:rsid w:val="00A76354"/>
    <w:rsid w:val="00A84E9F"/>
    <w:rsid w:val="00A9251A"/>
    <w:rsid w:val="00A9336C"/>
    <w:rsid w:val="00A93DBD"/>
    <w:rsid w:val="00A97A9C"/>
    <w:rsid w:val="00A97E16"/>
    <w:rsid w:val="00AA2400"/>
    <w:rsid w:val="00AA4685"/>
    <w:rsid w:val="00AA5B39"/>
    <w:rsid w:val="00AB4E3E"/>
    <w:rsid w:val="00AB6F82"/>
    <w:rsid w:val="00AC2CB4"/>
    <w:rsid w:val="00AE09FA"/>
    <w:rsid w:val="00AE2D39"/>
    <w:rsid w:val="00AF5B9F"/>
    <w:rsid w:val="00AF7391"/>
    <w:rsid w:val="00AF74EA"/>
    <w:rsid w:val="00B03C2B"/>
    <w:rsid w:val="00B06AEA"/>
    <w:rsid w:val="00B077E3"/>
    <w:rsid w:val="00B132DA"/>
    <w:rsid w:val="00B15406"/>
    <w:rsid w:val="00B24834"/>
    <w:rsid w:val="00B24D6D"/>
    <w:rsid w:val="00B25341"/>
    <w:rsid w:val="00B264B4"/>
    <w:rsid w:val="00B3186D"/>
    <w:rsid w:val="00B3594C"/>
    <w:rsid w:val="00B617D0"/>
    <w:rsid w:val="00B638C1"/>
    <w:rsid w:val="00B63D4C"/>
    <w:rsid w:val="00B7075B"/>
    <w:rsid w:val="00B72528"/>
    <w:rsid w:val="00B836E7"/>
    <w:rsid w:val="00B836F0"/>
    <w:rsid w:val="00B84BD0"/>
    <w:rsid w:val="00B84D50"/>
    <w:rsid w:val="00B85004"/>
    <w:rsid w:val="00B91259"/>
    <w:rsid w:val="00B93F2B"/>
    <w:rsid w:val="00B95094"/>
    <w:rsid w:val="00B96E76"/>
    <w:rsid w:val="00BA1B5C"/>
    <w:rsid w:val="00BA3896"/>
    <w:rsid w:val="00BB05F9"/>
    <w:rsid w:val="00BB5A2B"/>
    <w:rsid w:val="00BC3DD7"/>
    <w:rsid w:val="00BC5B31"/>
    <w:rsid w:val="00BD193D"/>
    <w:rsid w:val="00C006C5"/>
    <w:rsid w:val="00C10DD6"/>
    <w:rsid w:val="00C15151"/>
    <w:rsid w:val="00C21C99"/>
    <w:rsid w:val="00C2328B"/>
    <w:rsid w:val="00C2734F"/>
    <w:rsid w:val="00C37FFD"/>
    <w:rsid w:val="00C408CA"/>
    <w:rsid w:val="00C42574"/>
    <w:rsid w:val="00C47E41"/>
    <w:rsid w:val="00C50CC1"/>
    <w:rsid w:val="00C71EE9"/>
    <w:rsid w:val="00C75D52"/>
    <w:rsid w:val="00C77F22"/>
    <w:rsid w:val="00C827B4"/>
    <w:rsid w:val="00C91198"/>
    <w:rsid w:val="00C92406"/>
    <w:rsid w:val="00C9459E"/>
    <w:rsid w:val="00CC003E"/>
    <w:rsid w:val="00CC528C"/>
    <w:rsid w:val="00CC746A"/>
    <w:rsid w:val="00CC794E"/>
    <w:rsid w:val="00CD13CE"/>
    <w:rsid w:val="00CD2941"/>
    <w:rsid w:val="00CD3FC1"/>
    <w:rsid w:val="00CD7661"/>
    <w:rsid w:val="00CE438F"/>
    <w:rsid w:val="00CE5BC3"/>
    <w:rsid w:val="00CE65C1"/>
    <w:rsid w:val="00CE688A"/>
    <w:rsid w:val="00CF2919"/>
    <w:rsid w:val="00CF3218"/>
    <w:rsid w:val="00CF48C6"/>
    <w:rsid w:val="00CF5B04"/>
    <w:rsid w:val="00CF6230"/>
    <w:rsid w:val="00D1488F"/>
    <w:rsid w:val="00D27345"/>
    <w:rsid w:val="00D32CC7"/>
    <w:rsid w:val="00D33331"/>
    <w:rsid w:val="00D37E99"/>
    <w:rsid w:val="00D442BB"/>
    <w:rsid w:val="00D7394B"/>
    <w:rsid w:val="00D744B8"/>
    <w:rsid w:val="00D746E3"/>
    <w:rsid w:val="00D74888"/>
    <w:rsid w:val="00D77C8F"/>
    <w:rsid w:val="00D835D5"/>
    <w:rsid w:val="00DC09EC"/>
    <w:rsid w:val="00DC4C70"/>
    <w:rsid w:val="00DC6630"/>
    <w:rsid w:val="00DC7B13"/>
    <w:rsid w:val="00DD1F51"/>
    <w:rsid w:val="00DD21ED"/>
    <w:rsid w:val="00DD3D6E"/>
    <w:rsid w:val="00DD5289"/>
    <w:rsid w:val="00DD773D"/>
    <w:rsid w:val="00DE0F3F"/>
    <w:rsid w:val="00DE3EE1"/>
    <w:rsid w:val="00DF4720"/>
    <w:rsid w:val="00DF7A72"/>
    <w:rsid w:val="00E06B03"/>
    <w:rsid w:val="00E07C4E"/>
    <w:rsid w:val="00E10667"/>
    <w:rsid w:val="00E200FA"/>
    <w:rsid w:val="00E2485A"/>
    <w:rsid w:val="00E26AA0"/>
    <w:rsid w:val="00E3053E"/>
    <w:rsid w:val="00E32887"/>
    <w:rsid w:val="00E34897"/>
    <w:rsid w:val="00E40706"/>
    <w:rsid w:val="00E43170"/>
    <w:rsid w:val="00E45718"/>
    <w:rsid w:val="00E5006C"/>
    <w:rsid w:val="00E53F2A"/>
    <w:rsid w:val="00E5736D"/>
    <w:rsid w:val="00E623CC"/>
    <w:rsid w:val="00E62A63"/>
    <w:rsid w:val="00E62C96"/>
    <w:rsid w:val="00E62CE7"/>
    <w:rsid w:val="00E62EC7"/>
    <w:rsid w:val="00E6323B"/>
    <w:rsid w:val="00E67D13"/>
    <w:rsid w:val="00E7290E"/>
    <w:rsid w:val="00E83470"/>
    <w:rsid w:val="00E855C6"/>
    <w:rsid w:val="00E86F5A"/>
    <w:rsid w:val="00E91B28"/>
    <w:rsid w:val="00E93F06"/>
    <w:rsid w:val="00E94A14"/>
    <w:rsid w:val="00E9663D"/>
    <w:rsid w:val="00E97328"/>
    <w:rsid w:val="00EA212D"/>
    <w:rsid w:val="00EB4E19"/>
    <w:rsid w:val="00EB6931"/>
    <w:rsid w:val="00EC6612"/>
    <w:rsid w:val="00ED060E"/>
    <w:rsid w:val="00ED0799"/>
    <w:rsid w:val="00ED5F15"/>
    <w:rsid w:val="00EE3CF5"/>
    <w:rsid w:val="00EF460D"/>
    <w:rsid w:val="00F00874"/>
    <w:rsid w:val="00F02160"/>
    <w:rsid w:val="00F057A1"/>
    <w:rsid w:val="00F064FC"/>
    <w:rsid w:val="00F12E98"/>
    <w:rsid w:val="00F14E00"/>
    <w:rsid w:val="00F17EB3"/>
    <w:rsid w:val="00F23BAD"/>
    <w:rsid w:val="00F435D5"/>
    <w:rsid w:val="00F479DB"/>
    <w:rsid w:val="00F47AEE"/>
    <w:rsid w:val="00F526BB"/>
    <w:rsid w:val="00F5271F"/>
    <w:rsid w:val="00F5788A"/>
    <w:rsid w:val="00F671AA"/>
    <w:rsid w:val="00F679E0"/>
    <w:rsid w:val="00F67A25"/>
    <w:rsid w:val="00F717AB"/>
    <w:rsid w:val="00F718D7"/>
    <w:rsid w:val="00F71C02"/>
    <w:rsid w:val="00F77A94"/>
    <w:rsid w:val="00F80847"/>
    <w:rsid w:val="00FA4B46"/>
    <w:rsid w:val="00FB50D1"/>
    <w:rsid w:val="00FB76EE"/>
    <w:rsid w:val="00FC328E"/>
    <w:rsid w:val="00FC54B5"/>
    <w:rsid w:val="00FC707A"/>
    <w:rsid w:val="00FD5DB1"/>
    <w:rsid w:val="00FD6219"/>
    <w:rsid w:val="00FF454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black"/>
    </o:shapedefaults>
    <o:shapelayout v:ext="edit">
      <o:idmap v:ext="edit" data="1"/>
    </o:shapelayout>
  </w:shapeDefaults>
  <w:decimalSymbol w:val="."/>
  <w:listSeparator w:val=","/>
  <w14:docId w14:val="6AC1326B"/>
  <w15:docId w15:val="{A99225D6-9432-41A8-B280-5EFA040B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4720"/>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1"/>
    <w:qFormat/>
    <w:rsid w:val="00DE3EE1"/>
    <w:pPr>
      <w:spacing w:before="480" w:line="276" w:lineRule="auto"/>
      <w:contextualSpacing/>
      <w:outlineLvl w:val="0"/>
    </w:pPr>
    <w:rPr>
      <w:rFonts w:asciiTheme="minorHAnsi" w:hAnsiTheme="minorHAnsi" w:cstheme="minorBidi"/>
      <w:color w:val="000000" w:themeColor="text2"/>
      <w:sz w:val="48"/>
      <w:szCs w:val="40"/>
      <w:lang w:val="en-AU"/>
    </w:rPr>
  </w:style>
  <w:style w:type="paragraph" w:styleId="Heading2">
    <w:name w:val="heading 2"/>
    <w:basedOn w:val="Normal"/>
    <w:next w:val="Normal"/>
    <w:link w:val="Heading2Char"/>
    <w:uiPriority w:val="2"/>
    <w:qFormat/>
    <w:rsid w:val="005C7A6C"/>
    <w:pPr>
      <w:spacing w:before="200" w:line="276" w:lineRule="auto"/>
      <w:outlineLvl w:val="1"/>
    </w:pPr>
    <w:rPr>
      <w:rFonts w:asciiTheme="minorHAnsi" w:hAnsiTheme="minorHAnsi" w:cstheme="minorBidi"/>
      <w:b/>
      <w:sz w:val="36"/>
      <w:szCs w:val="33"/>
      <w:lang w:val="en-AU"/>
    </w:rPr>
  </w:style>
  <w:style w:type="paragraph" w:styleId="Heading3">
    <w:name w:val="heading 3"/>
    <w:basedOn w:val="Normal"/>
    <w:next w:val="Normal"/>
    <w:link w:val="Heading3Char"/>
    <w:uiPriority w:val="3"/>
    <w:qFormat/>
    <w:rsid w:val="004D299B"/>
    <w:pPr>
      <w:spacing w:before="60" w:line="276" w:lineRule="auto"/>
      <w:outlineLvl w:val="2"/>
    </w:pPr>
    <w:rPr>
      <w:rFonts w:asciiTheme="minorHAnsi" w:hAnsiTheme="minorHAnsi" w:cstheme="minorBidi"/>
      <w:sz w:val="32"/>
      <w:szCs w:val="32"/>
      <w:lang w:val="en-AU"/>
    </w:rPr>
  </w:style>
  <w:style w:type="paragraph" w:styleId="Heading4">
    <w:name w:val="heading 4"/>
    <w:basedOn w:val="Normal"/>
    <w:next w:val="Normal"/>
    <w:link w:val="Heading4Char"/>
    <w:uiPriority w:val="4"/>
    <w:qFormat/>
    <w:rsid w:val="004D299B"/>
    <w:pPr>
      <w:keepNext/>
      <w:keepLines/>
      <w:spacing w:before="20" w:line="276" w:lineRule="auto"/>
      <w:outlineLvl w:val="3"/>
    </w:pPr>
    <w:rPr>
      <w:rFonts w:asciiTheme="majorHAnsi" w:eastAsiaTheme="majorEastAsia" w:hAnsiTheme="majorHAnsi" w:cstheme="majorBidi"/>
      <w:b/>
      <w:bCs/>
      <w:iCs/>
      <w:color w:val="000000" w:themeColor="accent1"/>
      <w:lang w:val="en-AU"/>
    </w:rPr>
  </w:style>
  <w:style w:type="paragraph" w:styleId="Heading5">
    <w:name w:val="heading 5"/>
    <w:basedOn w:val="Normal"/>
    <w:next w:val="Normal"/>
    <w:link w:val="Heading5Char"/>
    <w:uiPriority w:val="5"/>
    <w:qFormat/>
    <w:rsid w:val="002E40EE"/>
    <w:pPr>
      <w:keepNext/>
      <w:keepLines/>
      <w:spacing w:before="40" w:line="276" w:lineRule="auto"/>
      <w:outlineLvl w:val="4"/>
    </w:pPr>
    <w:rPr>
      <w:rFonts w:asciiTheme="majorHAnsi" w:eastAsiaTheme="majorEastAsia" w:hAnsiTheme="majorHAnsi" w:cstheme="majorBidi"/>
      <w:b/>
      <w:i/>
      <w:color w:val="000000" w:themeColor="accent1" w:themeShade="7F"/>
      <w:sz w:val="22"/>
      <w:szCs w:val="20"/>
      <w:lang w:val="en-AU"/>
    </w:rPr>
  </w:style>
  <w:style w:type="paragraph" w:styleId="Heading6">
    <w:name w:val="heading 6"/>
    <w:basedOn w:val="Normal"/>
    <w:next w:val="Normal"/>
    <w:link w:val="Heading6Char"/>
    <w:uiPriority w:val="6"/>
    <w:unhideWhenUsed/>
    <w:qFormat/>
    <w:rsid w:val="00012921"/>
    <w:pPr>
      <w:keepNext/>
      <w:keepLines/>
      <w:spacing w:before="200" w:line="276" w:lineRule="auto"/>
      <w:outlineLvl w:val="5"/>
    </w:pPr>
    <w:rPr>
      <w:rFonts w:asciiTheme="majorHAnsi" w:eastAsiaTheme="majorEastAsia" w:hAnsiTheme="majorHAnsi" w:cstheme="majorBidi"/>
      <w:iCs/>
      <w:color w:val="000000" w:themeColor="accent1" w:themeShade="7F"/>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4D6B"/>
    <w:rPr>
      <w:color w:val="000000" w:themeColor="text2"/>
      <w:sz w:val="48"/>
      <w:szCs w:val="40"/>
    </w:rPr>
  </w:style>
  <w:style w:type="character" w:customStyle="1" w:styleId="Heading2Char">
    <w:name w:val="Heading 2 Char"/>
    <w:basedOn w:val="DefaultParagraphFont"/>
    <w:link w:val="Heading2"/>
    <w:uiPriority w:val="2"/>
    <w:rsid w:val="005C7A6C"/>
    <w:rPr>
      <w:b/>
      <w:sz w:val="36"/>
      <w:szCs w:val="33"/>
    </w:rPr>
  </w:style>
  <w:style w:type="character" w:customStyle="1" w:styleId="Heading3Char">
    <w:name w:val="Heading 3 Char"/>
    <w:basedOn w:val="DefaultParagraphFont"/>
    <w:link w:val="Heading3"/>
    <w:uiPriority w:val="3"/>
    <w:rsid w:val="004D299B"/>
    <w:rPr>
      <w:sz w:val="32"/>
      <w:szCs w:val="32"/>
    </w:rPr>
  </w:style>
  <w:style w:type="table" w:customStyle="1" w:styleId="EYStandardtable-grey">
    <w:name w:val="EY Standard table - grey"/>
    <w:basedOn w:val="TableNormal"/>
    <w:uiPriority w:val="99"/>
    <w:rsid w:val="00DD5289"/>
    <w:pPr>
      <w:spacing w:after="0" w:line="240" w:lineRule="auto"/>
    </w:pPr>
    <w:rPr>
      <w:rFonts w:ascii="Times New Roman" w:eastAsia="Times New Roman" w:hAnsi="Times New Roman" w:cs="Times New Roman"/>
      <w:sz w:val="20"/>
      <w:szCs w:val="20"/>
      <w:lang w:eastAsia="en-AU"/>
    </w:rPr>
    <w:tblPr>
      <w:tblBorders>
        <w:insideH w:val="single" w:sz="4" w:space="0" w:color="999999" w:themeColor="accent2"/>
      </w:tblBorders>
    </w:tblPr>
    <w:tblStylePr w:type="firstRow">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accent1"/>
      </w:tcPr>
    </w:tblStylePr>
  </w:style>
  <w:style w:type="table" w:customStyle="1" w:styleId="PHAROSShadedText">
    <w:name w:val="PHAROS Shaded Text"/>
    <w:basedOn w:val="TableNormal"/>
    <w:uiPriority w:val="99"/>
    <w:rsid w:val="00085B2A"/>
    <w:pPr>
      <w:spacing w:after="0" w:line="240" w:lineRule="auto"/>
    </w:pPr>
    <w:tblPr>
      <w:tblCellMar>
        <w:top w:w="142" w:type="dxa"/>
        <w:left w:w="142" w:type="dxa"/>
        <w:right w:w="142" w:type="dxa"/>
      </w:tblCellMar>
    </w:tblPr>
    <w:tcPr>
      <w:shd w:val="clear" w:color="auto" w:fill="E6EAEE"/>
    </w:tcPr>
  </w:style>
  <w:style w:type="paragraph" w:styleId="BalloonText">
    <w:name w:val="Balloon Text"/>
    <w:basedOn w:val="Normal"/>
    <w:link w:val="BalloonTextChar"/>
    <w:uiPriority w:val="99"/>
    <w:semiHidden/>
    <w:unhideWhenUsed/>
    <w:rsid w:val="00A318C9"/>
    <w:pPr>
      <w:spacing w:line="276" w:lineRule="auto"/>
    </w:pPr>
    <w:rPr>
      <w:rFonts w:ascii="Tahoma" w:hAnsi="Tahoma" w:cs="Tahoma"/>
      <w:sz w:val="16"/>
      <w:szCs w:val="16"/>
      <w:lang w:val="en-AU"/>
    </w:rPr>
  </w:style>
  <w:style w:type="character" w:customStyle="1" w:styleId="BalloonTextChar">
    <w:name w:val="Balloon Text Char"/>
    <w:basedOn w:val="DefaultParagraphFont"/>
    <w:link w:val="BalloonText"/>
    <w:uiPriority w:val="99"/>
    <w:semiHidden/>
    <w:rsid w:val="00A318C9"/>
    <w:rPr>
      <w:rFonts w:ascii="Tahoma" w:hAnsi="Tahoma" w:cs="Tahoma"/>
      <w:sz w:val="16"/>
      <w:szCs w:val="16"/>
    </w:rPr>
  </w:style>
  <w:style w:type="paragraph" w:styleId="Header">
    <w:name w:val="header"/>
    <w:basedOn w:val="Normal"/>
    <w:link w:val="HeaderChar"/>
    <w:uiPriority w:val="99"/>
    <w:unhideWhenUsed/>
    <w:rsid w:val="00A7286E"/>
    <w:pPr>
      <w:spacing w:after="1680" w:line="840" w:lineRule="exact"/>
    </w:pPr>
    <w:rPr>
      <w:rFonts w:asciiTheme="minorHAnsi" w:hAnsiTheme="minorHAnsi" w:cstheme="minorBidi"/>
      <w:caps/>
      <w:color w:val="000000" w:themeColor="text2"/>
      <w:sz w:val="84"/>
      <w:szCs w:val="84"/>
      <w:lang w:val="en-AU"/>
    </w:rPr>
  </w:style>
  <w:style w:type="character" w:customStyle="1" w:styleId="HeaderChar">
    <w:name w:val="Header Char"/>
    <w:basedOn w:val="DefaultParagraphFont"/>
    <w:link w:val="Header"/>
    <w:uiPriority w:val="99"/>
    <w:rsid w:val="00A7286E"/>
    <w:rPr>
      <w:caps/>
      <w:color w:val="000000" w:themeColor="text2"/>
      <w:sz w:val="84"/>
      <w:szCs w:val="84"/>
    </w:rPr>
  </w:style>
  <w:style w:type="paragraph" w:styleId="Footer">
    <w:name w:val="footer"/>
    <w:basedOn w:val="Normal"/>
    <w:link w:val="FooterChar"/>
    <w:uiPriority w:val="99"/>
    <w:unhideWhenUsed/>
    <w:rsid w:val="00B93F2B"/>
    <w:pPr>
      <w:tabs>
        <w:tab w:val="left" w:pos="255"/>
      </w:tabs>
      <w:autoSpaceDE w:val="0"/>
      <w:autoSpaceDN w:val="0"/>
      <w:adjustRightInd w:val="0"/>
      <w:spacing w:after="113" w:line="200" w:lineRule="atLeast"/>
      <w:textAlignment w:val="center"/>
    </w:pPr>
    <w:rPr>
      <w:rFonts w:asciiTheme="majorHAnsi" w:hAnsiTheme="majorHAnsi" w:cstheme="majorHAnsi"/>
      <w:color w:val="595959" w:themeColor="text1" w:themeTint="A6"/>
      <w:sz w:val="14"/>
      <w:szCs w:val="14"/>
    </w:rPr>
  </w:style>
  <w:style w:type="character" w:customStyle="1" w:styleId="FooterChar">
    <w:name w:val="Footer Char"/>
    <w:basedOn w:val="DefaultParagraphFont"/>
    <w:link w:val="Footer"/>
    <w:uiPriority w:val="99"/>
    <w:rsid w:val="00B93F2B"/>
    <w:rPr>
      <w:rFonts w:asciiTheme="majorHAnsi" w:hAnsiTheme="majorHAnsi" w:cstheme="majorHAnsi"/>
      <w:color w:val="595959" w:themeColor="text1" w:themeTint="A6"/>
      <w:sz w:val="14"/>
      <w:szCs w:val="14"/>
      <w:lang w:val="en-US"/>
    </w:rPr>
  </w:style>
  <w:style w:type="paragraph" w:customStyle="1" w:styleId="1pixel">
    <w:name w:val="1 pixel"/>
    <w:basedOn w:val="Footer"/>
    <w:uiPriority w:val="29"/>
    <w:rsid w:val="00164128"/>
    <w:pPr>
      <w:spacing w:after="0" w:line="240" w:lineRule="auto"/>
    </w:pPr>
    <w:rPr>
      <w:sz w:val="2"/>
      <w:szCs w:val="2"/>
    </w:rPr>
  </w:style>
  <w:style w:type="character" w:styleId="Hyperlink">
    <w:name w:val="Hyperlink"/>
    <w:basedOn w:val="DefaultParagraphFont"/>
    <w:uiPriority w:val="99"/>
    <w:rsid w:val="00E07C4E"/>
    <w:rPr>
      <w:color w:val="0000FF"/>
      <w:u w:val="single" w:color="000000" w:themeColor="text2"/>
    </w:rPr>
  </w:style>
  <w:style w:type="table" w:styleId="TableGrid">
    <w:name w:val="Table Grid"/>
    <w:basedOn w:val="TableNormal"/>
    <w:uiPriority w:val="59"/>
    <w:rsid w:val="008B17D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ReportTitle">
    <w:name w:val="Report Title"/>
    <w:basedOn w:val="Normal"/>
    <w:qFormat/>
    <w:rsid w:val="00C77F22"/>
    <w:pPr>
      <w:spacing w:line="920" w:lineRule="exact"/>
      <w:ind w:right="51"/>
    </w:pPr>
    <w:rPr>
      <w:rFonts w:asciiTheme="minorHAnsi" w:hAnsiTheme="minorHAnsi" w:cstheme="minorBidi"/>
      <w:noProof/>
      <w:sz w:val="76"/>
      <w:szCs w:val="96"/>
      <w:lang w:val="en-AU" w:eastAsia="en-AU"/>
    </w:rPr>
  </w:style>
  <w:style w:type="paragraph" w:customStyle="1" w:styleId="ReportSubtitle">
    <w:name w:val="Report Subtitle"/>
    <w:basedOn w:val="ReportTitle"/>
    <w:qFormat/>
    <w:rsid w:val="000353EE"/>
    <w:pPr>
      <w:spacing w:before="280" w:line="240" w:lineRule="auto"/>
    </w:pPr>
    <w:rPr>
      <w:sz w:val="48"/>
      <w:szCs w:val="48"/>
    </w:rPr>
  </w:style>
  <w:style w:type="paragraph" w:customStyle="1" w:styleId="Pull-outHeading">
    <w:name w:val="Pull-out Heading"/>
    <w:basedOn w:val="Normal"/>
    <w:uiPriority w:val="13"/>
    <w:rsid w:val="00593B95"/>
    <w:pPr>
      <w:pBdr>
        <w:top w:val="single" w:sz="12" w:space="10" w:color="F9423A"/>
        <w:left w:val="single" w:sz="12" w:space="10" w:color="F9423A"/>
        <w:bottom w:val="single" w:sz="12" w:space="10" w:color="F9423A"/>
        <w:right w:val="single" w:sz="12" w:space="10" w:color="F9423A"/>
      </w:pBdr>
      <w:spacing w:after="60" w:line="276" w:lineRule="auto"/>
      <w:ind w:left="227" w:right="227"/>
    </w:pPr>
    <w:rPr>
      <w:rFonts w:asciiTheme="minorHAnsi" w:hAnsiTheme="minorHAnsi" w:cstheme="minorBidi"/>
      <w:b/>
      <w:color w:val="000000" w:themeColor="text2"/>
      <w:sz w:val="28"/>
      <w:szCs w:val="20"/>
      <w:lang w:val="en-AU"/>
    </w:rPr>
  </w:style>
  <w:style w:type="paragraph" w:customStyle="1" w:styleId="Pull-outSubheading">
    <w:name w:val="Pull-out Subheading"/>
    <w:basedOn w:val="Pull-outHeading"/>
    <w:uiPriority w:val="14"/>
    <w:rsid w:val="00CC794E"/>
    <w:pPr>
      <w:spacing w:after="120"/>
    </w:pPr>
    <w:rPr>
      <w:i/>
      <w:color w:val="auto"/>
      <w:sz w:val="24"/>
    </w:rPr>
  </w:style>
  <w:style w:type="paragraph" w:customStyle="1" w:styleId="Pull-outText">
    <w:name w:val="Pull-out Text"/>
    <w:basedOn w:val="Pull-outSubheading"/>
    <w:uiPriority w:val="16"/>
    <w:qFormat/>
    <w:rsid w:val="00E3053E"/>
    <w:rPr>
      <w:b w:val="0"/>
      <w:i w:val="0"/>
      <w:sz w:val="22"/>
    </w:rPr>
  </w:style>
  <w:style w:type="paragraph" w:customStyle="1" w:styleId="PageNumber1">
    <w:name w:val="Page Number1"/>
    <w:basedOn w:val="Footer"/>
    <w:uiPriority w:val="17"/>
    <w:qFormat/>
    <w:rsid w:val="008F0C7A"/>
    <w:pPr>
      <w:jc w:val="right"/>
    </w:pPr>
    <w:rPr>
      <w:noProof/>
      <w:color w:val="000000" w:themeColor="text2"/>
      <w:sz w:val="18"/>
      <w:szCs w:val="18"/>
      <w:lang w:val="en-AU" w:eastAsia="en-AU"/>
    </w:rPr>
  </w:style>
  <w:style w:type="paragraph" w:styleId="TOCHeading">
    <w:name w:val="TOC Heading"/>
    <w:basedOn w:val="Heading1"/>
    <w:next w:val="Normal"/>
    <w:uiPriority w:val="39"/>
    <w:unhideWhenUsed/>
    <w:qFormat/>
    <w:rsid w:val="008F0C7A"/>
    <w:pPr>
      <w:keepNext/>
      <w:keepLines/>
      <w:outlineLvl w:val="9"/>
    </w:pPr>
    <w:rPr>
      <w:rFonts w:eastAsiaTheme="majorEastAsia" w:cstheme="majorBidi"/>
      <w:bCs/>
      <w:szCs w:val="28"/>
      <w:lang w:val="en-US" w:eastAsia="ja-JP"/>
    </w:rPr>
  </w:style>
  <w:style w:type="paragraph" w:styleId="TOC1">
    <w:name w:val="toc 1"/>
    <w:basedOn w:val="Normal"/>
    <w:next w:val="Normal"/>
    <w:autoRedefine/>
    <w:uiPriority w:val="39"/>
    <w:unhideWhenUsed/>
    <w:rsid w:val="00F67A25"/>
    <w:pPr>
      <w:spacing w:after="100" w:line="276" w:lineRule="auto"/>
    </w:pPr>
    <w:rPr>
      <w:rFonts w:asciiTheme="minorHAnsi" w:hAnsiTheme="minorHAnsi" w:cstheme="minorBidi"/>
      <w:sz w:val="22"/>
      <w:szCs w:val="20"/>
      <w:lang w:val="en-AU"/>
    </w:rPr>
  </w:style>
  <w:style w:type="paragraph" w:styleId="TOC2">
    <w:name w:val="toc 2"/>
    <w:basedOn w:val="Normal"/>
    <w:next w:val="Normal"/>
    <w:autoRedefine/>
    <w:uiPriority w:val="39"/>
    <w:unhideWhenUsed/>
    <w:rsid w:val="00F67A25"/>
    <w:pPr>
      <w:spacing w:after="100" w:line="276" w:lineRule="auto"/>
      <w:ind w:left="200"/>
    </w:pPr>
    <w:rPr>
      <w:rFonts w:asciiTheme="minorHAnsi" w:hAnsiTheme="minorHAnsi" w:cstheme="minorBidi"/>
      <w:sz w:val="22"/>
      <w:szCs w:val="20"/>
      <w:lang w:val="en-AU"/>
    </w:rPr>
  </w:style>
  <w:style w:type="paragraph" w:styleId="TOC3">
    <w:name w:val="toc 3"/>
    <w:basedOn w:val="Normal"/>
    <w:next w:val="Normal"/>
    <w:autoRedefine/>
    <w:uiPriority w:val="39"/>
    <w:unhideWhenUsed/>
    <w:rsid w:val="00F67A25"/>
    <w:pPr>
      <w:spacing w:after="100" w:line="276" w:lineRule="auto"/>
      <w:ind w:left="400"/>
    </w:pPr>
    <w:rPr>
      <w:rFonts w:asciiTheme="minorHAnsi" w:hAnsiTheme="minorHAnsi" w:cstheme="minorBidi"/>
      <w:sz w:val="22"/>
      <w:szCs w:val="20"/>
      <w:lang w:val="en-AU"/>
    </w:rPr>
  </w:style>
  <w:style w:type="character" w:customStyle="1" w:styleId="Heading4Char">
    <w:name w:val="Heading 4 Char"/>
    <w:basedOn w:val="DefaultParagraphFont"/>
    <w:link w:val="Heading4"/>
    <w:uiPriority w:val="4"/>
    <w:rsid w:val="004D299B"/>
    <w:rPr>
      <w:rFonts w:asciiTheme="majorHAnsi" w:eastAsiaTheme="majorEastAsia" w:hAnsiTheme="majorHAnsi" w:cstheme="majorBidi"/>
      <w:b/>
      <w:bCs/>
      <w:iCs/>
      <w:color w:val="000000" w:themeColor="accent1"/>
      <w:sz w:val="24"/>
      <w:szCs w:val="24"/>
    </w:rPr>
  </w:style>
  <w:style w:type="character" w:styleId="SubtleEmphasis">
    <w:name w:val="Subtle Emphasis"/>
    <w:basedOn w:val="DefaultParagraphFont"/>
    <w:uiPriority w:val="19"/>
    <w:rsid w:val="008F0C7A"/>
    <w:rPr>
      <w:i/>
      <w:iCs/>
      <w:color w:val="808080" w:themeColor="text1" w:themeTint="7F"/>
    </w:rPr>
  </w:style>
  <w:style w:type="character" w:customStyle="1" w:styleId="Heading5Char">
    <w:name w:val="Heading 5 Char"/>
    <w:basedOn w:val="DefaultParagraphFont"/>
    <w:link w:val="Heading5"/>
    <w:uiPriority w:val="5"/>
    <w:rsid w:val="002E40EE"/>
    <w:rPr>
      <w:rFonts w:asciiTheme="majorHAnsi" w:eastAsiaTheme="majorEastAsia" w:hAnsiTheme="majorHAnsi" w:cstheme="majorBidi"/>
      <w:b/>
      <w:i/>
      <w:color w:val="000000" w:themeColor="accent1" w:themeShade="7F"/>
      <w:szCs w:val="20"/>
    </w:rPr>
  </w:style>
  <w:style w:type="paragraph" w:styleId="ListParagraph">
    <w:name w:val="List Paragraph"/>
    <w:basedOn w:val="Normal"/>
    <w:uiPriority w:val="34"/>
    <w:qFormat/>
    <w:rsid w:val="00846B28"/>
    <w:pPr>
      <w:spacing w:after="120"/>
      <w:ind w:left="720"/>
      <w:contextualSpacing/>
    </w:pPr>
    <w:rPr>
      <w:rFonts w:asciiTheme="minorHAnsi" w:hAnsiTheme="minorHAnsi" w:cstheme="minorBidi"/>
      <w:sz w:val="22"/>
      <w:szCs w:val="20"/>
      <w:lang w:val="en-AU"/>
    </w:rPr>
  </w:style>
  <w:style w:type="paragraph" w:styleId="FootnoteText">
    <w:name w:val="footnote text"/>
    <w:basedOn w:val="Normal"/>
    <w:link w:val="FootnoteTextChar"/>
    <w:uiPriority w:val="99"/>
    <w:unhideWhenUsed/>
    <w:rsid w:val="00846B28"/>
    <w:rPr>
      <w:rFonts w:asciiTheme="minorHAnsi" w:hAnsiTheme="minorHAnsi" w:cstheme="minorBidi"/>
      <w:sz w:val="20"/>
      <w:szCs w:val="20"/>
      <w:lang w:val="en-AU"/>
    </w:rPr>
  </w:style>
  <w:style w:type="character" w:customStyle="1" w:styleId="FootnoteTextChar">
    <w:name w:val="Footnote Text Char"/>
    <w:basedOn w:val="DefaultParagraphFont"/>
    <w:link w:val="FootnoteText"/>
    <w:uiPriority w:val="99"/>
    <w:rsid w:val="00846B28"/>
    <w:rPr>
      <w:sz w:val="20"/>
      <w:szCs w:val="20"/>
    </w:rPr>
  </w:style>
  <w:style w:type="character" w:styleId="FootnoteReference">
    <w:name w:val="footnote reference"/>
    <w:basedOn w:val="DefaultParagraphFont"/>
    <w:uiPriority w:val="99"/>
    <w:unhideWhenUsed/>
    <w:rsid w:val="00846B28"/>
    <w:rPr>
      <w:vertAlign w:val="superscript"/>
    </w:rPr>
  </w:style>
  <w:style w:type="paragraph" w:styleId="Caption">
    <w:name w:val="caption"/>
    <w:basedOn w:val="Normal"/>
    <w:next w:val="Normal"/>
    <w:uiPriority w:val="35"/>
    <w:unhideWhenUsed/>
    <w:qFormat/>
    <w:rsid w:val="00012921"/>
    <w:pPr>
      <w:spacing w:after="140"/>
    </w:pPr>
    <w:rPr>
      <w:rFonts w:asciiTheme="minorHAnsi" w:hAnsiTheme="minorHAnsi" w:cstheme="minorBidi"/>
      <w:b/>
      <w:bCs/>
      <w:color w:val="000000" w:themeColor="accent1"/>
      <w:sz w:val="18"/>
      <w:szCs w:val="18"/>
      <w:lang w:val="en-AU"/>
    </w:rPr>
  </w:style>
  <w:style w:type="character" w:customStyle="1" w:styleId="Heading6Char">
    <w:name w:val="Heading 6 Char"/>
    <w:basedOn w:val="DefaultParagraphFont"/>
    <w:link w:val="Heading6"/>
    <w:uiPriority w:val="6"/>
    <w:rsid w:val="00CC794E"/>
    <w:rPr>
      <w:rFonts w:asciiTheme="majorHAnsi" w:eastAsiaTheme="majorEastAsia" w:hAnsiTheme="majorHAnsi" w:cstheme="majorBidi"/>
      <w:iCs/>
      <w:color w:val="000000" w:themeColor="accent1" w:themeShade="7F"/>
      <w:sz w:val="24"/>
      <w:szCs w:val="20"/>
    </w:rPr>
  </w:style>
  <w:style w:type="character" w:styleId="BookTitle">
    <w:name w:val="Book Title"/>
    <w:basedOn w:val="DefaultParagraphFont"/>
    <w:uiPriority w:val="33"/>
    <w:rsid w:val="00E67D13"/>
    <w:rPr>
      <w:b/>
      <w:bCs/>
      <w:smallCaps/>
      <w:spacing w:val="5"/>
    </w:rPr>
  </w:style>
  <w:style w:type="paragraph" w:customStyle="1" w:styleId="paragraph">
    <w:name w:val="paragraph"/>
    <w:basedOn w:val="Normal"/>
    <w:uiPriority w:val="39"/>
    <w:rsid w:val="006E29C5"/>
    <w:pPr>
      <w:spacing w:before="100" w:beforeAutospacing="1" w:after="100" w:afterAutospacing="1"/>
    </w:pPr>
    <w:rPr>
      <w:rFonts w:eastAsia="Times New Roman"/>
      <w:lang w:val="en-AU" w:eastAsia="en-AU"/>
    </w:rPr>
  </w:style>
  <w:style w:type="character" w:customStyle="1" w:styleId="ng-directive">
    <w:name w:val="ng-directive"/>
    <w:basedOn w:val="DefaultParagraphFont"/>
    <w:uiPriority w:val="39"/>
    <w:rsid w:val="006E29C5"/>
  </w:style>
  <w:style w:type="character" w:styleId="FollowedHyperlink">
    <w:name w:val="FollowedHyperlink"/>
    <w:basedOn w:val="DefaultParagraphFont"/>
    <w:uiPriority w:val="99"/>
    <w:semiHidden/>
    <w:unhideWhenUsed/>
    <w:rsid w:val="00E07C4E"/>
    <w:rPr>
      <w:color w:val="800080" w:themeColor="followedHyperlink"/>
      <w:u w:val="single"/>
    </w:rPr>
  </w:style>
  <w:style w:type="table" w:customStyle="1" w:styleId="Attitude">
    <w:name w:val="Attitude"/>
    <w:basedOn w:val="TableNormal"/>
    <w:uiPriority w:val="99"/>
    <w:rsid w:val="003F2B3A"/>
    <w:pPr>
      <w:spacing w:before="40" w:after="4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rPr>
        <w:b/>
      </w:rPr>
      <w:tblPr/>
      <w:tcPr>
        <w:tcBorders>
          <w:top w:val="single" w:sz="2" w:space="0" w:color="000000" w:themeColor="text1"/>
          <w:left w:val="single" w:sz="2" w:space="0" w:color="000000" w:themeColor="text1"/>
          <w:bottom w:val="single" w:sz="2" w:space="0" w:color="000000" w:themeColor="text1"/>
          <w:right w:val="single" w:sz="2" w:space="0" w:color="000000" w:themeColor="text1"/>
          <w:insideH w:val="nil"/>
          <w:insideV w:val="single" w:sz="2" w:space="0" w:color="000000" w:themeColor="text1"/>
          <w:tl2br w:val="nil"/>
          <w:tr2bl w:val="nil"/>
        </w:tcBorders>
        <w:shd w:val="clear" w:color="auto" w:fill="F9423A"/>
      </w:tcPr>
    </w:tblStylePr>
  </w:style>
  <w:style w:type="paragraph" w:styleId="ListBullet">
    <w:name w:val="List Bullet"/>
    <w:basedOn w:val="Normal"/>
    <w:uiPriority w:val="99"/>
    <w:unhideWhenUsed/>
    <w:qFormat/>
    <w:rsid w:val="003F2B3A"/>
    <w:pPr>
      <w:numPr>
        <w:numId w:val="1"/>
      </w:numPr>
      <w:spacing w:after="140" w:line="276" w:lineRule="auto"/>
      <w:contextualSpacing/>
    </w:pPr>
    <w:rPr>
      <w:rFonts w:asciiTheme="minorHAnsi" w:hAnsiTheme="minorHAnsi" w:cstheme="minorBidi"/>
      <w:sz w:val="22"/>
      <w:szCs w:val="20"/>
      <w:lang w:val="en-AU"/>
    </w:rPr>
  </w:style>
  <w:style w:type="paragraph" w:styleId="ListNumber">
    <w:name w:val="List Number"/>
    <w:basedOn w:val="Normal"/>
    <w:uiPriority w:val="99"/>
    <w:unhideWhenUsed/>
    <w:qFormat/>
    <w:rsid w:val="003F2B3A"/>
    <w:pPr>
      <w:numPr>
        <w:numId w:val="2"/>
      </w:numPr>
      <w:spacing w:after="140" w:line="276" w:lineRule="auto"/>
      <w:contextualSpacing/>
    </w:pPr>
    <w:rPr>
      <w:rFonts w:asciiTheme="minorHAnsi" w:hAnsiTheme="minorHAnsi" w:cstheme="minorBidi"/>
      <w:sz w:val="22"/>
      <w:szCs w:val="20"/>
      <w:lang w:val="en-AU"/>
    </w:rPr>
  </w:style>
  <w:style w:type="paragraph" w:styleId="ListNumber2">
    <w:name w:val="List Number 2"/>
    <w:basedOn w:val="Normal"/>
    <w:uiPriority w:val="99"/>
    <w:unhideWhenUsed/>
    <w:rsid w:val="003F2B3A"/>
    <w:pPr>
      <w:numPr>
        <w:numId w:val="3"/>
      </w:numPr>
      <w:spacing w:after="140" w:line="276" w:lineRule="auto"/>
      <w:contextualSpacing/>
    </w:pPr>
    <w:rPr>
      <w:rFonts w:asciiTheme="minorHAnsi" w:hAnsiTheme="minorHAnsi" w:cstheme="minorBidi"/>
      <w:sz w:val="22"/>
      <w:szCs w:val="20"/>
      <w:lang w:val="en-AU"/>
    </w:rPr>
  </w:style>
  <w:style w:type="paragraph" w:styleId="ListContinue">
    <w:name w:val="List Continue"/>
    <w:basedOn w:val="Normal"/>
    <w:uiPriority w:val="99"/>
    <w:unhideWhenUsed/>
    <w:rsid w:val="003F2B3A"/>
    <w:pPr>
      <w:spacing w:after="120" w:line="276" w:lineRule="auto"/>
      <w:ind w:left="283"/>
      <w:contextualSpacing/>
    </w:pPr>
    <w:rPr>
      <w:rFonts w:asciiTheme="minorHAnsi" w:hAnsiTheme="minorHAnsi" w:cstheme="minorBidi"/>
      <w:sz w:val="22"/>
      <w:szCs w:val="20"/>
      <w:lang w:val="en-AU"/>
    </w:rPr>
  </w:style>
  <w:style w:type="paragraph" w:styleId="ListContinue2">
    <w:name w:val="List Continue 2"/>
    <w:basedOn w:val="Normal"/>
    <w:uiPriority w:val="99"/>
    <w:unhideWhenUsed/>
    <w:rsid w:val="003F2B3A"/>
    <w:pPr>
      <w:spacing w:after="120" w:line="276" w:lineRule="auto"/>
      <w:ind w:left="566"/>
      <w:contextualSpacing/>
    </w:pPr>
    <w:rPr>
      <w:rFonts w:asciiTheme="minorHAnsi" w:hAnsiTheme="minorHAnsi" w:cstheme="minorBidi"/>
      <w:sz w:val="22"/>
      <w:szCs w:val="20"/>
      <w:lang w:val="en-AU"/>
    </w:rPr>
  </w:style>
  <w:style w:type="paragraph" w:styleId="ListContinue3">
    <w:name w:val="List Continue 3"/>
    <w:basedOn w:val="Normal"/>
    <w:uiPriority w:val="99"/>
    <w:unhideWhenUsed/>
    <w:rsid w:val="003F2B3A"/>
    <w:pPr>
      <w:spacing w:after="120" w:line="276" w:lineRule="auto"/>
      <w:ind w:left="849"/>
      <w:contextualSpacing/>
    </w:pPr>
    <w:rPr>
      <w:rFonts w:asciiTheme="minorHAnsi" w:hAnsiTheme="minorHAnsi" w:cstheme="minorBidi"/>
      <w:sz w:val="22"/>
      <w:szCs w:val="20"/>
      <w:lang w:val="en-AU"/>
    </w:rPr>
  </w:style>
  <w:style w:type="paragraph" w:styleId="ListNumber4">
    <w:name w:val="List Number 4"/>
    <w:basedOn w:val="Normal"/>
    <w:uiPriority w:val="99"/>
    <w:unhideWhenUsed/>
    <w:rsid w:val="003F2B3A"/>
    <w:pPr>
      <w:numPr>
        <w:numId w:val="5"/>
      </w:numPr>
      <w:spacing w:after="140" w:line="276" w:lineRule="auto"/>
      <w:contextualSpacing/>
    </w:pPr>
    <w:rPr>
      <w:rFonts w:asciiTheme="minorHAnsi" w:hAnsiTheme="minorHAnsi" w:cstheme="minorBidi"/>
      <w:sz w:val="22"/>
      <w:szCs w:val="20"/>
      <w:lang w:val="en-AU"/>
    </w:rPr>
  </w:style>
  <w:style w:type="paragraph" w:styleId="ListNumber3">
    <w:name w:val="List Number 3"/>
    <w:basedOn w:val="Normal"/>
    <w:uiPriority w:val="99"/>
    <w:unhideWhenUsed/>
    <w:rsid w:val="003F2B3A"/>
    <w:pPr>
      <w:numPr>
        <w:numId w:val="4"/>
      </w:numPr>
      <w:spacing w:after="140" w:line="276" w:lineRule="auto"/>
      <w:contextualSpacing/>
    </w:pPr>
    <w:rPr>
      <w:rFonts w:asciiTheme="minorHAnsi" w:hAnsiTheme="minorHAnsi" w:cstheme="minorBidi"/>
      <w:sz w:val="22"/>
      <w:szCs w:val="20"/>
      <w:lang w:val="en-AU"/>
    </w:rPr>
  </w:style>
  <w:style w:type="character" w:styleId="Strong">
    <w:name w:val="Strong"/>
    <w:basedOn w:val="DefaultParagraphFont"/>
    <w:uiPriority w:val="22"/>
    <w:qFormat/>
    <w:rsid w:val="006A103E"/>
    <w:rPr>
      <w:b/>
      <w:bCs/>
    </w:rPr>
  </w:style>
  <w:style w:type="paragraph" w:customStyle="1" w:styleId="HeaderFooter">
    <w:name w:val="Header &amp; Footer"/>
    <w:rsid w:val="00434385"/>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val="en-US"/>
    </w:rPr>
  </w:style>
  <w:style w:type="paragraph" w:customStyle="1" w:styleId="Heading">
    <w:name w:val="Heading"/>
    <w:next w:val="Body"/>
    <w:rsid w:val="00434385"/>
    <w:pPr>
      <w:pBdr>
        <w:top w:val="nil"/>
        <w:left w:val="nil"/>
        <w:bottom w:val="nil"/>
        <w:right w:val="nil"/>
        <w:between w:val="nil"/>
        <w:bar w:val="nil"/>
      </w:pBdr>
      <w:spacing w:before="480" w:after="0"/>
      <w:outlineLvl w:val="0"/>
    </w:pPr>
    <w:rPr>
      <w:rFonts w:ascii="Arial" w:eastAsia="Arial Unicode MS" w:hAnsi="Arial" w:cs="Arial Unicode MS"/>
      <w:color w:val="000000"/>
      <w:sz w:val="48"/>
      <w:szCs w:val="48"/>
      <w:u w:color="000000"/>
      <w:bdr w:val="nil"/>
      <w:lang w:val="en-US"/>
    </w:rPr>
  </w:style>
  <w:style w:type="paragraph" w:customStyle="1" w:styleId="Body">
    <w:name w:val="Body"/>
    <w:rsid w:val="00434385"/>
    <w:pPr>
      <w:pBdr>
        <w:top w:val="nil"/>
        <w:left w:val="nil"/>
        <w:bottom w:val="nil"/>
        <w:right w:val="nil"/>
        <w:between w:val="nil"/>
        <w:bar w:val="nil"/>
      </w:pBdr>
      <w:spacing w:after="140"/>
    </w:pPr>
    <w:rPr>
      <w:rFonts w:ascii="Arial" w:eastAsia="Arial Unicode MS" w:hAnsi="Arial" w:cs="Arial Unicode MS"/>
      <w:color w:val="000000"/>
      <w:u w:color="000000"/>
      <w:bdr w:val="nil"/>
      <w:lang w:val="en-US"/>
    </w:rPr>
  </w:style>
  <w:style w:type="numbering" w:customStyle="1" w:styleId="Bullet">
    <w:name w:val="Bullet"/>
    <w:rsid w:val="00434385"/>
    <w:pPr>
      <w:numPr>
        <w:numId w:val="9"/>
      </w:numPr>
    </w:pPr>
  </w:style>
  <w:style w:type="character" w:customStyle="1" w:styleId="Link">
    <w:name w:val="Link"/>
    <w:rsid w:val="00434385"/>
    <w:rPr>
      <w:color w:val="0000FF"/>
      <w:u w:val="single" w:color="000000"/>
    </w:rPr>
  </w:style>
  <w:style w:type="character" w:customStyle="1" w:styleId="Hyperlink0">
    <w:name w:val="Hyperlink.0"/>
    <w:basedOn w:val="Link"/>
    <w:rsid w:val="00434385"/>
    <w:rPr>
      <w:b/>
      <w:bCs/>
      <w:color w:val="0000FF"/>
      <w:u w:val="single" w:color="000000"/>
    </w:rPr>
  </w:style>
  <w:style w:type="paragraph" w:customStyle="1" w:styleId="Default">
    <w:name w:val="Default"/>
    <w:rsid w:val="00434385"/>
    <w:pPr>
      <w:pBdr>
        <w:top w:val="nil"/>
        <w:left w:val="nil"/>
        <w:bottom w:val="nil"/>
        <w:right w:val="nil"/>
        <w:between w:val="nil"/>
        <w:bar w:val="nil"/>
      </w:pBdr>
      <w:spacing w:after="0" w:line="240" w:lineRule="auto"/>
    </w:pPr>
    <w:rPr>
      <w:rFonts w:ascii="Helvetica" w:eastAsia="Helvetica" w:hAnsi="Helvetica" w:cs="Helvetica"/>
      <w:color w:val="000000"/>
      <w:bdr w:val="nil"/>
      <w:lang w:val="en-US"/>
    </w:rPr>
  </w:style>
  <w:style w:type="paragraph" w:styleId="PlainText">
    <w:name w:val="Plain Text"/>
    <w:basedOn w:val="Normal"/>
    <w:link w:val="PlainTextChar"/>
    <w:uiPriority w:val="99"/>
    <w:unhideWhenUsed/>
    <w:rsid w:val="006D04FF"/>
    <w:rPr>
      <w:rFonts w:ascii="Calibri" w:eastAsia="Calibri" w:hAnsi="Calibri" w:cs="Consolas"/>
      <w:sz w:val="22"/>
      <w:szCs w:val="21"/>
      <w:lang w:val="en-AU"/>
    </w:rPr>
  </w:style>
  <w:style w:type="character" w:customStyle="1" w:styleId="PlainTextChar">
    <w:name w:val="Plain Text Char"/>
    <w:basedOn w:val="DefaultParagraphFont"/>
    <w:link w:val="PlainText"/>
    <w:uiPriority w:val="99"/>
    <w:rsid w:val="006D04FF"/>
    <w:rPr>
      <w:rFonts w:ascii="Calibri" w:eastAsia="Calibri" w:hAnsi="Calibri" w:cs="Consolas"/>
      <w:szCs w:val="21"/>
    </w:rPr>
  </w:style>
  <w:style w:type="table" w:customStyle="1" w:styleId="TableGrid1">
    <w:name w:val="Table Grid1"/>
    <w:basedOn w:val="TableNormal"/>
    <w:next w:val="TableGrid"/>
    <w:uiPriority w:val="59"/>
    <w:rsid w:val="006D04FF"/>
    <w:pPr>
      <w:spacing w:after="0" w:line="24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rsid w:val="006D04FF"/>
    <w:pPr>
      <w:spacing w:after="200"/>
      <w:jc w:val="both"/>
    </w:pPr>
    <w:rPr>
      <w:rFonts w:ascii="Calibri" w:hAnsi="Calibri" w:cstheme="minorBidi"/>
      <w:sz w:val="22"/>
      <w:szCs w:val="22"/>
    </w:rPr>
  </w:style>
  <w:style w:type="paragraph" w:customStyle="1" w:styleId="xl63">
    <w:name w:val="xl63"/>
    <w:basedOn w:val="Normal"/>
    <w:rsid w:val="00687579"/>
    <w:pPr>
      <w:spacing w:before="100" w:beforeAutospacing="1" w:after="100" w:afterAutospacing="1"/>
      <w:textAlignment w:val="bottom"/>
    </w:pPr>
    <w:rPr>
      <w:rFonts w:ascii="Geneva" w:hAnsi="Geneva"/>
      <w:sz w:val="18"/>
      <w:szCs w:val="18"/>
    </w:rPr>
  </w:style>
  <w:style w:type="paragraph" w:customStyle="1" w:styleId="xl64">
    <w:name w:val="xl64"/>
    <w:basedOn w:val="Normal"/>
    <w:rsid w:val="0068757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rPr>
  </w:style>
  <w:style w:type="paragraph" w:customStyle="1" w:styleId="xl65">
    <w:name w:val="xl65"/>
    <w:basedOn w:val="Normal"/>
    <w:rsid w:val="0068757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8"/>
      <w:szCs w:val="18"/>
    </w:rPr>
  </w:style>
  <w:style w:type="paragraph" w:customStyle="1" w:styleId="xl66">
    <w:name w:val="xl66"/>
    <w:basedOn w:val="Normal"/>
    <w:rsid w:val="00687579"/>
    <w:pPr>
      <w:pBdr>
        <w:top w:val="single" w:sz="4" w:space="0" w:color="000000"/>
        <w:left w:val="single" w:sz="4" w:space="0" w:color="000000"/>
        <w:bottom w:val="single" w:sz="4" w:space="0" w:color="AAAAAA"/>
        <w:right w:val="single" w:sz="4" w:space="0" w:color="000000"/>
      </w:pBdr>
      <w:spacing w:before="100" w:beforeAutospacing="1" w:after="100" w:afterAutospacing="1"/>
      <w:textAlignment w:val="bottom"/>
    </w:pPr>
    <w:rPr>
      <w:rFonts w:ascii="Arial" w:hAnsi="Arial" w:cs="Arial"/>
      <w:sz w:val="18"/>
      <w:szCs w:val="18"/>
    </w:rPr>
  </w:style>
  <w:style w:type="paragraph" w:customStyle="1" w:styleId="xl67">
    <w:name w:val="xl67"/>
    <w:basedOn w:val="Normal"/>
    <w:rsid w:val="0068757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rPr>
  </w:style>
  <w:style w:type="paragraph" w:customStyle="1" w:styleId="xl68">
    <w:name w:val="xl68"/>
    <w:basedOn w:val="Normal"/>
    <w:rsid w:val="00687579"/>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bottom"/>
    </w:pPr>
    <w:rPr>
      <w:rFonts w:ascii="Arial" w:hAnsi="Arial" w:cs="Arial"/>
      <w:b/>
      <w:bCs/>
    </w:rPr>
  </w:style>
  <w:style w:type="paragraph" w:customStyle="1" w:styleId="xl69">
    <w:name w:val="xl69"/>
    <w:basedOn w:val="Normal"/>
    <w:rsid w:val="00687579"/>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textAlignment w:val="bottom"/>
    </w:pPr>
    <w:rPr>
      <w:rFonts w:ascii="Arial" w:hAnsi="Arial" w:cs="Arial"/>
      <w:b/>
      <w:bCs/>
    </w:rPr>
  </w:style>
  <w:style w:type="paragraph" w:customStyle="1" w:styleId="xl70">
    <w:name w:val="xl70"/>
    <w:basedOn w:val="Normal"/>
    <w:rsid w:val="00687579"/>
    <w:pPr>
      <w:pBdr>
        <w:top w:val="single" w:sz="4" w:space="0" w:color="000000"/>
        <w:left w:val="single" w:sz="4" w:space="0" w:color="000000"/>
        <w:bottom w:val="single" w:sz="4" w:space="0" w:color="000000"/>
        <w:right w:val="single" w:sz="4" w:space="0" w:color="000000"/>
      </w:pBdr>
      <w:shd w:val="clear" w:color="000000" w:fill="99CCFF"/>
      <w:spacing w:before="100" w:beforeAutospacing="1" w:after="100" w:afterAutospacing="1"/>
      <w:textAlignment w:val="bottom"/>
    </w:pPr>
    <w:rPr>
      <w:rFonts w:ascii="Arial" w:hAnsi="Arial" w:cs="Arial"/>
      <w:b/>
      <w:bCs/>
    </w:rPr>
  </w:style>
  <w:style w:type="paragraph" w:customStyle="1" w:styleId="xl71">
    <w:name w:val="xl71"/>
    <w:basedOn w:val="Normal"/>
    <w:rsid w:val="00687579"/>
    <w:pPr>
      <w:pBdr>
        <w:top w:val="single" w:sz="4" w:space="0" w:color="000000"/>
        <w:left w:val="single" w:sz="4" w:space="0" w:color="000000"/>
        <w:bottom w:val="single" w:sz="4" w:space="0" w:color="000000"/>
        <w:right w:val="single" w:sz="4" w:space="0" w:color="000000"/>
      </w:pBdr>
      <w:shd w:val="clear" w:color="000000" w:fill="CC99FF"/>
      <w:spacing w:before="100" w:beforeAutospacing="1" w:after="100" w:afterAutospacing="1"/>
      <w:textAlignment w:val="bottom"/>
    </w:pPr>
    <w:rPr>
      <w:rFonts w:ascii="Arial" w:hAnsi="Arial" w:cs="Arial"/>
      <w:b/>
      <w:bCs/>
    </w:rPr>
  </w:style>
  <w:style w:type="paragraph" w:customStyle="1" w:styleId="xl72">
    <w:name w:val="xl72"/>
    <w:basedOn w:val="Normal"/>
    <w:rsid w:val="00687579"/>
    <w:pPr>
      <w:pBdr>
        <w:top w:val="single" w:sz="4" w:space="0" w:color="000000"/>
        <w:left w:val="single" w:sz="4" w:space="0" w:color="000000"/>
        <w:bottom w:val="single" w:sz="4" w:space="0" w:color="000000"/>
        <w:right w:val="single" w:sz="4" w:space="0" w:color="000000"/>
      </w:pBdr>
      <w:shd w:val="clear" w:color="000000" w:fill="993366"/>
      <w:spacing w:before="100" w:beforeAutospacing="1" w:after="100" w:afterAutospacing="1"/>
      <w:textAlignment w:val="bottom"/>
    </w:pPr>
    <w:rPr>
      <w:rFonts w:ascii="Arial" w:hAnsi="Arial" w:cs="Arial"/>
      <w:b/>
      <w:bCs/>
    </w:rPr>
  </w:style>
  <w:style w:type="paragraph" w:customStyle="1" w:styleId="xl73">
    <w:name w:val="xl73"/>
    <w:basedOn w:val="Normal"/>
    <w:rsid w:val="00687579"/>
    <w:pPr>
      <w:pBdr>
        <w:top w:val="single" w:sz="4" w:space="0" w:color="000000"/>
        <w:left w:val="single" w:sz="4" w:space="0" w:color="000000"/>
        <w:bottom w:val="single" w:sz="4" w:space="0" w:color="000000"/>
        <w:right w:val="single" w:sz="4" w:space="0" w:color="000000"/>
      </w:pBdr>
      <w:shd w:val="clear" w:color="000000" w:fill="FF00FF"/>
      <w:spacing w:before="100" w:beforeAutospacing="1" w:after="100" w:afterAutospacing="1"/>
      <w:textAlignment w:val="bottom"/>
    </w:pPr>
    <w:rPr>
      <w:rFonts w:ascii="Arial" w:hAnsi="Arial" w:cs="Arial"/>
      <w:b/>
      <w:bCs/>
    </w:rPr>
  </w:style>
  <w:style w:type="paragraph" w:customStyle="1" w:styleId="xl74">
    <w:name w:val="xl74"/>
    <w:basedOn w:val="Normal"/>
    <w:rsid w:val="00687579"/>
    <w:pPr>
      <w:pBdr>
        <w:top w:val="single" w:sz="4" w:space="0" w:color="000000"/>
        <w:left w:val="single" w:sz="4" w:space="0" w:color="000000"/>
        <w:bottom w:val="single" w:sz="4" w:space="0" w:color="AAAAAA"/>
        <w:right w:val="single" w:sz="4" w:space="0" w:color="AAAAAA"/>
      </w:pBdr>
      <w:spacing w:before="100" w:beforeAutospacing="1" w:after="100" w:afterAutospacing="1"/>
      <w:textAlignment w:val="bottom"/>
    </w:pPr>
  </w:style>
  <w:style w:type="paragraph" w:customStyle="1" w:styleId="xl75">
    <w:name w:val="xl75"/>
    <w:basedOn w:val="Normal"/>
    <w:rsid w:val="00687579"/>
    <w:pPr>
      <w:pBdr>
        <w:top w:val="single" w:sz="4" w:space="0" w:color="000000"/>
        <w:left w:val="single" w:sz="4" w:space="0" w:color="AAAAAA"/>
        <w:bottom w:val="single" w:sz="4" w:space="0" w:color="AAAAAA"/>
        <w:right w:val="single" w:sz="4" w:space="0" w:color="AAAAAA"/>
      </w:pBdr>
      <w:spacing w:before="100" w:beforeAutospacing="1" w:after="100" w:afterAutospacing="1"/>
      <w:textAlignment w:val="bottom"/>
    </w:pPr>
  </w:style>
  <w:style w:type="paragraph" w:customStyle="1" w:styleId="xl76">
    <w:name w:val="xl76"/>
    <w:basedOn w:val="Normal"/>
    <w:rsid w:val="00687579"/>
    <w:pPr>
      <w:pBdr>
        <w:top w:val="single" w:sz="4" w:space="0" w:color="AAAAAA"/>
        <w:left w:val="single" w:sz="4" w:space="0" w:color="AAAAAA"/>
        <w:bottom w:val="single" w:sz="4" w:space="0" w:color="AAAAAA"/>
        <w:right w:val="single" w:sz="4" w:space="0" w:color="AAAAAA"/>
      </w:pBdr>
      <w:spacing w:before="100" w:beforeAutospacing="1" w:after="100" w:afterAutospacing="1"/>
      <w:textAlignment w:val="bottom"/>
    </w:pPr>
    <w:rPr>
      <w:rFonts w:ascii="Arial" w:hAnsi="Arial" w:cs="Arial"/>
      <w:b/>
      <w:bCs/>
      <w:sz w:val="18"/>
      <w:szCs w:val="18"/>
    </w:rPr>
  </w:style>
  <w:style w:type="paragraph" w:customStyle="1" w:styleId="xl77">
    <w:name w:val="xl77"/>
    <w:basedOn w:val="Normal"/>
    <w:rsid w:val="00687579"/>
    <w:pPr>
      <w:pBdr>
        <w:top w:val="single" w:sz="4" w:space="0" w:color="000000"/>
        <w:left w:val="single" w:sz="4" w:space="0" w:color="000000"/>
        <w:bottom w:val="single" w:sz="4" w:space="0" w:color="000000"/>
        <w:right w:val="single" w:sz="4" w:space="0" w:color="000000"/>
      </w:pBdr>
      <w:shd w:val="clear" w:color="000000" w:fill="99CCFF"/>
      <w:spacing w:before="100" w:beforeAutospacing="1" w:after="100" w:afterAutospacing="1"/>
      <w:textAlignment w:val="bottom"/>
    </w:pPr>
    <w:rPr>
      <w:rFonts w:ascii="Arial" w:hAnsi="Arial" w:cs="Arial"/>
      <w:b/>
      <w:bCs/>
    </w:rPr>
  </w:style>
  <w:style w:type="paragraph" w:customStyle="1" w:styleId="xl78">
    <w:name w:val="xl78"/>
    <w:basedOn w:val="Normal"/>
    <w:rsid w:val="00687579"/>
    <w:pPr>
      <w:pBdr>
        <w:top w:val="single" w:sz="4" w:space="0" w:color="000000"/>
        <w:left w:val="single" w:sz="4" w:space="0" w:color="000000"/>
        <w:bottom w:val="single" w:sz="4" w:space="0" w:color="000000"/>
        <w:right w:val="single" w:sz="4" w:space="0" w:color="000000"/>
      </w:pBdr>
      <w:shd w:val="clear" w:color="000000" w:fill="CC99FF"/>
      <w:spacing w:before="100" w:beforeAutospacing="1" w:after="100" w:afterAutospacing="1"/>
      <w:textAlignment w:val="bottom"/>
    </w:pPr>
    <w:rPr>
      <w:rFonts w:ascii="Arial" w:hAnsi="Arial" w:cs="Arial"/>
      <w:b/>
      <w:bCs/>
    </w:rPr>
  </w:style>
  <w:style w:type="paragraph" w:customStyle="1" w:styleId="xl79">
    <w:name w:val="xl79"/>
    <w:basedOn w:val="Normal"/>
    <w:rsid w:val="00687579"/>
    <w:pPr>
      <w:pBdr>
        <w:top w:val="single" w:sz="4" w:space="0" w:color="000000"/>
        <w:left w:val="single" w:sz="4" w:space="0" w:color="000000"/>
        <w:bottom w:val="single" w:sz="4" w:space="0" w:color="000000"/>
        <w:right w:val="single" w:sz="4" w:space="0" w:color="000000"/>
      </w:pBdr>
      <w:shd w:val="clear" w:color="000000" w:fill="993366"/>
      <w:spacing w:before="100" w:beforeAutospacing="1" w:after="100" w:afterAutospacing="1"/>
      <w:textAlignment w:val="bottom"/>
    </w:pPr>
    <w:rPr>
      <w:rFonts w:ascii="Arial" w:hAnsi="Arial" w:cs="Arial"/>
      <w:b/>
      <w:bCs/>
    </w:rPr>
  </w:style>
  <w:style w:type="paragraph" w:customStyle="1" w:styleId="xl80">
    <w:name w:val="xl80"/>
    <w:basedOn w:val="Normal"/>
    <w:rsid w:val="00687579"/>
    <w:pPr>
      <w:pBdr>
        <w:top w:val="single" w:sz="4" w:space="0" w:color="AAAAAA"/>
        <w:left w:val="single" w:sz="4" w:space="0" w:color="000000"/>
        <w:bottom w:val="single" w:sz="4" w:space="0" w:color="AAAAAA"/>
        <w:right w:val="single" w:sz="4" w:space="0" w:color="AAAAAA"/>
      </w:pBdr>
      <w:spacing w:before="100" w:beforeAutospacing="1" w:after="100" w:afterAutospacing="1"/>
      <w:textAlignment w:val="bottom"/>
    </w:pPr>
  </w:style>
  <w:style w:type="paragraph" w:customStyle="1" w:styleId="xl81">
    <w:name w:val="xl81"/>
    <w:basedOn w:val="Normal"/>
    <w:rsid w:val="00687579"/>
    <w:pPr>
      <w:pBdr>
        <w:top w:val="single" w:sz="4" w:space="0" w:color="AAAAAA"/>
        <w:left w:val="single" w:sz="4" w:space="0" w:color="AAAAAA"/>
        <w:bottom w:val="single" w:sz="4" w:space="0" w:color="AAAAAA"/>
        <w:right w:val="single" w:sz="4" w:space="0" w:color="AAAAAA"/>
      </w:pBdr>
      <w:spacing w:before="100" w:beforeAutospacing="1" w:after="100" w:afterAutospacing="1"/>
      <w:textAlignment w:val="bottom"/>
    </w:pPr>
  </w:style>
  <w:style w:type="paragraph" w:customStyle="1" w:styleId="xl82">
    <w:name w:val="xl82"/>
    <w:basedOn w:val="Normal"/>
    <w:rsid w:val="00687579"/>
    <w:pPr>
      <w:pBdr>
        <w:top w:val="single" w:sz="4" w:space="0" w:color="AAAAAA"/>
        <w:left w:val="single" w:sz="4" w:space="0" w:color="000000"/>
        <w:bottom w:val="single" w:sz="4" w:space="0" w:color="000000"/>
        <w:right w:val="single" w:sz="4" w:space="0" w:color="000000"/>
      </w:pBdr>
      <w:spacing w:before="100" w:beforeAutospacing="1" w:after="100" w:afterAutospacing="1"/>
      <w:textAlignment w:val="bottom"/>
    </w:pPr>
  </w:style>
  <w:style w:type="paragraph" w:customStyle="1" w:styleId="xl83">
    <w:name w:val="xl83"/>
    <w:basedOn w:val="Normal"/>
    <w:rsid w:val="0068757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8"/>
      <w:szCs w:val="18"/>
    </w:rPr>
  </w:style>
  <w:style w:type="paragraph" w:customStyle="1" w:styleId="xl84">
    <w:name w:val="xl84"/>
    <w:basedOn w:val="Normal"/>
    <w:rsid w:val="0068757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rPr>
  </w:style>
  <w:style w:type="paragraph" w:customStyle="1" w:styleId="xl85">
    <w:name w:val="xl85"/>
    <w:basedOn w:val="Normal"/>
    <w:rsid w:val="0068757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sz w:val="18"/>
      <w:szCs w:val="18"/>
    </w:rPr>
  </w:style>
  <w:style w:type="paragraph" w:customStyle="1" w:styleId="xl86">
    <w:name w:val="xl86"/>
    <w:basedOn w:val="Normal"/>
    <w:rsid w:val="00687579"/>
    <w:pPr>
      <w:pBdr>
        <w:top w:val="single" w:sz="4" w:space="0" w:color="000000"/>
        <w:left w:val="single" w:sz="4" w:space="0" w:color="000000"/>
        <w:bottom w:val="single" w:sz="4" w:space="0" w:color="AAAAAA"/>
        <w:right w:val="single" w:sz="4" w:space="0" w:color="000000"/>
      </w:pBdr>
      <w:spacing w:before="100" w:beforeAutospacing="1" w:after="100" w:afterAutospacing="1"/>
      <w:textAlignment w:val="bottom"/>
    </w:pPr>
    <w:rPr>
      <w:rFonts w:ascii="Arial" w:hAnsi="Arial" w:cs="Arial"/>
      <w:b/>
      <w:bCs/>
    </w:rPr>
  </w:style>
  <w:style w:type="paragraph" w:customStyle="1" w:styleId="xl87">
    <w:name w:val="xl87"/>
    <w:basedOn w:val="Normal"/>
    <w:rsid w:val="00687579"/>
    <w:pPr>
      <w:pBdr>
        <w:top w:val="single" w:sz="4" w:space="0" w:color="AAAAAA"/>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rPr>
  </w:style>
  <w:style w:type="paragraph" w:customStyle="1" w:styleId="xl88">
    <w:name w:val="xl88"/>
    <w:basedOn w:val="Normal"/>
    <w:rsid w:val="00687579"/>
    <w:pPr>
      <w:pBdr>
        <w:top w:val="single" w:sz="4" w:space="0" w:color="AAAAAA"/>
        <w:left w:val="single" w:sz="4" w:space="0" w:color="000000"/>
        <w:bottom w:val="single" w:sz="4" w:space="0" w:color="AAAAAA"/>
        <w:right w:val="single" w:sz="4" w:space="0" w:color="000000"/>
      </w:pBdr>
      <w:spacing w:before="100" w:beforeAutospacing="1" w:after="100" w:afterAutospacing="1"/>
      <w:textAlignment w:val="bottom"/>
    </w:pPr>
  </w:style>
  <w:style w:type="paragraph" w:customStyle="1" w:styleId="xl89">
    <w:name w:val="xl89"/>
    <w:basedOn w:val="Normal"/>
    <w:rsid w:val="00687579"/>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bottom"/>
    </w:pPr>
    <w:rPr>
      <w:rFonts w:ascii="Arial" w:hAnsi="Arial" w:cs="Arial"/>
      <w:b/>
      <w:bCs/>
    </w:rPr>
  </w:style>
  <w:style w:type="paragraph" w:customStyle="1" w:styleId="xl90">
    <w:name w:val="xl90"/>
    <w:basedOn w:val="Normal"/>
    <w:rsid w:val="00687579"/>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bottom"/>
    </w:pPr>
    <w:rPr>
      <w:rFonts w:ascii="Arial" w:hAnsi="Arial" w:cs="Arial"/>
      <w:b/>
      <w:bCs/>
    </w:rPr>
  </w:style>
  <w:style w:type="paragraph" w:customStyle="1" w:styleId="xl91">
    <w:name w:val="xl91"/>
    <w:basedOn w:val="Normal"/>
    <w:rsid w:val="00687579"/>
    <w:pPr>
      <w:pBdr>
        <w:top w:val="single" w:sz="4" w:space="0" w:color="000000"/>
        <w:left w:val="single" w:sz="4" w:space="0" w:color="000000"/>
        <w:bottom w:val="single" w:sz="4" w:space="0" w:color="000000"/>
        <w:right w:val="single" w:sz="4" w:space="0" w:color="000000"/>
      </w:pBdr>
      <w:shd w:val="clear" w:color="000000" w:fill="FF9900"/>
      <w:spacing w:before="100" w:beforeAutospacing="1" w:after="100" w:afterAutospacing="1"/>
      <w:textAlignment w:val="bottom"/>
    </w:pPr>
    <w:rPr>
      <w:rFonts w:ascii="Arial" w:hAnsi="Arial" w:cs="Arial"/>
      <w:b/>
      <w:bCs/>
    </w:rPr>
  </w:style>
  <w:style w:type="paragraph" w:customStyle="1" w:styleId="xl92">
    <w:name w:val="xl92"/>
    <w:basedOn w:val="Normal"/>
    <w:rsid w:val="00687579"/>
    <w:pPr>
      <w:pBdr>
        <w:top w:val="single" w:sz="4" w:space="0" w:color="000000"/>
        <w:left w:val="single" w:sz="4" w:space="0" w:color="000000"/>
        <w:bottom w:val="single" w:sz="4" w:space="0" w:color="000000"/>
        <w:right w:val="single" w:sz="4" w:space="0" w:color="000000"/>
      </w:pBdr>
      <w:shd w:val="clear" w:color="000000" w:fill="99CC00"/>
      <w:spacing w:before="100" w:beforeAutospacing="1" w:after="100" w:afterAutospacing="1"/>
      <w:textAlignment w:val="bottom"/>
    </w:pPr>
    <w:rPr>
      <w:rFonts w:ascii="Arial" w:hAnsi="Arial" w:cs="Arial"/>
      <w:b/>
      <w:bCs/>
    </w:rPr>
  </w:style>
  <w:style w:type="paragraph" w:customStyle="1" w:styleId="xl93">
    <w:name w:val="xl93"/>
    <w:basedOn w:val="Normal"/>
    <w:rsid w:val="00687579"/>
    <w:pPr>
      <w:pBdr>
        <w:top w:val="single" w:sz="4" w:space="0" w:color="000000"/>
        <w:left w:val="single" w:sz="4" w:space="0" w:color="000000"/>
        <w:bottom w:val="single" w:sz="4" w:space="0" w:color="000000"/>
        <w:right w:val="single" w:sz="4" w:space="0" w:color="000000"/>
      </w:pBdr>
      <w:shd w:val="clear" w:color="000000" w:fill="339966"/>
      <w:spacing w:before="100" w:beforeAutospacing="1" w:after="100" w:afterAutospacing="1"/>
      <w:textAlignment w:val="bottom"/>
    </w:pPr>
    <w:rPr>
      <w:rFonts w:ascii="Arial" w:hAnsi="Arial" w:cs="Arial"/>
      <w:b/>
      <w:bCs/>
    </w:rPr>
  </w:style>
  <w:style w:type="paragraph" w:customStyle="1" w:styleId="xl94">
    <w:name w:val="xl94"/>
    <w:basedOn w:val="Normal"/>
    <w:rsid w:val="00687579"/>
    <w:pPr>
      <w:pBdr>
        <w:top w:val="single" w:sz="4" w:space="0" w:color="000000"/>
        <w:left w:val="single" w:sz="4" w:space="0" w:color="000000"/>
        <w:bottom w:val="single" w:sz="4" w:space="0" w:color="000000"/>
        <w:right w:val="single" w:sz="4" w:space="0" w:color="000000"/>
      </w:pBdr>
      <w:shd w:val="clear" w:color="000000" w:fill="33CCCC"/>
      <w:spacing w:before="100" w:beforeAutospacing="1" w:after="100" w:afterAutospacing="1"/>
      <w:textAlignment w:val="bottom"/>
    </w:pPr>
    <w:rPr>
      <w:rFonts w:ascii="Arial" w:hAnsi="Arial" w:cs="Arial"/>
      <w:b/>
      <w:bCs/>
    </w:rPr>
  </w:style>
  <w:style w:type="paragraph" w:customStyle="1" w:styleId="xl95">
    <w:name w:val="xl95"/>
    <w:basedOn w:val="Normal"/>
    <w:rsid w:val="00687579"/>
    <w:pPr>
      <w:pBdr>
        <w:top w:val="single" w:sz="4" w:space="0" w:color="000000"/>
        <w:left w:val="single" w:sz="4" w:space="0" w:color="000000"/>
        <w:bottom w:val="single" w:sz="4" w:space="0" w:color="000000"/>
        <w:right w:val="single" w:sz="4" w:space="0" w:color="000000"/>
      </w:pBdr>
      <w:shd w:val="clear" w:color="000000" w:fill="3366FF"/>
      <w:spacing w:before="100" w:beforeAutospacing="1" w:after="100" w:afterAutospacing="1"/>
      <w:textAlignment w:val="bottom"/>
    </w:pPr>
    <w:rPr>
      <w:rFonts w:ascii="Arial" w:hAnsi="Arial" w:cs="Arial"/>
      <w:b/>
      <w:bCs/>
    </w:rPr>
  </w:style>
  <w:style w:type="paragraph" w:customStyle="1" w:styleId="xl96">
    <w:name w:val="xl96"/>
    <w:basedOn w:val="Normal"/>
    <w:rsid w:val="00687579"/>
    <w:pPr>
      <w:pBdr>
        <w:top w:val="single" w:sz="4" w:space="0" w:color="000000"/>
        <w:left w:val="single" w:sz="4" w:space="0" w:color="000000"/>
        <w:bottom w:val="single" w:sz="4" w:space="0" w:color="000000"/>
        <w:right w:val="single" w:sz="4" w:space="0" w:color="000000"/>
      </w:pBdr>
      <w:shd w:val="clear" w:color="000000" w:fill="00CCFF"/>
      <w:spacing w:before="100" w:beforeAutospacing="1" w:after="100" w:afterAutospacing="1"/>
      <w:textAlignment w:val="bottom"/>
    </w:pPr>
    <w:rPr>
      <w:rFonts w:ascii="Arial" w:hAnsi="Arial" w:cs="Arial"/>
      <w:b/>
      <w:bCs/>
    </w:rPr>
  </w:style>
  <w:style w:type="paragraph" w:customStyle="1" w:styleId="xl97">
    <w:name w:val="xl97"/>
    <w:basedOn w:val="Normal"/>
    <w:rsid w:val="00687579"/>
    <w:pPr>
      <w:pBdr>
        <w:top w:val="single" w:sz="4" w:space="0" w:color="000000"/>
        <w:left w:val="single" w:sz="4" w:space="0" w:color="000000"/>
        <w:bottom w:val="single" w:sz="4" w:space="0" w:color="000000"/>
        <w:right w:val="single" w:sz="4" w:space="0" w:color="000000"/>
      </w:pBdr>
      <w:shd w:val="clear" w:color="000000" w:fill="FF99CC"/>
      <w:spacing w:before="100" w:beforeAutospacing="1" w:after="100" w:afterAutospacing="1"/>
      <w:textAlignment w:val="bottom"/>
    </w:pPr>
    <w:rPr>
      <w:rFonts w:ascii="Arial" w:hAnsi="Arial" w:cs="Arial"/>
      <w:b/>
      <w:bCs/>
    </w:rPr>
  </w:style>
  <w:style w:type="paragraph" w:customStyle="1" w:styleId="xl98">
    <w:name w:val="xl98"/>
    <w:basedOn w:val="Normal"/>
    <w:rsid w:val="00687579"/>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bottom"/>
    </w:pPr>
    <w:rPr>
      <w:rFonts w:ascii="Arial" w:hAnsi="Arial" w:cs="Arial"/>
      <w:b/>
      <w:bCs/>
    </w:rPr>
  </w:style>
  <w:style w:type="paragraph" w:customStyle="1" w:styleId="xl99">
    <w:name w:val="xl99"/>
    <w:basedOn w:val="Normal"/>
    <w:rsid w:val="00687579"/>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textAlignment w:val="bottom"/>
    </w:pPr>
    <w:rPr>
      <w:rFonts w:ascii="Arial" w:hAnsi="Arial" w:cs="Arial"/>
      <w:b/>
      <w:bCs/>
    </w:rPr>
  </w:style>
  <w:style w:type="paragraph" w:customStyle="1" w:styleId="xl100">
    <w:name w:val="xl100"/>
    <w:basedOn w:val="Normal"/>
    <w:rsid w:val="00687579"/>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textAlignment w:val="bottom"/>
    </w:pPr>
    <w:rPr>
      <w:rFonts w:ascii="Arial" w:hAnsi="Arial" w:cs="Arial"/>
      <w:b/>
      <w:bCs/>
    </w:rPr>
  </w:style>
  <w:style w:type="paragraph" w:customStyle="1" w:styleId="xl101">
    <w:name w:val="xl101"/>
    <w:basedOn w:val="Normal"/>
    <w:rsid w:val="00687579"/>
    <w:pPr>
      <w:pBdr>
        <w:top w:val="single" w:sz="4" w:space="0" w:color="000000"/>
        <w:left w:val="single" w:sz="4" w:space="0" w:color="000000"/>
        <w:bottom w:val="single" w:sz="4" w:space="0" w:color="000000"/>
        <w:right w:val="single" w:sz="4" w:space="0" w:color="000000"/>
      </w:pBdr>
      <w:shd w:val="clear" w:color="000000" w:fill="99CCFF"/>
      <w:spacing w:before="100" w:beforeAutospacing="1" w:after="100" w:afterAutospacing="1"/>
      <w:textAlignment w:val="bottom"/>
    </w:pPr>
    <w:rPr>
      <w:rFonts w:ascii="Arial" w:hAnsi="Arial" w:cs="Arial"/>
      <w:b/>
      <w:bCs/>
    </w:rPr>
  </w:style>
  <w:style w:type="paragraph" w:customStyle="1" w:styleId="xl102">
    <w:name w:val="xl102"/>
    <w:basedOn w:val="Normal"/>
    <w:rsid w:val="00687579"/>
    <w:pPr>
      <w:pBdr>
        <w:top w:val="single" w:sz="4" w:space="0" w:color="000000"/>
        <w:left w:val="single" w:sz="4" w:space="0" w:color="000000"/>
        <w:bottom w:val="single" w:sz="4" w:space="0" w:color="000000"/>
        <w:right w:val="single" w:sz="4" w:space="0" w:color="AAAAAA"/>
      </w:pBdr>
      <w:spacing w:before="100" w:beforeAutospacing="1" w:after="100" w:afterAutospacing="1"/>
      <w:textAlignment w:val="bottom"/>
    </w:pPr>
  </w:style>
  <w:style w:type="paragraph" w:customStyle="1" w:styleId="xl103">
    <w:name w:val="xl103"/>
    <w:basedOn w:val="Normal"/>
    <w:rsid w:val="00687579"/>
    <w:pPr>
      <w:pBdr>
        <w:top w:val="single" w:sz="4" w:space="0" w:color="000000"/>
        <w:left w:val="single" w:sz="4" w:space="0" w:color="000000"/>
        <w:bottom w:val="single" w:sz="4" w:space="0" w:color="000000"/>
        <w:right w:val="single" w:sz="4" w:space="0" w:color="000000"/>
      </w:pBdr>
      <w:shd w:val="clear" w:color="000000" w:fill="99CC00"/>
      <w:spacing w:before="100" w:beforeAutospacing="1" w:after="100" w:afterAutospacing="1"/>
      <w:textAlignment w:val="bottom"/>
    </w:pPr>
    <w:rPr>
      <w:rFonts w:ascii="Arial" w:hAnsi="Arial" w:cs="Arial"/>
    </w:rPr>
  </w:style>
  <w:style w:type="paragraph" w:customStyle="1" w:styleId="xl104">
    <w:name w:val="xl104"/>
    <w:basedOn w:val="Normal"/>
    <w:rsid w:val="00687579"/>
    <w:pPr>
      <w:pBdr>
        <w:top w:val="single" w:sz="4" w:space="0" w:color="000000"/>
        <w:left w:val="single" w:sz="4" w:space="0" w:color="000000"/>
        <w:bottom w:val="single" w:sz="4" w:space="0" w:color="000000"/>
        <w:right w:val="single" w:sz="4" w:space="0" w:color="000000"/>
      </w:pBdr>
      <w:shd w:val="clear" w:color="000000" w:fill="339966"/>
      <w:spacing w:before="100" w:beforeAutospacing="1" w:after="100" w:afterAutospacing="1"/>
      <w:textAlignment w:val="bottom"/>
    </w:pPr>
    <w:rPr>
      <w:rFonts w:ascii="Arial" w:hAnsi="Arial" w:cs="Arial"/>
    </w:rPr>
  </w:style>
  <w:style w:type="paragraph" w:customStyle="1" w:styleId="xl105">
    <w:name w:val="xl105"/>
    <w:basedOn w:val="Normal"/>
    <w:rsid w:val="00687579"/>
    <w:pPr>
      <w:pBdr>
        <w:top w:val="single" w:sz="4" w:space="0" w:color="000000"/>
        <w:left w:val="single" w:sz="4" w:space="0" w:color="000000"/>
        <w:bottom w:val="single" w:sz="4" w:space="0" w:color="000000"/>
        <w:right w:val="single" w:sz="4" w:space="0" w:color="000000"/>
      </w:pBdr>
      <w:shd w:val="clear" w:color="000000" w:fill="33CCCC"/>
      <w:spacing w:before="100" w:beforeAutospacing="1" w:after="100" w:afterAutospacing="1"/>
      <w:textAlignment w:val="bottom"/>
    </w:pPr>
    <w:rPr>
      <w:rFonts w:ascii="Arial" w:hAnsi="Arial" w:cs="Arial"/>
    </w:rPr>
  </w:style>
  <w:style w:type="paragraph" w:customStyle="1" w:styleId="xl106">
    <w:name w:val="xl106"/>
    <w:basedOn w:val="Normal"/>
    <w:rsid w:val="00687579"/>
    <w:pPr>
      <w:pBdr>
        <w:top w:val="single" w:sz="4" w:space="0" w:color="000000"/>
        <w:left w:val="single" w:sz="4" w:space="0" w:color="000000"/>
        <w:bottom w:val="single" w:sz="4" w:space="0" w:color="000000"/>
        <w:right w:val="single" w:sz="4" w:space="0" w:color="000000"/>
      </w:pBdr>
      <w:shd w:val="clear" w:color="000000" w:fill="3366FF"/>
      <w:spacing w:before="100" w:beforeAutospacing="1" w:after="100" w:afterAutospacing="1"/>
      <w:textAlignment w:val="bottom"/>
    </w:pPr>
    <w:rPr>
      <w:rFonts w:ascii="Arial" w:hAnsi="Arial" w:cs="Arial"/>
    </w:rPr>
  </w:style>
  <w:style w:type="paragraph" w:customStyle="1" w:styleId="xl107">
    <w:name w:val="xl107"/>
    <w:basedOn w:val="Normal"/>
    <w:rsid w:val="00687579"/>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textAlignment w:val="bottom"/>
    </w:pPr>
    <w:rPr>
      <w:rFonts w:ascii="Arial" w:hAnsi="Arial" w:cs="Arial"/>
    </w:rPr>
  </w:style>
  <w:style w:type="paragraph" w:customStyle="1" w:styleId="xl108">
    <w:name w:val="xl108"/>
    <w:basedOn w:val="Normal"/>
    <w:rsid w:val="00687579"/>
    <w:pPr>
      <w:pBdr>
        <w:top w:val="single" w:sz="4" w:space="0" w:color="000000"/>
        <w:left w:val="single" w:sz="4" w:space="0" w:color="000000"/>
        <w:bottom w:val="single" w:sz="4" w:space="0" w:color="000000"/>
        <w:right w:val="single" w:sz="4" w:space="0" w:color="000000"/>
      </w:pBdr>
      <w:shd w:val="clear" w:color="000000" w:fill="99CCFF"/>
      <w:spacing w:before="100" w:beforeAutospacing="1" w:after="100" w:afterAutospacing="1"/>
      <w:textAlignment w:val="bottom"/>
    </w:pPr>
    <w:rPr>
      <w:rFonts w:ascii="Arial" w:hAnsi="Arial" w:cs="Arial"/>
    </w:rPr>
  </w:style>
  <w:style w:type="paragraph" w:customStyle="1" w:styleId="xl109">
    <w:name w:val="xl109"/>
    <w:basedOn w:val="Normal"/>
    <w:rsid w:val="00687579"/>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textAlignment w:val="bottom"/>
    </w:pPr>
    <w:rPr>
      <w:rFonts w:ascii="Arial" w:hAnsi="Arial" w:cs="Arial"/>
    </w:rPr>
  </w:style>
  <w:style w:type="paragraph" w:customStyle="1" w:styleId="xl110">
    <w:name w:val="xl110"/>
    <w:basedOn w:val="Normal"/>
    <w:rsid w:val="00687579"/>
    <w:pPr>
      <w:pBdr>
        <w:top w:val="single" w:sz="4" w:space="0" w:color="000000"/>
        <w:left w:val="single" w:sz="4" w:space="0" w:color="000000"/>
        <w:bottom w:val="single" w:sz="4" w:space="0" w:color="AAAAAA"/>
        <w:right w:val="single" w:sz="4" w:space="0" w:color="000000"/>
      </w:pBdr>
      <w:spacing w:before="100" w:beforeAutospacing="1" w:after="100" w:afterAutospacing="1"/>
      <w:textAlignment w:val="bottom"/>
    </w:pPr>
    <w:rPr>
      <w:rFonts w:ascii="Arial" w:hAnsi="Arial" w:cs="Arial"/>
      <w:b/>
      <w:bCs/>
      <w:sz w:val="18"/>
      <w:szCs w:val="18"/>
    </w:rPr>
  </w:style>
  <w:style w:type="paragraph" w:customStyle="1" w:styleId="xl111">
    <w:name w:val="xl111"/>
    <w:basedOn w:val="Normal"/>
    <w:rsid w:val="00687579"/>
    <w:pPr>
      <w:pBdr>
        <w:top w:val="single" w:sz="4" w:space="0" w:color="000000"/>
        <w:left w:val="single" w:sz="4" w:space="0" w:color="AAAAAA"/>
        <w:bottom w:val="single" w:sz="4" w:space="0" w:color="AAAAAA"/>
        <w:right w:val="single" w:sz="4" w:space="0" w:color="AAAAAA"/>
      </w:pBdr>
      <w:spacing w:before="100" w:beforeAutospacing="1" w:after="100" w:afterAutospacing="1"/>
      <w:textAlignment w:val="bottom"/>
    </w:pPr>
    <w:rPr>
      <w:rFonts w:ascii="Arial" w:hAnsi="Arial" w:cs="Arial"/>
      <w:b/>
      <w:bCs/>
      <w:sz w:val="18"/>
      <w:szCs w:val="18"/>
    </w:rPr>
  </w:style>
  <w:style w:type="paragraph" w:customStyle="1" w:styleId="xl112">
    <w:name w:val="xl112"/>
    <w:basedOn w:val="Normal"/>
    <w:rsid w:val="00687579"/>
    <w:pPr>
      <w:pBdr>
        <w:top w:val="single" w:sz="4" w:space="0" w:color="AAAAAA"/>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sz w:val="18"/>
      <w:szCs w:val="18"/>
    </w:rPr>
  </w:style>
  <w:style w:type="paragraph" w:customStyle="1" w:styleId="xl113">
    <w:name w:val="xl113"/>
    <w:basedOn w:val="Normal"/>
    <w:rsid w:val="00687579"/>
    <w:pPr>
      <w:pBdr>
        <w:top w:val="single" w:sz="4" w:space="0" w:color="000000"/>
        <w:left w:val="single" w:sz="4" w:space="0" w:color="AAAAAA"/>
        <w:bottom w:val="single" w:sz="4" w:space="0" w:color="000000"/>
        <w:right w:val="single" w:sz="4" w:space="0" w:color="AAAAAA"/>
      </w:pBdr>
      <w:spacing w:before="100" w:beforeAutospacing="1" w:after="100" w:afterAutospacing="1"/>
      <w:textAlignment w:val="bottom"/>
    </w:pPr>
  </w:style>
  <w:style w:type="paragraph" w:customStyle="1" w:styleId="xl114">
    <w:name w:val="xl114"/>
    <w:basedOn w:val="Normal"/>
    <w:rsid w:val="0068757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rPr>
  </w:style>
  <w:style w:type="paragraph" w:customStyle="1" w:styleId="xl115">
    <w:name w:val="xl115"/>
    <w:basedOn w:val="Normal"/>
    <w:rsid w:val="00687579"/>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textAlignment w:val="bottom"/>
    </w:pPr>
    <w:rPr>
      <w:rFonts w:ascii="Arial" w:hAnsi="Arial" w:cs="Arial"/>
    </w:rPr>
  </w:style>
  <w:style w:type="paragraph" w:customStyle="1" w:styleId="xl116">
    <w:name w:val="xl116"/>
    <w:basedOn w:val="Normal"/>
    <w:rsid w:val="0068757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Arial" w:hAnsi="Arial" w:cs="Arial"/>
      <w:b/>
      <w:bCs/>
    </w:rPr>
  </w:style>
  <w:style w:type="paragraph" w:customStyle="1" w:styleId="xl117">
    <w:name w:val="xl117"/>
    <w:basedOn w:val="Normal"/>
    <w:rsid w:val="0068757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Arial" w:hAnsi="Arial" w:cs="Arial"/>
      <w:b/>
      <w:bCs/>
      <w:sz w:val="18"/>
      <w:szCs w:val="18"/>
    </w:rPr>
  </w:style>
  <w:style w:type="paragraph" w:customStyle="1" w:styleId="xl118">
    <w:name w:val="xl118"/>
    <w:basedOn w:val="Normal"/>
    <w:rsid w:val="00687579"/>
    <w:pPr>
      <w:pBdr>
        <w:top w:val="single" w:sz="4" w:space="0" w:color="000000"/>
        <w:left w:val="single" w:sz="4" w:space="0" w:color="000000"/>
        <w:bottom w:val="single" w:sz="4" w:space="0" w:color="000000"/>
        <w:right w:val="single" w:sz="4" w:space="0" w:color="000000"/>
      </w:pBdr>
      <w:shd w:val="clear" w:color="000000" w:fill="CC99FF"/>
      <w:spacing w:before="100" w:beforeAutospacing="1" w:after="100" w:afterAutospacing="1"/>
      <w:textAlignment w:val="bottom"/>
    </w:pPr>
    <w:rPr>
      <w:rFonts w:ascii="Arial" w:hAnsi="Arial" w:cs="Arial"/>
    </w:rPr>
  </w:style>
  <w:style w:type="paragraph" w:customStyle="1" w:styleId="xl119">
    <w:name w:val="xl119"/>
    <w:basedOn w:val="Normal"/>
    <w:rsid w:val="00687579"/>
    <w:pPr>
      <w:pBdr>
        <w:top w:val="single" w:sz="4" w:space="0" w:color="000000"/>
        <w:left w:val="single" w:sz="4" w:space="0" w:color="AAAAAA"/>
        <w:bottom w:val="single" w:sz="4" w:space="0" w:color="000000"/>
        <w:right w:val="single" w:sz="4" w:space="0" w:color="000000"/>
      </w:pBdr>
      <w:spacing w:before="100" w:beforeAutospacing="1" w:after="100" w:afterAutospacing="1"/>
      <w:textAlignment w:val="bottom"/>
    </w:pPr>
  </w:style>
  <w:style w:type="paragraph" w:customStyle="1" w:styleId="xl120">
    <w:name w:val="xl120"/>
    <w:basedOn w:val="Normal"/>
    <w:rsid w:val="00687579"/>
    <w:pPr>
      <w:pBdr>
        <w:top w:val="single" w:sz="4" w:space="0" w:color="000000"/>
        <w:left w:val="single" w:sz="4" w:space="0" w:color="000000"/>
        <w:bottom w:val="single" w:sz="4" w:space="0" w:color="000000"/>
        <w:right w:val="single" w:sz="4" w:space="0" w:color="AAAAAA"/>
      </w:pBdr>
      <w:spacing w:before="100" w:beforeAutospacing="1" w:after="100" w:afterAutospacing="1"/>
      <w:textAlignment w:val="bottom"/>
    </w:pPr>
    <w:rPr>
      <w:rFonts w:ascii="Arial" w:hAnsi="Arial" w:cs="Arial"/>
      <w:b/>
      <w:bCs/>
    </w:rPr>
  </w:style>
  <w:style w:type="paragraph" w:customStyle="1" w:styleId="xl121">
    <w:name w:val="xl121"/>
    <w:basedOn w:val="Normal"/>
    <w:rsid w:val="00687579"/>
    <w:pPr>
      <w:pBdr>
        <w:top w:val="single" w:sz="4" w:space="0" w:color="000000"/>
        <w:left w:val="single" w:sz="4" w:space="0" w:color="AAAAAA"/>
        <w:bottom w:val="single" w:sz="4" w:space="0" w:color="AAAAAA"/>
        <w:right w:val="single" w:sz="4" w:space="0" w:color="000000"/>
      </w:pBdr>
      <w:spacing w:before="100" w:beforeAutospacing="1" w:after="100" w:afterAutospacing="1"/>
      <w:textAlignment w:val="bottom"/>
    </w:pPr>
  </w:style>
  <w:style w:type="paragraph" w:customStyle="1" w:styleId="xl122">
    <w:name w:val="xl122"/>
    <w:basedOn w:val="Normal"/>
    <w:rsid w:val="00687579"/>
    <w:pPr>
      <w:pBdr>
        <w:top w:val="single" w:sz="4" w:space="0" w:color="000000"/>
        <w:left w:val="single" w:sz="4" w:space="0" w:color="000000"/>
        <w:bottom w:val="single" w:sz="4" w:space="0" w:color="000000"/>
        <w:right w:val="single" w:sz="4" w:space="0" w:color="000000"/>
      </w:pBdr>
      <w:shd w:val="clear" w:color="000000" w:fill="993366"/>
      <w:spacing w:before="100" w:beforeAutospacing="1" w:after="100" w:afterAutospacing="1"/>
      <w:textAlignment w:val="bottom"/>
    </w:pPr>
    <w:rPr>
      <w:rFonts w:ascii="Arial" w:hAnsi="Arial" w:cs="Arial"/>
    </w:rPr>
  </w:style>
  <w:style w:type="paragraph" w:customStyle="1" w:styleId="xl123">
    <w:name w:val="xl123"/>
    <w:basedOn w:val="Normal"/>
    <w:rsid w:val="00687579"/>
    <w:pPr>
      <w:pBdr>
        <w:top w:val="single" w:sz="4" w:space="0" w:color="AAAAAA"/>
        <w:left w:val="single" w:sz="4" w:space="0" w:color="AAAAAA"/>
        <w:bottom w:val="single" w:sz="4" w:space="0" w:color="AAAAAA"/>
        <w:right w:val="single" w:sz="4" w:space="0" w:color="000000"/>
      </w:pBdr>
      <w:spacing w:before="100" w:beforeAutospacing="1" w:after="100" w:afterAutospacing="1"/>
      <w:textAlignment w:val="bottom"/>
    </w:pPr>
  </w:style>
  <w:style w:type="paragraph" w:customStyle="1" w:styleId="xl124">
    <w:name w:val="xl124"/>
    <w:basedOn w:val="Normal"/>
    <w:rsid w:val="00687579"/>
    <w:pPr>
      <w:pBdr>
        <w:top w:val="single" w:sz="4" w:space="0" w:color="000000"/>
        <w:left w:val="single" w:sz="4" w:space="0" w:color="000000"/>
        <w:bottom w:val="single" w:sz="4" w:space="0" w:color="000000"/>
        <w:right w:val="single" w:sz="4" w:space="0" w:color="000000"/>
      </w:pBdr>
      <w:shd w:val="clear" w:color="000000" w:fill="FF00FF"/>
      <w:spacing w:before="100" w:beforeAutospacing="1" w:after="100" w:afterAutospacing="1"/>
      <w:textAlignment w:val="bottom"/>
    </w:pPr>
    <w:rPr>
      <w:rFonts w:ascii="Arial" w:hAnsi="Arial" w:cs="Arial"/>
      <w:b/>
      <w:bCs/>
    </w:rPr>
  </w:style>
  <w:style w:type="paragraph" w:customStyle="1" w:styleId="xl125">
    <w:name w:val="xl125"/>
    <w:basedOn w:val="Normal"/>
    <w:rsid w:val="00687579"/>
    <w:pPr>
      <w:pBdr>
        <w:top w:val="single" w:sz="4" w:space="0" w:color="000000"/>
        <w:left w:val="single" w:sz="4" w:space="0" w:color="AAAAAA"/>
        <w:bottom w:val="single" w:sz="4" w:space="0" w:color="AAAAAA"/>
        <w:right w:val="single" w:sz="4" w:space="0" w:color="AAAAAA"/>
      </w:pBdr>
      <w:spacing w:before="100" w:beforeAutospacing="1" w:after="100" w:afterAutospacing="1"/>
      <w:textAlignment w:val="bottom"/>
    </w:pPr>
    <w:rPr>
      <w:rFonts w:ascii="Arial" w:hAnsi="Arial" w:cs="Arial"/>
      <w:b/>
      <w:bCs/>
    </w:rPr>
  </w:style>
  <w:style w:type="paragraph" w:customStyle="1" w:styleId="Notes">
    <w:name w:val="Notes"/>
    <w:basedOn w:val="Normal"/>
    <w:qFormat/>
    <w:rsid w:val="00D27345"/>
    <w:pPr>
      <w:numPr>
        <w:numId w:val="14"/>
      </w:numPr>
      <w:kinsoku w:val="0"/>
      <w:overflowPunct w:val="0"/>
      <w:autoSpaceDE w:val="0"/>
      <w:autoSpaceDN w:val="0"/>
      <w:adjustRightInd w:val="0"/>
      <w:snapToGrid w:val="0"/>
      <w:spacing w:after="60"/>
      <w:ind w:left="288" w:hanging="288"/>
    </w:pPr>
    <w:rPr>
      <w:rFonts w:ascii="Georgia" w:eastAsia="Times New Roman" w:hAnsi="Georgia" w:cs="Arial"/>
      <w:snapToGrid w:val="0"/>
      <w:sz w:val="14"/>
      <w:szCs w:val="21"/>
      <w:lang w:val="en-GB"/>
    </w:rPr>
  </w:style>
  <w:style w:type="paragraph" w:styleId="NormalWeb">
    <w:name w:val="Normal (Web)"/>
    <w:basedOn w:val="Normal"/>
    <w:uiPriority w:val="99"/>
    <w:unhideWhenUsed/>
    <w:rsid w:val="00224040"/>
    <w:pPr>
      <w:spacing w:after="140" w:line="276" w:lineRule="auto"/>
    </w:pPr>
    <w:rPr>
      <w:lang w:val="en-AU"/>
    </w:rPr>
  </w:style>
  <w:style w:type="character" w:styleId="CommentReference">
    <w:name w:val="annotation reference"/>
    <w:basedOn w:val="DefaultParagraphFont"/>
    <w:uiPriority w:val="99"/>
    <w:semiHidden/>
    <w:unhideWhenUsed/>
    <w:rsid w:val="00A9336C"/>
    <w:rPr>
      <w:sz w:val="18"/>
      <w:szCs w:val="18"/>
    </w:rPr>
  </w:style>
  <w:style w:type="paragraph" w:styleId="CommentText">
    <w:name w:val="annotation text"/>
    <w:basedOn w:val="Normal"/>
    <w:link w:val="CommentTextChar"/>
    <w:uiPriority w:val="99"/>
    <w:semiHidden/>
    <w:unhideWhenUsed/>
    <w:rsid w:val="00A9336C"/>
  </w:style>
  <w:style w:type="character" w:customStyle="1" w:styleId="CommentTextChar">
    <w:name w:val="Comment Text Char"/>
    <w:basedOn w:val="DefaultParagraphFont"/>
    <w:link w:val="CommentText"/>
    <w:uiPriority w:val="99"/>
    <w:semiHidden/>
    <w:rsid w:val="00A9336C"/>
    <w:rPr>
      <w:rFonts w:ascii="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A9336C"/>
    <w:rPr>
      <w:b/>
      <w:bCs/>
      <w:sz w:val="20"/>
      <w:szCs w:val="20"/>
    </w:rPr>
  </w:style>
  <w:style w:type="character" w:customStyle="1" w:styleId="CommentSubjectChar">
    <w:name w:val="Comment Subject Char"/>
    <w:basedOn w:val="CommentTextChar"/>
    <w:link w:val="CommentSubject"/>
    <w:uiPriority w:val="99"/>
    <w:semiHidden/>
    <w:rsid w:val="00A9336C"/>
    <w:rPr>
      <w:rFonts w:ascii="Times New Roman" w:hAnsi="Times New Roman" w:cs="Times New Roman"/>
      <w:b/>
      <w:bCs/>
      <w:sz w:val="20"/>
      <w:szCs w:val="20"/>
      <w:lang w:val="en-US"/>
    </w:rPr>
  </w:style>
  <w:style w:type="paragraph" w:styleId="DocumentMap">
    <w:name w:val="Document Map"/>
    <w:basedOn w:val="Normal"/>
    <w:link w:val="DocumentMapChar"/>
    <w:uiPriority w:val="99"/>
    <w:semiHidden/>
    <w:unhideWhenUsed/>
    <w:rsid w:val="000B0F1A"/>
  </w:style>
  <w:style w:type="character" w:customStyle="1" w:styleId="DocumentMapChar">
    <w:name w:val="Document Map Char"/>
    <w:basedOn w:val="DefaultParagraphFont"/>
    <w:link w:val="DocumentMap"/>
    <w:uiPriority w:val="99"/>
    <w:semiHidden/>
    <w:rsid w:val="000B0F1A"/>
    <w:rPr>
      <w:rFonts w:ascii="Times New Roman" w:hAnsi="Times New Roman" w:cs="Times New Roman"/>
      <w:sz w:val="24"/>
      <w:szCs w:val="24"/>
      <w:lang w:val="en-US"/>
    </w:rPr>
  </w:style>
  <w:style w:type="paragraph" w:styleId="Revision">
    <w:name w:val="Revision"/>
    <w:hidden/>
    <w:uiPriority w:val="99"/>
    <w:semiHidden/>
    <w:rsid w:val="00C408CA"/>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168329">
      <w:bodyDiv w:val="1"/>
      <w:marLeft w:val="0"/>
      <w:marRight w:val="0"/>
      <w:marTop w:val="0"/>
      <w:marBottom w:val="0"/>
      <w:divBdr>
        <w:top w:val="none" w:sz="0" w:space="0" w:color="auto"/>
        <w:left w:val="none" w:sz="0" w:space="0" w:color="auto"/>
        <w:bottom w:val="none" w:sz="0" w:space="0" w:color="auto"/>
        <w:right w:val="none" w:sz="0" w:space="0" w:color="auto"/>
      </w:divBdr>
      <w:divsChild>
        <w:div w:id="454980760">
          <w:marLeft w:val="0"/>
          <w:marRight w:val="0"/>
          <w:marTop w:val="0"/>
          <w:marBottom w:val="0"/>
          <w:divBdr>
            <w:top w:val="none" w:sz="0" w:space="0" w:color="auto"/>
            <w:left w:val="none" w:sz="0" w:space="0" w:color="auto"/>
            <w:bottom w:val="none" w:sz="0" w:space="0" w:color="auto"/>
            <w:right w:val="none" w:sz="0" w:space="0" w:color="auto"/>
          </w:divBdr>
          <w:divsChild>
            <w:div w:id="2092005372">
              <w:marLeft w:val="0"/>
              <w:marRight w:val="0"/>
              <w:marTop w:val="0"/>
              <w:marBottom w:val="0"/>
              <w:divBdr>
                <w:top w:val="none" w:sz="0" w:space="0" w:color="auto"/>
                <w:left w:val="none" w:sz="0" w:space="0" w:color="auto"/>
                <w:bottom w:val="none" w:sz="0" w:space="0" w:color="auto"/>
                <w:right w:val="none" w:sz="0" w:space="0" w:color="auto"/>
              </w:divBdr>
              <w:divsChild>
                <w:div w:id="18302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213844">
      <w:bodyDiv w:val="1"/>
      <w:marLeft w:val="0"/>
      <w:marRight w:val="0"/>
      <w:marTop w:val="0"/>
      <w:marBottom w:val="0"/>
      <w:divBdr>
        <w:top w:val="none" w:sz="0" w:space="0" w:color="auto"/>
        <w:left w:val="none" w:sz="0" w:space="0" w:color="auto"/>
        <w:bottom w:val="none" w:sz="0" w:space="0" w:color="auto"/>
        <w:right w:val="none" w:sz="0" w:space="0" w:color="auto"/>
      </w:divBdr>
    </w:div>
    <w:div w:id="341788614">
      <w:bodyDiv w:val="1"/>
      <w:marLeft w:val="0"/>
      <w:marRight w:val="0"/>
      <w:marTop w:val="0"/>
      <w:marBottom w:val="0"/>
      <w:divBdr>
        <w:top w:val="none" w:sz="0" w:space="0" w:color="auto"/>
        <w:left w:val="none" w:sz="0" w:space="0" w:color="auto"/>
        <w:bottom w:val="none" w:sz="0" w:space="0" w:color="auto"/>
        <w:right w:val="none" w:sz="0" w:space="0" w:color="auto"/>
      </w:divBdr>
      <w:divsChild>
        <w:div w:id="237643299">
          <w:marLeft w:val="0"/>
          <w:marRight w:val="0"/>
          <w:marTop w:val="0"/>
          <w:marBottom w:val="0"/>
          <w:divBdr>
            <w:top w:val="none" w:sz="0" w:space="0" w:color="auto"/>
            <w:left w:val="none" w:sz="0" w:space="0" w:color="auto"/>
            <w:bottom w:val="none" w:sz="0" w:space="0" w:color="auto"/>
            <w:right w:val="none" w:sz="0" w:space="0" w:color="auto"/>
          </w:divBdr>
          <w:divsChild>
            <w:div w:id="1563639025">
              <w:marLeft w:val="0"/>
              <w:marRight w:val="0"/>
              <w:marTop w:val="0"/>
              <w:marBottom w:val="0"/>
              <w:divBdr>
                <w:top w:val="none" w:sz="0" w:space="0" w:color="auto"/>
                <w:left w:val="none" w:sz="0" w:space="0" w:color="auto"/>
                <w:bottom w:val="none" w:sz="0" w:space="0" w:color="auto"/>
                <w:right w:val="none" w:sz="0" w:space="0" w:color="auto"/>
              </w:divBdr>
              <w:divsChild>
                <w:div w:id="6834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26164">
      <w:bodyDiv w:val="1"/>
      <w:marLeft w:val="0"/>
      <w:marRight w:val="0"/>
      <w:marTop w:val="0"/>
      <w:marBottom w:val="0"/>
      <w:divBdr>
        <w:top w:val="none" w:sz="0" w:space="0" w:color="auto"/>
        <w:left w:val="none" w:sz="0" w:space="0" w:color="auto"/>
        <w:bottom w:val="none" w:sz="0" w:space="0" w:color="auto"/>
        <w:right w:val="none" w:sz="0" w:space="0" w:color="auto"/>
      </w:divBdr>
    </w:div>
    <w:div w:id="564074504">
      <w:bodyDiv w:val="1"/>
      <w:marLeft w:val="0"/>
      <w:marRight w:val="0"/>
      <w:marTop w:val="0"/>
      <w:marBottom w:val="0"/>
      <w:divBdr>
        <w:top w:val="none" w:sz="0" w:space="0" w:color="auto"/>
        <w:left w:val="none" w:sz="0" w:space="0" w:color="auto"/>
        <w:bottom w:val="none" w:sz="0" w:space="0" w:color="auto"/>
        <w:right w:val="none" w:sz="0" w:space="0" w:color="auto"/>
      </w:divBdr>
      <w:divsChild>
        <w:div w:id="1172531762">
          <w:marLeft w:val="0"/>
          <w:marRight w:val="0"/>
          <w:marTop w:val="0"/>
          <w:marBottom w:val="0"/>
          <w:divBdr>
            <w:top w:val="none" w:sz="0" w:space="0" w:color="auto"/>
            <w:left w:val="none" w:sz="0" w:space="0" w:color="auto"/>
            <w:bottom w:val="none" w:sz="0" w:space="0" w:color="auto"/>
            <w:right w:val="none" w:sz="0" w:space="0" w:color="auto"/>
          </w:divBdr>
          <w:divsChild>
            <w:div w:id="189805593">
              <w:marLeft w:val="0"/>
              <w:marRight w:val="0"/>
              <w:marTop w:val="0"/>
              <w:marBottom w:val="0"/>
              <w:divBdr>
                <w:top w:val="none" w:sz="0" w:space="0" w:color="auto"/>
                <w:left w:val="none" w:sz="0" w:space="0" w:color="auto"/>
                <w:bottom w:val="none" w:sz="0" w:space="0" w:color="auto"/>
                <w:right w:val="none" w:sz="0" w:space="0" w:color="auto"/>
              </w:divBdr>
              <w:divsChild>
                <w:div w:id="63425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72993">
      <w:bodyDiv w:val="1"/>
      <w:marLeft w:val="0"/>
      <w:marRight w:val="0"/>
      <w:marTop w:val="0"/>
      <w:marBottom w:val="0"/>
      <w:divBdr>
        <w:top w:val="none" w:sz="0" w:space="0" w:color="auto"/>
        <w:left w:val="none" w:sz="0" w:space="0" w:color="auto"/>
        <w:bottom w:val="none" w:sz="0" w:space="0" w:color="auto"/>
        <w:right w:val="none" w:sz="0" w:space="0" w:color="auto"/>
      </w:divBdr>
      <w:divsChild>
        <w:div w:id="946155087">
          <w:marLeft w:val="0"/>
          <w:marRight w:val="0"/>
          <w:marTop w:val="0"/>
          <w:marBottom w:val="0"/>
          <w:divBdr>
            <w:top w:val="none" w:sz="0" w:space="0" w:color="auto"/>
            <w:left w:val="none" w:sz="0" w:space="0" w:color="auto"/>
            <w:bottom w:val="none" w:sz="0" w:space="0" w:color="auto"/>
            <w:right w:val="none" w:sz="0" w:space="0" w:color="auto"/>
          </w:divBdr>
          <w:divsChild>
            <w:div w:id="790712784">
              <w:marLeft w:val="0"/>
              <w:marRight w:val="0"/>
              <w:marTop w:val="0"/>
              <w:marBottom w:val="0"/>
              <w:divBdr>
                <w:top w:val="none" w:sz="0" w:space="0" w:color="auto"/>
                <w:left w:val="none" w:sz="0" w:space="0" w:color="auto"/>
                <w:bottom w:val="none" w:sz="0" w:space="0" w:color="auto"/>
                <w:right w:val="none" w:sz="0" w:space="0" w:color="auto"/>
              </w:divBdr>
              <w:divsChild>
                <w:div w:id="76179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18452">
      <w:bodyDiv w:val="1"/>
      <w:marLeft w:val="0"/>
      <w:marRight w:val="0"/>
      <w:marTop w:val="0"/>
      <w:marBottom w:val="0"/>
      <w:divBdr>
        <w:top w:val="none" w:sz="0" w:space="0" w:color="auto"/>
        <w:left w:val="none" w:sz="0" w:space="0" w:color="auto"/>
        <w:bottom w:val="none" w:sz="0" w:space="0" w:color="auto"/>
        <w:right w:val="none" w:sz="0" w:space="0" w:color="auto"/>
      </w:divBdr>
    </w:div>
    <w:div w:id="719481123">
      <w:bodyDiv w:val="1"/>
      <w:marLeft w:val="0"/>
      <w:marRight w:val="0"/>
      <w:marTop w:val="0"/>
      <w:marBottom w:val="0"/>
      <w:divBdr>
        <w:top w:val="none" w:sz="0" w:space="0" w:color="auto"/>
        <w:left w:val="none" w:sz="0" w:space="0" w:color="auto"/>
        <w:bottom w:val="none" w:sz="0" w:space="0" w:color="auto"/>
        <w:right w:val="none" w:sz="0" w:space="0" w:color="auto"/>
      </w:divBdr>
    </w:div>
    <w:div w:id="773860245">
      <w:bodyDiv w:val="1"/>
      <w:marLeft w:val="0"/>
      <w:marRight w:val="0"/>
      <w:marTop w:val="0"/>
      <w:marBottom w:val="0"/>
      <w:divBdr>
        <w:top w:val="none" w:sz="0" w:space="0" w:color="auto"/>
        <w:left w:val="none" w:sz="0" w:space="0" w:color="auto"/>
        <w:bottom w:val="none" w:sz="0" w:space="0" w:color="auto"/>
        <w:right w:val="none" w:sz="0" w:space="0" w:color="auto"/>
      </w:divBdr>
    </w:div>
    <w:div w:id="781147833">
      <w:bodyDiv w:val="1"/>
      <w:marLeft w:val="0"/>
      <w:marRight w:val="0"/>
      <w:marTop w:val="0"/>
      <w:marBottom w:val="0"/>
      <w:divBdr>
        <w:top w:val="none" w:sz="0" w:space="0" w:color="auto"/>
        <w:left w:val="none" w:sz="0" w:space="0" w:color="auto"/>
        <w:bottom w:val="none" w:sz="0" w:space="0" w:color="auto"/>
        <w:right w:val="none" w:sz="0" w:space="0" w:color="auto"/>
      </w:divBdr>
    </w:div>
    <w:div w:id="793403711">
      <w:bodyDiv w:val="1"/>
      <w:marLeft w:val="0"/>
      <w:marRight w:val="0"/>
      <w:marTop w:val="0"/>
      <w:marBottom w:val="0"/>
      <w:divBdr>
        <w:top w:val="none" w:sz="0" w:space="0" w:color="auto"/>
        <w:left w:val="none" w:sz="0" w:space="0" w:color="auto"/>
        <w:bottom w:val="none" w:sz="0" w:space="0" w:color="auto"/>
        <w:right w:val="none" w:sz="0" w:space="0" w:color="auto"/>
      </w:divBdr>
      <w:divsChild>
        <w:div w:id="513422991">
          <w:marLeft w:val="0"/>
          <w:marRight w:val="0"/>
          <w:marTop w:val="0"/>
          <w:marBottom w:val="0"/>
          <w:divBdr>
            <w:top w:val="none" w:sz="0" w:space="0" w:color="auto"/>
            <w:left w:val="none" w:sz="0" w:space="0" w:color="auto"/>
            <w:bottom w:val="none" w:sz="0" w:space="0" w:color="auto"/>
            <w:right w:val="none" w:sz="0" w:space="0" w:color="auto"/>
          </w:divBdr>
          <w:divsChild>
            <w:div w:id="574901481">
              <w:marLeft w:val="0"/>
              <w:marRight w:val="0"/>
              <w:marTop w:val="0"/>
              <w:marBottom w:val="0"/>
              <w:divBdr>
                <w:top w:val="none" w:sz="0" w:space="0" w:color="auto"/>
                <w:left w:val="none" w:sz="0" w:space="0" w:color="auto"/>
                <w:bottom w:val="none" w:sz="0" w:space="0" w:color="auto"/>
                <w:right w:val="none" w:sz="0" w:space="0" w:color="auto"/>
              </w:divBdr>
              <w:divsChild>
                <w:div w:id="7620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4462">
      <w:bodyDiv w:val="1"/>
      <w:marLeft w:val="0"/>
      <w:marRight w:val="0"/>
      <w:marTop w:val="0"/>
      <w:marBottom w:val="0"/>
      <w:divBdr>
        <w:top w:val="none" w:sz="0" w:space="0" w:color="auto"/>
        <w:left w:val="none" w:sz="0" w:space="0" w:color="auto"/>
        <w:bottom w:val="none" w:sz="0" w:space="0" w:color="auto"/>
        <w:right w:val="none" w:sz="0" w:space="0" w:color="auto"/>
      </w:divBdr>
    </w:div>
    <w:div w:id="858275216">
      <w:bodyDiv w:val="1"/>
      <w:marLeft w:val="0"/>
      <w:marRight w:val="0"/>
      <w:marTop w:val="0"/>
      <w:marBottom w:val="0"/>
      <w:divBdr>
        <w:top w:val="none" w:sz="0" w:space="0" w:color="auto"/>
        <w:left w:val="none" w:sz="0" w:space="0" w:color="auto"/>
        <w:bottom w:val="none" w:sz="0" w:space="0" w:color="auto"/>
        <w:right w:val="none" w:sz="0" w:space="0" w:color="auto"/>
      </w:divBdr>
      <w:divsChild>
        <w:div w:id="1406226706">
          <w:marLeft w:val="0"/>
          <w:marRight w:val="0"/>
          <w:marTop w:val="0"/>
          <w:marBottom w:val="0"/>
          <w:divBdr>
            <w:top w:val="none" w:sz="0" w:space="0" w:color="auto"/>
            <w:left w:val="none" w:sz="0" w:space="0" w:color="auto"/>
            <w:bottom w:val="none" w:sz="0" w:space="0" w:color="auto"/>
            <w:right w:val="none" w:sz="0" w:space="0" w:color="auto"/>
          </w:divBdr>
          <w:divsChild>
            <w:div w:id="1464352481">
              <w:marLeft w:val="0"/>
              <w:marRight w:val="0"/>
              <w:marTop w:val="0"/>
              <w:marBottom w:val="0"/>
              <w:divBdr>
                <w:top w:val="none" w:sz="0" w:space="0" w:color="auto"/>
                <w:left w:val="none" w:sz="0" w:space="0" w:color="auto"/>
                <w:bottom w:val="none" w:sz="0" w:space="0" w:color="auto"/>
                <w:right w:val="none" w:sz="0" w:space="0" w:color="auto"/>
              </w:divBdr>
              <w:divsChild>
                <w:div w:id="19221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76139">
      <w:bodyDiv w:val="1"/>
      <w:marLeft w:val="0"/>
      <w:marRight w:val="0"/>
      <w:marTop w:val="0"/>
      <w:marBottom w:val="0"/>
      <w:divBdr>
        <w:top w:val="none" w:sz="0" w:space="0" w:color="auto"/>
        <w:left w:val="none" w:sz="0" w:space="0" w:color="auto"/>
        <w:bottom w:val="none" w:sz="0" w:space="0" w:color="auto"/>
        <w:right w:val="none" w:sz="0" w:space="0" w:color="auto"/>
      </w:divBdr>
      <w:divsChild>
        <w:div w:id="372004294">
          <w:marLeft w:val="0"/>
          <w:marRight w:val="0"/>
          <w:marTop w:val="0"/>
          <w:marBottom w:val="0"/>
          <w:divBdr>
            <w:top w:val="none" w:sz="0" w:space="0" w:color="auto"/>
            <w:left w:val="none" w:sz="0" w:space="0" w:color="auto"/>
            <w:bottom w:val="none" w:sz="0" w:space="0" w:color="auto"/>
            <w:right w:val="none" w:sz="0" w:space="0" w:color="auto"/>
          </w:divBdr>
          <w:divsChild>
            <w:div w:id="1348482933">
              <w:marLeft w:val="0"/>
              <w:marRight w:val="0"/>
              <w:marTop w:val="0"/>
              <w:marBottom w:val="0"/>
              <w:divBdr>
                <w:top w:val="none" w:sz="0" w:space="0" w:color="auto"/>
                <w:left w:val="none" w:sz="0" w:space="0" w:color="auto"/>
                <w:bottom w:val="none" w:sz="0" w:space="0" w:color="auto"/>
                <w:right w:val="none" w:sz="0" w:space="0" w:color="auto"/>
              </w:divBdr>
              <w:divsChild>
                <w:div w:id="63013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647563">
      <w:bodyDiv w:val="1"/>
      <w:marLeft w:val="0"/>
      <w:marRight w:val="0"/>
      <w:marTop w:val="0"/>
      <w:marBottom w:val="0"/>
      <w:divBdr>
        <w:top w:val="none" w:sz="0" w:space="0" w:color="auto"/>
        <w:left w:val="none" w:sz="0" w:space="0" w:color="auto"/>
        <w:bottom w:val="none" w:sz="0" w:space="0" w:color="auto"/>
        <w:right w:val="none" w:sz="0" w:space="0" w:color="auto"/>
      </w:divBdr>
      <w:divsChild>
        <w:div w:id="682322906">
          <w:marLeft w:val="0"/>
          <w:marRight w:val="0"/>
          <w:marTop w:val="0"/>
          <w:marBottom w:val="0"/>
          <w:divBdr>
            <w:top w:val="none" w:sz="0" w:space="0" w:color="auto"/>
            <w:left w:val="none" w:sz="0" w:space="0" w:color="auto"/>
            <w:bottom w:val="none" w:sz="0" w:space="0" w:color="auto"/>
            <w:right w:val="none" w:sz="0" w:space="0" w:color="auto"/>
          </w:divBdr>
          <w:divsChild>
            <w:div w:id="150295102">
              <w:marLeft w:val="0"/>
              <w:marRight w:val="0"/>
              <w:marTop w:val="0"/>
              <w:marBottom w:val="0"/>
              <w:divBdr>
                <w:top w:val="none" w:sz="0" w:space="0" w:color="auto"/>
                <w:left w:val="none" w:sz="0" w:space="0" w:color="auto"/>
                <w:bottom w:val="none" w:sz="0" w:space="0" w:color="auto"/>
                <w:right w:val="none" w:sz="0" w:space="0" w:color="auto"/>
              </w:divBdr>
              <w:divsChild>
                <w:div w:id="9533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91756">
      <w:bodyDiv w:val="1"/>
      <w:marLeft w:val="0"/>
      <w:marRight w:val="0"/>
      <w:marTop w:val="0"/>
      <w:marBottom w:val="0"/>
      <w:divBdr>
        <w:top w:val="none" w:sz="0" w:space="0" w:color="auto"/>
        <w:left w:val="none" w:sz="0" w:space="0" w:color="auto"/>
        <w:bottom w:val="none" w:sz="0" w:space="0" w:color="auto"/>
        <w:right w:val="none" w:sz="0" w:space="0" w:color="auto"/>
      </w:divBdr>
      <w:divsChild>
        <w:div w:id="1285965804">
          <w:marLeft w:val="0"/>
          <w:marRight w:val="0"/>
          <w:marTop w:val="0"/>
          <w:marBottom w:val="0"/>
          <w:divBdr>
            <w:top w:val="none" w:sz="0" w:space="0" w:color="auto"/>
            <w:left w:val="none" w:sz="0" w:space="0" w:color="auto"/>
            <w:bottom w:val="none" w:sz="0" w:space="0" w:color="auto"/>
            <w:right w:val="none" w:sz="0" w:space="0" w:color="auto"/>
          </w:divBdr>
          <w:divsChild>
            <w:div w:id="1487238738">
              <w:marLeft w:val="0"/>
              <w:marRight w:val="0"/>
              <w:marTop w:val="0"/>
              <w:marBottom w:val="0"/>
              <w:divBdr>
                <w:top w:val="none" w:sz="0" w:space="0" w:color="auto"/>
                <w:left w:val="none" w:sz="0" w:space="0" w:color="auto"/>
                <w:bottom w:val="none" w:sz="0" w:space="0" w:color="auto"/>
                <w:right w:val="none" w:sz="0" w:space="0" w:color="auto"/>
              </w:divBdr>
              <w:divsChild>
                <w:div w:id="9235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25107">
      <w:bodyDiv w:val="1"/>
      <w:marLeft w:val="0"/>
      <w:marRight w:val="0"/>
      <w:marTop w:val="0"/>
      <w:marBottom w:val="0"/>
      <w:divBdr>
        <w:top w:val="none" w:sz="0" w:space="0" w:color="auto"/>
        <w:left w:val="none" w:sz="0" w:space="0" w:color="auto"/>
        <w:bottom w:val="none" w:sz="0" w:space="0" w:color="auto"/>
        <w:right w:val="none" w:sz="0" w:space="0" w:color="auto"/>
      </w:divBdr>
    </w:div>
    <w:div w:id="1028915997">
      <w:bodyDiv w:val="1"/>
      <w:marLeft w:val="0"/>
      <w:marRight w:val="0"/>
      <w:marTop w:val="0"/>
      <w:marBottom w:val="0"/>
      <w:divBdr>
        <w:top w:val="none" w:sz="0" w:space="0" w:color="auto"/>
        <w:left w:val="none" w:sz="0" w:space="0" w:color="auto"/>
        <w:bottom w:val="none" w:sz="0" w:space="0" w:color="auto"/>
        <w:right w:val="none" w:sz="0" w:space="0" w:color="auto"/>
      </w:divBdr>
    </w:div>
    <w:div w:id="1048183532">
      <w:bodyDiv w:val="1"/>
      <w:marLeft w:val="0"/>
      <w:marRight w:val="0"/>
      <w:marTop w:val="0"/>
      <w:marBottom w:val="0"/>
      <w:divBdr>
        <w:top w:val="none" w:sz="0" w:space="0" w:color="auto"/>
        <w:left w:val="none" w:sz="0" w:space="0" w:color="auto"/>
        <w:bottom w:val="none" w:sz="0" w:space="0" w:color="auto"/>
        <w:right w:val="none" w:sz="0" w:space="0" w:color="auto"/>
      </w:divBdr>
      <w:divsChild>
        <w:div w:id="1049307471">
          <w:marLeft w:val="0"/>
          <w:marRight w:val="0"/>
          <w:marTop w:val="0"/>
          <w:marBottom w:val="0"/>
          <w:divBdr>
            <w:top w:val="none" w:sz="0" w:space="0" w:color="auto"/>
            <w:left w:val="none" w:sz="0" w:space="0" w:color="auto"/>
            <w:bottom w:val="none" w:sz="0" w:space="0" w:color="auto"/>
            <w:right w:val="none" w:sz="0" w:space="0" w:color="auto"/>
          </w:divBdr>
          <w:divsChild>
            <w:div w:id="2127501609">
              <w:marLeft w:val="0"/>
              <w:marRight w:val="0"/>
              <w:marTop w:val="0"/>
              <w:marBottom w:val="0"/>
              <w:divBdr>
                <w:top w:val="none" w:sz="0" w:space="0" w:color="auto"/>
                <w:left w:val="none" w:sz="0" w:space="0" w:color="auto"/>
                <w:bottom w:val="none" w:sz="0" w:space="0" w:color="auto"/>
                <w:right w:val="none" w:sz="0" w:space="0" w:color="auto"/>
              </w:divBdr>
              <w:divsChild>
                <w:div w:id="1850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0576">
      <w:bodyDiv w:val="1"/>
      <w:marLeft w:val="0"/>
      <w:marRight w:val="0"/>
      <w:marTop w:val="0"/>
      <w:marBottom w:val="0"/>
      <w:divBdr>
        <w:top w:val="none" w:sz="0" w:space="0" w:color="auto"/>
        <w:left w:val="none" w:sz="0" w:space="0" w:color="auto"/>
        <w:bottom w:val="none" w:sz="0" w:space="0" w:color="auto"/>
        <w:right w:val="none" w:sz="0" w:space="0" w:color="auto"/>
      </w:divBdr>
      <w:divsChild>
        <w:div w:id="1296789143">
          <w:marLeft w:val="0"/>
          <w:marRight w:val="0"/>
          <w:marTop w:val="0"/>
          <w:marBottom w:val="0"/>
          <w:divBdr>
            <w:top w:val="none" w:sz="0" w:space="0" w:color="auto"/>
            <w:left w:val="none" w:sz="0" w:space="0" w:color="auto"/>
            <w:bottom w:val="none" w:sz="0" w:space="0" w:color="auto"/>
            <w:right w:val="none" w:sz="0" w:space="0" w:color="auto"/>
          </w:divBdr>
          <w:divsChild>
            <w:div w:id="221258862">
              <w:marLeft w:val="0"/>
              <w:marRight w:val="0"/>
              <w:marTop w:val="0"/>
              <w:marBottom w:val="0"/>
              <w:divBdr>
                <w:top w:val="none" w:sz="0" w:space="0" w:color="auto"/>
                <w:left w:val="none" w:sz="0" w:space="0" w:color="auto"/>
                <w:bottom w:val="none" w:sz="0" w:space="0" w:color="auto"/>
                <w:right w:val="none" w:sz="0" w:space="0" w:color="auto"/>
              </w:divBdr>
              <w:divsChild>
                <w:div w:id="1354184244">
                  <w:marLeft w:val="0"/>
                  <w:marRight w:val="0"/>
                  <w:marTop w:val="0"/>
                  <w:marBottom w:val="0"/>
                  <w:divBdr>
                    <w:top w:val="none" w:sz="0" w:space="0" w:color="auto"/>
                    <w:left w:val="none" w:sz="0" w:space="0" w:color="auto"/>
                    <w:bottom w:val="none" w:sz="0" w:space="0" w:color="auto"/>
                    <w:right w:val="none" w:sz="0" w:space="0" w:color="auto"/>
                  </w:divBdr>
                </w:div>
              </w:divsChild>
            </w:div>
            <w:div w:id="114641919">
              <w:marLeft w:val="0"/>
              <w:marRight w:val="0"/>
              <w:marTop w:val="0"/>
              <w:marBottom w:val="0"/>
              <w:divBdr>
                <w:top w:val="none" w:sz="0" w:space="0" w:color="auto"/>
                <w:left w:val="none" w:sz="0" w:space="0" w:color="auto"/>
                <w:bottom w:val="none" w:sz="0" w:space="0" w:color="auto"/>
                <w:right w:val="none" w:sz="0" w:space="0" w:color="auto"/>
              </w:divBdr>
              <w:divsChild>
                <w:div w:id="7472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15266">
      <w:bodyDiv w:val="1"/>
      <w:marLeft w:val="0"/>
      <w:marRight w:val="0"/>
      <w:marTop w:val="0"/>
      <w:marBottom w:val="0"/>
      <w:divBdr>
        <w:top w:val="none" w:sz="0" w:space="0" w:color="auto"/>
        <w:left w:val="none" w:sz="0" w:space="0" w:color="auto"/>
        <w:bottom w:val="none" w:sz="0" w:space="0" w:color="auto"/>
        <w:right w:val="none" w:sz="0" w:space="0" w:color="auto"/>
      </w:divBdr>
      <w:divsChild>
        <w:div w:id="1974629716">
          <w:marLeft w:val="0"/>
          <w:marRight w:val="0"/>
          <w:marTop w:val="0"/>
          <w:marBottom w:val="0"/>
          <w:divBdr>
            <w:top w:val="none" w:sz="0" w:space="0" w:color="auto"/>
            <w:left w:val="none" w:sz="0" w:space="0" w:color="auto"/>
            <w:bottom w:val="none" w:sz="0" w:space="0" w:color="auto"/>
            <w:right w:val="none" w:sz="0" w:space="0" w:color="auto"/>
          </w:divBdr>
          <w:divsChild>
            <w:div w:id="1189634958">
              <w:marLeft w:val="0"/>
              <w:marRight w:val="0"/>
              <w:marTop w:val="0"/>
              <w:marBottom w:val="0"/>
              <w:divBdr>
                <w:top w:val="none" w:sz="0" w:space="0" w:color="auto"/>
                <w:left w:val="none" w:sz="0" w:space="0" w:color="auto"/>
                <w:bottom w:val="none" w:sz="0" w:space="0" w:color="auto"/>
                <w:right w:val="none" w:sz="0" w:space="0" w:color="auto"/>
              </w:divBdr>
              <w:divsChild>
                <w:div w:id="2446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73260">
      <w:bodyDiv w:val="1"/>
      <w:marLeft w:val="0"/>
      <w:marRight w:val="0"/>
      <w:marTop w:val="0"/>
      <w:marBottom w:val="0"/>
      <w:divBdr>
        <w:top w:val="none" w:sz="0" w:space="0" w:color="auto"/>
        <w:left w:val="none" w:sz="0" w:space="0" w:color="auto"/>
        <w:bottom w:val="none" w:sz="0" w:space="0" w:color="auto"/>
        <w:right w:val="none" w:sz="0" w:space="0" w:color="auto"/>
      </w:divBdr>
      <w:divsChild>
        <w:div w:id="953902269">
          <w:marLeft w:val="0"/>
          <w:marRight w:val="0"/>
          <w:marTop w:val="0"/>
          <w:marBottom w:val="0"/>
          <w:divBdr>
            <w:top w:val="none" w:sz="0" w:space="0" w:color="auto"/>
            <w:left w:val="none" w:sz="0" w:space="0" w:color="auto"/>
            <w:bottom w:val="none" w:sz="0" w:space="0" w:color="auto"/>
            <w:right w:val="none" w:sz="0" w:space="0" w:color="auto"/>
          </w:divBdr>
          <w:divsChild>
            <w:div w:id="1573154368">
              <w:marLeft w:val="0"/>
              <w:marRight w:val="0"/>
              <w:marTop w:val="0"/>
              <w:marBottom w:val="0"/>
              <w:divBdr>
                <w:top w:val="none" w:sz="0" w:space="0" w:color="auto"/>
                <w:left w:val="none" w:sz="0" w:space="0" w:color="auto"/>
                <w:bottom w:val="none" w:sz="0" w:space="0" w:color="auto"/>
                <w:right w:val="none" w:sz="0" w:space="0" w:color="auto"/>
              </w:divBdr>
              <w:divsChild>
                <w:div w:id="149017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75025">
      <w:bodyDiv w:val="1"/>
      <w:marLeft w:val="0"/>
      <w:marRight w:val="0"/>
      <w:marTop w:val="0"/>
      <w:marBottom w:val="0"/>
      <w:divBdr>
        <w:top w:val="none" w:sz="0" w:space="0" w:color="auto"/>
        <w:left w:val="none" w:sz="0" w:space="0" w:color="auto"/>
        <w:bottom w:val="none" w:sz="0" w:space="0" w:color="auto"/>
        <w:right w:val="none" w:sz="0" w:space="0" w:color="auto"/>
      </w:divBdr>
      <w:divsChild>
        <w:div w:id="966621681">
          <w:marLeft w:val="0"/>
          <w:marRight w:val="0"/>
          <w:marTop w:val="0"/>
          <w:marBottom w:val="0"/>
          <w:divBdr>
            <w:top w:val="none" w:sz="0" w:space="0" w:color="auto"/>
            <w:left w:val="none" w:sz="0" w:space="0" w:color="auto"/>
            <w:bottom w:val="none" w:sz="0" w:space="0" w:color="auto"/>
            <w:right w:val="none" w:sz="0" w:space="0" w:color="auto"/>
          </w:divBdr>
          <w:divsChild>
            <w:div w:id="1547133163">
              <w:marLeft w:val="0"/>
              <w:marRight w:val="0"/>
              <w:marTop w:val="0"/>
              <w:marBottom w:val="0"/>
              <w:divBdr>
                <w:top w:val="none" w:sz="0" w:space="0" w:color="auto"/>
                <w:left w:val="none" w:sz="0" w:space="0" w:color="auto"/>
                <w:bottom w:val="none" w:sz="0" w:space="0" w:color="auto"/>
                <w:right w:val="none" w:sz="0" w:space="0" w:color="auto"/>
              </w:divBdr>
              <w:divsChild>
                <w:div w:id="173299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553484">
      <w:bodyDiv w:val="1"/>
      <w:marLeft w:val="0"/>
      <w:marRight w:val="0"/>
      <w:marTop w:val="0"/>
      <w:marBottom w:val="0"/>
      <w:divBdr>
        <w:top w:val="none" w:sz="0" w:space="0" w:color="auto"/>
        <w:left w:val="none" w:sz="0" w:space="0" w:color="auto"/>
        <w:bottom w:val="none" w:sz="0" w:space="0" w:color="auto"/>
        <w:right w:val="none" w:sz="0" w:space="0" w:color="auto"/>
      </w:divBdr>
      <w:divsChild>
        <w:div w:id="182550125">
          <w:marLeft w:val="0"/>
          <w:marRight w:val="0"/>
          <w:marTop w:val="0"/>
          <w:marBottom w:val="0"/>
          <w:divBdr>
            <w:top w:val="none" w:sz="0" w:space="0" w:color="auto"/>
            <w:left w:val="none" w:sz="0" w:space="0" w:color="auto"/>
            <w:bottom w:val="none" w:sz="0" w:space="0" w:color="auto"/>
            <w:right w:val="none" w:sz="0" w:space="0" w:color="auto"/>
          </w:divBdr>
          <w:divsChild>
            <w:div w:id="567689000">
              <w:marLeft w:val="0"/>
              <w:marRight w:val="0"/>
              <w:marTop w:val="0"/>
              <w:marBottom w:val="0"/>
              <w:divBdr>
                <w:top w:val="none" w:sz="0" w:space="0" w:color="auto"/>
                <w:left w:val="none" w:sz="0" w:space="0" w:color="auto"/>
                <w:bottom w:val="none" w:sz="0" w:space="0" w:color="auto"/>
                <w:right w:val="none" w:sz="0" w:space="0" w:color="auto"/>
              </w:divBdr>
              <w:divsChild>
                <w:div w:id="2735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3951">
      <w:bodyDiv w:val="1"/>
      <w:marLeft w:val="0"/>
      <w:marRight w:val="0"/>
      <w:marTop w:val="0"/>
      <w:marBottom w:val="0"/>
      <w:divBdr>
        <w:top w:val="none" w:sz="0" w:space="0" w:color="auto"/>
        <w:left w:val="none" w:sz="0" w:space="0" w:color="auto"/>
        <w:bottom w:val="none" w:sz="0" w:space="0" w:color="auto"/>
        <w:right w:val="none" w:sz="0" w:space="0" w:color="auto"/>
      </w:divBdr>
      <w:divsChild>
        <w:div w:id="799222966">
          <w:marLeft w:val="0"/>
          <w:marRight w:val="0"/>
          <w:marTop w:val="0"/>
          <w:marBottom w:val="0"/>
          <w:divBdr>
            <w:top w:val="none" w:sz="0" w:space="0" w:color="auto"/>
            <w:left w:val="none" w:sz="0" w:space="0" w:color="auto"/>
            <w:bottom w:val="none" w:sz="0" w:space="0" w:color="auto"/>
            <w:right w:val="none" w:sz="0" w:space="0" w:color="auto"/>
          </w:divBdr>
          <w:divsChild>
            <w:div w:id="43723467">
              <w:marLeft w:val="0"/>
              <w:marRight w:val="0"/>
              <w:marTop w:val="0"/>
              <w:marBottom w:val="0"/>
              <w:divBdr>
                <w:top w:val="none" w:sz="0" w:space="0" w:color="auto"/>
                <w:left w:val="none" w:sz="0" w:space="0" w:color="auto"/>
                <w:bottom w:val="none" w:sz="0" w:space="0" w:color="auto"/>
                <w:right w:val="none" w:sz="0" w:space="0" w:color="auto"/>
              </w:divBdr>
              <w:divsChild>
                <w:div w:id="15233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26799">
      <w:bodyDiv w:val="1"/>
      <w:marLeft w:val="0"/>
      <w:marRight w:val="0"/>
      <w:marTop w:val="0"/>
      <w:marBottom w:val="0"/>
      <w:divBdr>
        <w:top w:val="none" w:sz="0" w:space="0" w:color="auto"/>
        <w:left w:val="none" w:sz="0" w:space="0" w:color="auto"/>
        <w:bottom w:val="none" w:sz="0" w:space="0" w:color="auto"/>
        <w:right w:val="none" w:sz="0" w:space="0" w:color="auto"/>
      </w:divBdr>
      <w:divsChild>
        <w:div w:id="646475376">
          <w:marLeft w:val="0"/>
          <w:marRight w:val="0"/>
          <w:marTop w:val="0"/>
          <w:marBottom w:val="0"/>
          <w:divBdr>
            <w:top w:val="none" w:sz="0" w:space="0" w:color="auto"/>
            <w:left w:val="none" w:sz="0" w:space="0" w:color="auto"/>
            <w:bottom w:val="none" w:sz="0" w:space="0" w:color="auto"/>
            <w:right w:val="none" w:sz="0" w:space="0" w:color="auto"/>
          </w:divBdr>
          <w:divsChild>
            <w:div w:id="714083793">
              <w:marLeft w:val="0"/>
              <w:marRight w:val="0"/>
              <w:marTop w:val="0"/>
              <w:marBottom w:val="0"/>
              <w:divBdr>
                <w:top w:val="none" w:sz="0" w:space="0" w:color="auto"/>
                <w:left w:val="none" w:sz="0" w:space="0" w:color="auto"/>
                <w:bottom w:val="none" w:sz="0" w:space="0" w:color="auto"/>
                <w:right w:val="none" w:sz="0" w:space="0" w:color="auto"/>
              </w:divBdr>
              <w:divsChild>
                <w:div w:id="6635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6598">
      <w:bodyDiv w:val="1"/>
      <w:marLeft w:val="0"/>
      <w:marRight w:val="0"/>
      <w:marTop w:val="0"/>
      <w:marBottom w:val="0"/>
      <w:divBdr>
        <w:top w:val="none" w:sz="0" w:space="0" w:color="auto"/>
        <w:left w:val="none" w:sz="0" w:space="0" w:color="auto"/>
        <w:bottom w:val="none" w:sz="0" w:space="0" w:color="auto"/>
        <w:right w:val="none" w:sz="0" w:space="0" w:color="auto"/>
      </w:divBdr>
    </w:div>
    <w:div w:id="1786533079">
      <w:bodyDiv w:val="1"/>
      <w:marLeft w:val="0"/>
      <w:marRight w:val="0"/>
      <w:marTop w:val="0"/>
      <w:marBottom w:val="0"/>
      <w:divBdr>
        <w:top w:val="none" w:sz="0" w:space="0" w:color="auto"/>
        <w:left w:val="none" w:sz="0" w:space="0" w:color="auto"/>
        <w:bottom w:val="none" w:sz="0" w:space="0" w:color="auto"/>
        <w:right w:val="none" w:sz="0" w:space="0" w:color="auto"/>
      </w:divBdr>
      <w:divsChild>
        <w:div w:id="610406063">
          <w:marLeft w:val="0"/>
          <w:marRight w:val="0"/>
          <w:marTop w:val="0"/>
          <w:marBottom w:val="0"/>
          <w:divBdr>
            <w:top w:val="none" w:sz="0" w:space="0" w:color="auto"/>
            <w:left w:val="none" w:sz="0" w:space="0" w:color="auto"/>
            <w:bottom w:val="none" w:sz="0" w:space="0" w:color="auto"/>
            <w:right w:val="none" w:sz="0" w:space="0" w:color="auto"/>
          </w:divBdr>
          <w:divsChild>
            <w:div w:id="1846020428">
              <w:marLeft w:val="0"/>
              <w:marRight w:val="0"/>
              <w:marTop w:val="0"/>
              <w:marBottom w:val="0"/>
              <w:divBdr>
                <w:top w:val="none" w:sz="0" w:space="0" w:color="auto"/>
                <w:left w:val="none" w:sz="0" w:space="0" w:color="auto"/>
                <w:bottom w:val="none" w:sz="0" w:space="0" w:color="auto"/>
                <w:right w:val="none" w:sz="0" w:space="0" w:color="auto"/>
              </w:divBdr>
              <w:divsChild>
                <w:div w:id="122402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54222">
      <w:bodyDiv w:val="1"/>
      <w:marLeft w:val="0"/>
      <w:marRight w:val="0"/>
      <w:marTop w:val="0"/>
      <w:marBottom w:val="0"/>
      <w:divBdr>
        <w:top w:val="none" w:sz="0" w:space="0" w:color="auto"/>
        <w:left w:val="none" w:sz="0" w:space="0" w:color="auto"/>
        <w:bottom w:val="none" w:sz="0" w:space="0" w:color="auto"/>
        <w:right w:val="none" w:sz="0" w:space="0" w:color="auto"/>
      </w:divBdr>
    </w:div>
    <w:div w:id="2014718836">
      <w:bodyDiv w:val="1"/>
      <w:marLeft w:val="0"/>
      <w:marRight w:val="0"/>
      <w:marTop w:val="0"/>
      <w:marBottom w:val="0"/>
      <w:divBdr>
        <w:top w:val="none" w:sz="0" w:space="0" w:color="auto"/>
        <w:left w:val="none" w:sz="0" w:space="0" w:color="auto"/>
        <w:bottom w:val="none" w:sz="0" w:space="0" w:color="auto"/>
        <w:right w:val="none" w:sz="0" w:space="0" w:color="auto"/>
      </w:divBdr>
      <w:divsChild>
        <w:div w:id="11155593">
          <w:marLeft w:val="0"/>
          <w:marRight w:val="0"/>
          <w:marTop w:val="0"/>
          <w:marBottom w:val="0"/>
          <w:divBdr>
            <w:top w:val="none" w:sz="0" w:space="0" w:color="auto"/>
            <w:left w:val="none" w:sz="0" w:space="0" w:color="auto"/>
            <w:bottom w:val="none" w:sz="0" w:space="0" w:color="auto"/>
            <w:right w:val="none" w:sz="0" w:space="0" w:color="auto"/>
          </w:divBdr>
          <w:divsChild>
            <w:div w:id="666320947">
              <w:marLeft w:val="0"/>
              <w:marRight w:val="0"/>
              <w:marTop w:val="0"/>
              <w:marBottom w:val="0"/>
              <w:divBdr>
                <w:top w:val="none" w:sz="0" w:space="0" w:color="auto"/>
                <w:left w:val="none" w:sz="0" w:space="0" w:color="auto"/>
                <w:bottom w:val="none" w:sz="0" w:space="0" w:color="auto"/>
                <w:right w:val="none" w:sz="0" w:space="0" w:color="auto"/>
              </w:divBdr>
              <w:divsChild>
                <w:div w:id="14786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s://www.summerfoundation.org.au/what-we-do/the-issue/" TargetMode="External"/><Relationship Id="rId1" Type="http://schemas.openxmlformats.org/officeDocument/2006/relationships/hyperlink" Target="http://www.pwd.org.au/student-section/the-social-model-of-disability.html" TargetMode="External"/></Relationships>
</file>

<file path=word/theme/theme1.xml><?xml version="1.0" encoding="utf-8"?>
<a:theme xmlns:a="http://schemas.openxmlformats.org/drawingml/2006/main" name="Office Theme">
  <a:themeElements>
    <a:clrScheme name="Media Access Australia Black">
      <a:dk1>
        <a:sysClr val="windowText" lastClr="000000"/>
      </a:dk1>
      <a:lt1>
        <a:sysClr val="window" lastClr="FFFFFF"/>
      </a:lt1>
      <a:dk2>
        <a:srgbClr val="000000"/>
      </a:dk2>
      <a:lt2>
        <a:srgbClr val="D1D3D4"/>
      </a:lt2>
      <a:accent1>
        <a:srgbClr val="000000"/>
      </a:accent1>
      <a:accent2>
        <a:srgbClr val="999999"/>
      </a:accent2>
      <a:accent3>
        <a:srgbClr val="4CAA48"/>
      </a:accent3>
      <a:accent4>
        <a:srgbClr val="D1D3D4"/>
      </a:accent4>
      <a:accent5>
        <a:srgbClr val="00AEEF"/>
      </a:accent5>
      <a:accent6>
        <a:srgbClr val="D80073"/>
      </a:accent6>
      <a:hlink>
        <a:srgbClr val="F2AF32"/>
      </a:hlink>
      <a:folHlink>
        <a:srgbClr val="800080"/>
      </a:folHlink>
    </a:clrScheme>
    <a:fontScheme name="Media Access Austral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E6D33-160D-48ED-BF6E-14EF7F319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3826</Words>
  <Characters>21811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Draft Attitude Foundation business case</vt:lpstr>
    </vt:vector>
  </TitlesOfParts>
  <Company>Netspin Multimedia</Company>
  <LinksUpToDate>false</LinksUpToDate>
  <CharactersWithSpaces>25586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Attitude Foundation business case</dc:title>
  <dc:creator>Allayne Woodford</dc:creator>
  <cp:lastModifiedBy>Alex Varley</cp:lastModifiedBy>
  <cp:revision>12</cp:revision>
  <cp:lastPrinted>2016-04-13T03:33:00Z</cp:lastPrinted>
  <dcterms:created xsi:type="dcterms:W3CDTF">2017-01-30T23:31:00Z</dcterms:created>
  <dcterms:modified xsi:type="dcterms:W3CDTF">2017-01-31T04:15:00Z</dcterms:modified>
</cp:coreProperties>
</file>