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9"/>
        <w:ind w:left="85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</w:t>
      </w:r>
    </w:p>
    <w:p>
      <w:pPr>
        <w:pStyle w:val="Body"/>
        <w:spacing w:before="9"/>
        <w:ind w:left="85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</w:t>
      </w:r>
    </w:p>
    <w:p>
      <w:pPr>
        <w:pStyle w:val="Body"/>
        <w:spacing w:before="9"/>
        <w:ind w:left="85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</w:t>
      </w:r>
    </w:p>
    <w:p>
      <w:pPr>
        <w:pStyle w:val="Body"/>
        <w:spacing w:before="9"/>
        <w:ind w:left="85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</w:t>
      </w:r>
    </w:p>
    <w:p>
      <w:pPr>
        <w:pStyle w:val="Body Text"/>
      </w:pPr>
      <w:r>
        <w:rPr>
          <w:rtl w:val="0"/>
        </w:rPr>
        <w:t>January _____</w:t>
      </w:r>
      <w:bookmarkStart w:name="FERC_EA_Notice_Analysis_edit_for_EA_Comm" w:id="0"/>
      <w:r>
        <w:rPr>
          <w:rtl w:val="0"/>
        </w:rPr>
        <w:t>, 201</w:t>
      </w:r>
      <w:r>
        <w:rPr>
          <w:rtl w:val="0"/>
        </w:rPr>
        <w:t>6</w:t>
      </w:r>
    </w:p>
    <w:p>
      <w:pPr>
        <w:pStyle w:val="Body"/>
        <w:spacing w:before="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</w:pPr>
      <w:r>
        <w:rPr>
          <w:rtl w:val="0"/>
        </w:rPr>
        <w:t>Members of the Federal Energy Regulatory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</w:rPr>
        <w:t>Commission Chairman,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</w:rPr>
        <w:t>Commissioners</w:t>
      </w:r>
    </w:p>
    <w:p>
      <w:pPr>
        <w:pStyle w:val="Body Text"/>
        <w:spacing w:before="2"/>
        <w:ind w:right="1503"/>
      </w:pPr>
      <w:r>
        <w:rPr>
          <w:rtl w:val="0"/>
          <w:lang w:val="en-US"/>
        </w:rPr>
        <w:t>Federal Energy Regulatory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Commission 888 First St., N.E.</w:t>
      </w:r>
    </w:p>
    <w:p>
      <w:pPr>
        <w:pStyle w:val="Body Text"/>
        <w:spacing w:before="2"/>
      </w:pPr>
      <w:r>
        <w:rPr>
          <w:rtl w:val="0"/>
          <w:lang w:val="en-US"/>
        </w:rPr>
        <w:t>Washington, DC,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20426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74" w:line="242" w:lineRule="auto"/>
        <w:ind w:left="2383" w:hanging="130"/>
        <w:jc w:val="right"/>
        <w:sectPr>
          <w:headerReference w:type="default" r:id="rId4"/>
          <w:footerReference w:type="default" r:id="rId5"/>
          <w:pgSz w:w="12240" w:h="15840" w:orient="portrait"/>
          <w:pgMar w:top="320" w:right="1020" w:bottom="280" w:left="300" w:header="133" w:footer="0"/>
          <w:pgNumType w:start="1"/>
          <w:cols w:num="2" w:equalWidth="0">
            <w:col w:w="5848" w:space="1314"/>
            <w:col w:w="3758" w:space="0"/>
          </w:cols>
          <w:titlePg w:val="1"/>
          <w:bidi w:val="0"/>
        </w:sectPr>
      </w:pPr>
    </w:p>
    <w:p>
      <w:pPr>
        <w:pStyle w:val="Body"/>
        <w:spacing w:before="8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ind w:left="1873" w:right="511" w:hanging="13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End w:id="0"/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</w:rPr>
        <w:t>Impermissible Segmentation of CP15-500, the Proposed Presidio Crossing Project and associated Trans-Pecos Pipeline</w:t>
      </w:r>
    </w:p>
    <w:p>
      <w:pPr>
        <w:pStyle w:val="Body"/>
        <w:spacing w:before="10"/>
        <w:sectPr>
          <w:headerReference w:type="default" r:id="rId6"/>
          <w:footerReference w:type="default" r:id="rId7"/>
          <w:type w:val="continuous"/>
          <w:pgSz w:w="12240" w:h="15840" w:orient="portrait"/>
          <w:pgMar w:top="320" w:right="1020" w:bottom="280" w:left="300" w:header="133" w:footer="0"/>
          <w:pgNumType w:start="1"/>
          <w:titlePg w:val="1"/>
          <w:bidi w:val="0"/>
        </w:sectPr>
      </w:pPr>
    </w:p>
    <w:p>
      <w:pPr>
        <w:pStyle w:val="Body"/>
        <w:spacing w:before="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line="242" w:lineRule="auto"/>
        <w:ind w:right="176"/>
      </w:pPr>
      <w:r>
        <w:rPr>
          <w:rtl w:val="0"/>
          <w:lang w:val="en-US"/>
        </w:rPr>
        <w:t xml:space="preserve">40 CFR Chapter V,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1502.4 defines criteria for Federal actions that require preparation of an EIS. This works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together with 40 CFR Chapter V,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 xml:space="preserve">1508.25,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Scope.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This brings us to the core of the matter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distinctions under which 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Federal agency (i.e. FERC) must consider the scope, and impacts of a project as a whole, rather than a jurisdictional facility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 isolation.</w:t>
      </w:r>
    </w:p>
    <w:p>
      <w:pPr>
        <w:pStyle w:val="Body"/>
        <w:spacing w:before="11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Body Text"/>
        <w:ind w:right="373"/>
      </w:pPr>
      <w:r>
        <w:rPr>
          <w:rtl w:val="0"/>
          <w:lang w:val="en-US"/>
        </w:rPr>
        <w:t xml:space="preserve">The CEQ regulations implementing NEPA require that an EIS include (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1508.25 a.)):</w:t>
      </w:r>
    </w:p>
    <w:p>
      <w:pPr>
        <w:pStyle w:val="Body"/>
        <w:spacing w:before="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180"/>
        <w:jc w:val="left"/>
        <w:rPr>
          <w:rFonts w:ascii="Times New Roman" w:cs="Times New Roman" w:hAnsi="Times New Roman" w:eastAsia="Times New Roman"/>
          <w:sz w:val="20"/>
          <w:szCs w:val="20"/>
          <w:u w:val="single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en-US"/>
        </w:rPr>
        <w:t>connected actions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including those that are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interdependent parts of a larger action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and </w:t>
      </w:r>
      <w:r>
        <w:rPr>
          <w:rFonts w:ascii="Times New Roman" w:hAnsi="Times New Roman"/>
          <w:sz w:val="20"/>
          <w:szCs w:val="20"/>
          <w:u w:val="single"/>
          <w:rtl w:val="0"/>
          <w:lang w:val="en-US"/>
        </w:rPr>
        <w:t>depend on the larger</w:t>
      </w:r>
      <w:r>
        <w:rPr>
          <w:rFonts w:ascii="Times New Roman" w:hAnsi="Times New Roman"/>
          <w:spacing w:val="-1"/>
          <w:sz w:val="20"/>
          <w:szCs w:val="20"/>
          <w:u w:val="single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rtl w:val="0"/>
          <w:lang w:val="en-US"/>
        </w:rPr>
        <w:t>action for their justification;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en-US"/>
        </w:rPr>
        <w:t>”</w:t>
      </w:r>
    </w:p>
    <w:p>
      <w:pPr>
        <w:pStyle w:val="List Paragraph"/>
        <w:numPr>
          <w:ilvl w:val="0"/>
          <w:numId w:val="2"/>
        </w:numPr>
        <w:bidi w:val="0"/>
        <w:spacing w:before="2"/>
        <w:ind w:right="373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en-US"/>
        </w:rPr>
        <w:t>cumulative actions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which when viewed with other proposed actions have </w:t>
      </w:r>
      <w:r>
        <w:rPr>
          <w:rFonts w:ascii="Times New Roman" w:hAnsi="Times New Roman"/>
          <w:sz w:val="20"/>
          <w:szCs w:val="20"/>
          <w:u w:val="single"/>
          <w:rtl w:val="0"/>
          <w:lang w:val="en-US"/>
        </w:rPr>
        <w:t>cumulatively significant</w:t>
      </w:r>
      <w:r>
        <w:rPr>
          <w:rFonts w:ascii="Times New Roman" w:hAnsi="Times New Roman"/>
          <w:spacing w:val="0"/>
          <w:sz w:val="20"/>
          <w:szCs w:val="20"/>
          <w:u w:val="single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rtl w:val="0"/>
          <w:lang w:val="en-US"/>
        </w:rPr>
        <w:t>impacts;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”</w:t>
      </w:r>
    </w:p>
    <w:p>
      <w:pPr>
        <w:pStyle w:val="List Paragraph"/>
        <w:numPr>
          <w:ilvl w:val="0"/>
          <w:numId w:val="2"/>
        </w:numPr>
        <w:bidi w:val="0"/>
        <w:spacing w:line="242" w:lineRule="auto"/>
        <w:ind w:right="907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en-US"/>
        </w:rPr>
        <w:t>similar actions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sz w:val="20"/>
          <w:szCs w:val="20"/>
          <w:rtl w:val="0"/>
          <w:lang w:val="en-US"/>
        </w:rPr>
        <w:t>which when viewed with other reasonably foreseeable or proposed agency actions,</w:t>
      </w:r>
      <w:r>
        <w:rPr>
          <w:rFonts w:ascii="Times New Roman" w:hAnsi="Times New Roman"/>
          <w:spacing w:val="0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have similarities that provide a basis for </w:t>
      </w:r>
      <w:r>
        <w:rPr>
          <w:rFonts w:ascii="Times New Roman" w:hAnsi="Times New Roman"/>
          <w:sz w:val="20"/>
          <w:szCs w:val="20"/>
          <w:u w:val="single"/>
          <w:rtl w:val="0"/>
          <w:lang w:val="en-US"/>
        </w:rPr>
        <w:t>evaluating their environmental consequences</w:t>
      </w:r>
      <w:r>
        <w:rPr>
          <w:rFonts w:ascii="Times New Roman" w:hAnsi="Times New Roman"/>
          <w:spacing w:val="0"/>
          <w:sz w:val="20"/>
          <w:szCs w:val="20"/>
          <w:u w:val="single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rtl w:val="0"/>
          <w:lang w:val="en-US"/>
        </w:rPr>
        <w:t>together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”</w:t>
      </w:r>
    </w:p>
    <w:p>
      <w:pPr>
        <w:pStyle w:val="Body"/>
        <w:spacing w:before="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line="242" w:lineRule="auto"/>
        <w:ind w:right="98"/>
        <w:sectPr>
          <w:headerReference w:type="default" r:id="rId8"/>
          <w:footerReference w:type="default" r:id="rId9"/>
          <w:type w:val="continuous"/>
          <w:pgSz w:w="12240" w:h="15840" w:orient="portrait"/>
          <w:pgMar w:top="320" w:right="1060" w:bottom="280" w:left="300" w:header="133" w:footer="0"/>
          <w:pgNumType w:start="1"/>
          <w:titlePg w:val="1"/>
          <w:bidi w:val="0"/>
        </w:sectPr>
      </w:pPr>
      <w:r>
        <w:rPr>
          <w:rtl w:val="0"/>
          <w:lang w:val="en-US"/>
        </w:rPr>
        <w:t xml:space="preserve">An agency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impermissibly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segments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NEPA review when it divides connected, cumulative, or similar actions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into separate pieces 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consideration.</w:t>
      </w:r>
      <w:r>
        <w:rPr>
          <w:rtl w:val="0"/>
          <w:lang w:val="en-US"/>
        </w:rPr>
        <w:t>”</w:t>
      </w:r>
    </w:p>
    <w:p>
      <w:pPr>
        <w:pStyle w:val="Body"/>
        <w:spacing w:before="11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Body Text"/>
        <w:ind w:right="108"/>
      </w:pPr>
      <w:r>
        <w:rPr>
          <w:rtl w:val="0"/>
          <w:lang w:val="en-US"/>
        </w:rPr>
        <w:t>Under CEQ administrative statutes, the courts adopt a unitary analysis of a project under one of three specific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tests, which are used to determine whether or not environmental assessment is required for a project as a whole, or 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jurisdictional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segment of the project can be evaluated 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isolation:</w:t>
      </w:r>
    </w:p>
    <w:p>
      <w:pPr>
        <w:pStyle w:val="Body"/>
        <w:spacing w:before="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bidi w:val="0"/>
        <w:ind w:right="108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Whether the Parts of a Project are Interdependent or Merely Serve Complementary</w:t>
      </w:r>
      <w:r>
        <w:rPr>
          <w:rFonts w:ascii="Times New Roman" w:hAnsi="Times New Roman"/>
          <w:spacing w:val="0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Functions</w:t>
      </w:r>
    </w:p>
    <w:p>
      <w:pPr>
        <w:pStyle w:val="List Paragraph"/>
        <w:numPr>
          <w:ilvl w:val="0"/>
          <w:numId w:val="4"/>
        </w:numPr>
        <w:bidi w:val="0"/>
        <w:ind w:right="108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The "But-For" Test</w:t>
      </w:r>
    </w:p>
    <w:p>
      <w:pPr>
        <w:pStyle w:val="List Paragraph"/>
        <w:numPr>
          <w:ilvl w:val="0"/>
          <w:numId w:val="4"/>
        </w:numPr>
        <w:bidi w:val="0"/>
        <w:spacing w:before="2"/>
        <w:ind w:right="108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"Links-in-the Same Bit of Chain"</w:t>
      </w:r>
    </w:p>
    <w:p>
      <w:pPr>
        <w:pStyle w:val="Body"/>
        <w:spacing w:before="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ind w:right="108"/>
      </w:pP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, examine the proposed Trans-Pecos Pipeline, composed of a 1093-foot jurisdictional segment (the Presidio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Crossing Project), and the nominal 143-mile non-jurisdictional facilities, regulated under Railroad Commission of Texas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authority. </w:t>
      </w:r>
      <w:r>
        <w:rPr>
          <w:u w:val="single"/>
          <w:rtl w:val="0"/>
          <w:lang w:val="en-US"/>
        </w:rPr>
        <w:t xml:space="preserve">Clearly, both the jurisdictional, and non-jurisdictional facilities are interdependent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without the purported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intrastate segment of the proposed pipeline, the border crossing facility is non-functional, serves no purpose</w:t>
      </w:r>
      <w:r>
        <w:rPr>
          <w:rtl w:val="0"/>
          <w:lang w:val="en-US"/>
        </w:rPr>
        <w:t xml:space="preserve">. It </w:t>
      </w:r>
      <w:r>
        <w:rPr>
          <w:rtl w:val="0"/>
          <w:lang w:val="en-US"/>
        </w:rPr>
        <w:t>depends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entirely upon the upstream non-jurisdictional facility. Similarly, </w:t>
      </w:r>
      <w:r>
        <w:rPr>
          <w:u w:val="single" w:color="000000"/>
          <w:rtl w:val="0"/>
          <w:lang w:val="en-US"/>
        </w:rPr>
        <w:t>the upstream non-jurisdictional facility serves no purpose,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 xml:space="preserve">other </w:t>
      </w:r>
      <w:r>
        <w:rPr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 xml:space="preserve">than to transport natural gas to the border crossing segment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it serves no domestic/municipal customers, and provides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 other utility except the connection between the Waha Natural Gas Market Hub and the border crossing, to export natural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gas to the customer,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CFE.</w:t>
      </w:r>
    </w:p>
    <w:p>
      <w:pPr>
        <w:pStyle w:val="Body"/>
        <w:spacing w:before="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line="242" w:lineRule="auto"/>
        <w:ind w:right="160"/>
      </w:pP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But-For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test, utilized by some courts to determine whether a project has been sufficiently federalized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also considers the nexus between the non-jurisdictional and jurisdictional portions of the project. Only if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jurisdictional portion of the project is sufficiently critical to the non-jurisdictional portion of the project would the nexus between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two be sufficient to federalize (i.e. require NEPA compliance for) the entire project. Again, the interdependence of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two segments of the project is clear </w:t>
      </w:r>
      <w:r>
        <w:rPr>
          <w:rtl w:val="0"/>
          <w:lang w:val="en-US"/>
        </w:rPr>
        <w:t xml:space="preserve">– </w:t>
      </w:r>
      <w:r>
        <w:rPr>
          <w:u w:val="single" w:color="000000"/>
          <w:rtl w:val="0"/>
          <w:lang w:val="en-US"/>
        </w:rPr>
        <w:t xml:space="preserve">the border-crossing is certainly </w:t>
      </w:r>
      <w:r>
        <w:rPr>
          <w:u w:val="single" w:color="000000"/>
          <w:rtl w:val="0"/>
          <w:lang w:val="en-US"/>
        </w:rPr>
        <w:t>“</w:t>
      </w:r>
      <w:r>
        <w:rPr>
          <w:u w:val="single" w:color="000000"/>
          <w:rtl w:val="0"/>
          <w:lang w:val="en-US"/>
        </w:rPr>
        <w:t>sufficiently critical</w:t>
      </w:r>
      <w:r>
        <w:rPr>
          <w:u w:val="single" w:color="000000"/>
          <w:rtl w:val="0"/>
          <w:lang w:val="en-US"/>
        </w:rPr>
        <w:t xml:space="preserve">” </w:t>
      </w:r>
      <w:r>
        <w:rPr>
          <w:u w:val="single" w:color="000000"/>
          <w:rtl w:val="0"/>
          <w:lang w:val="en-US"/>
        </w:rPr>
        <w:t>to the remainder of the project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thus requiring that the project as a whole 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federalized.</w:t>
      </w:r>
    </w:p>
    <w:p>
      <w:pPr>
        <w:pStyle w:val="Body"/>
        <w:spacing w:before="11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Body Text"/>
        <w:ind w:right="108"/>
      </w:pP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Links-in-the-Same Big of Chain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, some courts look at the link, or links between end-points associated 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 project. If the jurisdictional and non-jurisdictional facilities are analyzed, and appear to be related, as are links in a length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of chain connecting end-points, the project must be federalized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this test is similar to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and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  Again,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proposed</w:t>
      </w:r>
    </w:p>
    <w:p>
      <w:pPr>
        <w:pStyle w:val="Body Text"/>
        <w:ind w:right="108"/>
      </w:pPr>
      <w:r>
        <w:rPr>
          <w:rtl w:val="0"/>
          <w:lang w:val="en-US"/>
        </w:rPr>
        <w:t>Trans-Pecos Pipeline, and its Presidio Crossing Project, along with the non-jurisdictional facilities are examined,</w:t>
      </w:r>
      <w:r>
        <w:rPr>
          <w:spacing w:val="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each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 xml:space="preserve">facility is one link in the </w:t>
      </w:r>
      <w:r>
        <w:rPr>
          <w:u w:val="single" w:color="000000"/>
          <w:rtl w:val="0"/>
          <w:lang w:val="en-US"/>
        </w:rPr>
        <w:t>“</w:t>
      </w:r>
      <w:r>
        <w:rPr>
          <w:u w:val="single" w:color="000000"/>
          <w:rtl w:val="0"/>
          <w:lang w:val="en-US"/>
        </w:rPr>
        <w:t>same bit of chain</w:t>
      </w:r>
      <w:r>
        <w:rPr>
          <w:u w:val="single" w:color="000000"/>
          <w:rtl w:val="0"/>
          <w:lang w:val="en-US"/>
        </w:rPr>
        <w:t>”</w:t>
      </w:r>
      <w:r>
        <w:rPr>
          <w:rtl w:val="0"/>
          <w:lang w:val="en-US"/>
        </w:rPr>
        <w:t>, connecting the Waha Natural Gas Market Hub to the customer's pipeline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 Mexico.</w:t>
      </w:r>
    </w:p>
    <w:p>
      <w:pPr>
        <w:pStyle w:val="Body"/>
        <w:spacing w:before="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line="242" w:lineRule="auto"/>
        <w:ind w:left="837" w:right="16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 xml:space="preserve">In the case of the proposed Trans-Pecos Pipeline, </w:t>
      </w:r>
      <w:r>
        <w:rPr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</w:rPr>
        <w:t>all three tests result in the unequivocal outcome that the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u w:val="single"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it-IT"/>
        </w:rPr>
        <w:t xml:space="preserve">entire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</w:rPr>
        <w:t>project is subject to NEPA compliance, not just the jurisdictional segment at the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u w:val="single"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u w:val="single" w:color="000000"/>
          <w:rtl w:val="0"/>
        </w:rPr>
        <w:t>border.</w:t>
      </w:r>
    </w:p>
    <w:p>
      <w:pPr>
        <w:pStyle w:val="Body"/>
        <w:spacing w:before="6"/>
        <w:rPr>
          <w:rFonts w:ascii="Times New Roman" w:cs="Times New Roman" w:hAnsi="Times New Roman" w:eastAsia="Times New Roman"/>
          <w:b w:val="1"/>
          <w:bCs w:val="1"/>
          <w:sz w:val="13"/>
          <w:szCs w:val="13"/>
        </w:rPr>
      </w:pPr>
    </w:p>
    <w:p>
      <w:pPr>
        <w:pStyle w:val="Body Text"/>
        <w:spacing w:before="74"/>
        <w:ind w:right="108"/>
        <w:sectPr>
          <w:headerReference w:type="default" r:id="rId10"/>
          <w:footerReference w:type="default" r:id="rId11"/>
          <w:type w:val="continuous"/>
          <w:pgSz w:w="12240" w:h="15840" w:orient="portrait"/>
          <w:pgMar w:top="320" w:right="1040" w:bottom="280" w:left="300" w:header="133" w:footer="0"/>
          <w:pgNumType w:start="1"/>
          <w:titlePg w:val="1"/>
          <w:bidi w:val="0"/>
        </w:sectPr>
      </w:pPr>
      <w:r>
        <w:rPr>
          <w:rtl w:val="0"/>
          <w:lang w:val="en-US"/>
        </w:rPr>
        <w:t>Clearly on the basis of these facts, the Commission should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consider: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EA scoping must include both the jurisdictional, and non-jurisdictional facilities associated 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CP15-500, the proposed Trans-Pecos Pipeline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not doing so would place FERC at odds with the laws associated 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40 CFR Chapter V, Parts 1500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1518. In turn, impermissible segmentation of the project would lead 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litigation and court challenges, under well-established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precedents</w:t>
      </w:r>
    </w:p>
    <w:p>
      <w:pPr>
        <w:pStyle w:val="Body Text"/>
        <w:ind w:right="165"/>
        <w:sectPr>
          <w:headerReference w:type="default" r:id="rId12"/>
          <w:footerReference w:type="default" r:id="rId13"/>
          <w:type w:val="continuous"/>
          <w:pgSz w:w="12240" w:h="15840" w:orient="portrait"/>
          <w:pgMar w:top="320" w:right="1020" w:bottom="280" w:left="300" w:header="133" w:footer="0"/>
          <w:pgNumType w:start="1"/>
          <w:titlePg w:val="1"/>
          <w:bidi w:val="0"/>
        </w:sectPr>
      </w:pPr>
    </w:p>
    <w:p>
      <w:pPr>
        <w:pStyle w:val="Body Text"/>
        <w:spacing w:before="74" w:line="242" w:lineRule="auto"/>
        <w:ind w:right="373"/>
      </w:pPr>
      <w:r>
        <w:rPr>
          <w:rtl w:val="0"/>
          <w:lang w:val="en-US"/>
        </w:rPr>
        <w:t>The permit application on FERC Docket CP15-500, as constructed by the applicant, is a blatant, and clear attempt 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 xml:space="preserve">project </w:t>
      </w:r>
      <w:r>
        <w:rPr>
          <w:rtl w:val="0"/>
          <w:lang w:val="en-US"/>
        </w:rPr>
        <w:t>consortium to impermissibly segment the project, and circumvent the intent of NEPA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compliance.</w:t>
      </w:r>
    </w:p>
    <w:p>
      <w:pPr>
        <w:pStyle w:val="Body"/>
        <w:spacing w:before="11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Body Text"/>
        <w:ind w:right="98"/>
      </w:pPr>
      <w:r>
        <w:rPr>
          <w:rtl w:val="0"/>
          <w:lang w:val="en-US"/>
        </w:rPr>
        <w:t>On that basis, the Commission</w:t>
      </w:r>
      <w:r>
        <w:rPr>
          <w:rtl w:val="0"/>
          <w:lang w:val="en-US"/>
        </w:rPr>
        <w:t xml:space="preserve"> is accountable, and</w:t>
      </w:r>
      <w:r>
        <w:rPr>
          <w:rtl w:val="0"/>
          <w:lang w:val="en-US"/>
        </w:rPr>
        <w:t xml:space="preserve"> should hold the applicant accountable, </w:t>
      </w:r>
      <w:r>
        <w:rPr>
          <w:rtl w:val="0"/>
          <w:lang w:val="en-US"/>
        </w:rPr>
        <w:t>requiring an</w:t>
      </w:r>
      <w:r>
        <w:rPr>
          <w:rtl w:val="0"/>
          <w:lang w:val="en-US"/>
        </w:rPr>
        <w:t xml:space="preserve"> Environmental Assessment for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project as a whole, with a recommendation that the entire project, including jurisdictional and non-jurisdictional segments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 subject to a complete Environmental Impact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Statement.</w:t>
      </w:r>
    </w:p>
    <w:p>
      <w:pPr>
        <w:pStyle w:val="Body"/>
        <w:spacing w:before="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ind w:right="373"/>
      </w:pPr>
      <w:r>
        <w:rPr>
          <w:rtl w:val="0"/>
          <w:lang w:val="en-US"/>
        </w:rPr>
        <w:t>The Commission must prepare an environmental impact statement (EIS) to consider the impacts of the 143-mile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non- jurisdictional intrastate pipeline as required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by:</w:t>
      </w:r>
    </w:p>
    <w:p>
      <w:pPr>
        <w:pStyle w:val="Body"/>
        <w:spacing w:before="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numPr>
          <w:ilvl w:val="2"/>
          <w:numId w:val="6"/>
        </w:numPr>
        <w:bidi w:val="0"/>
        <w:ind w:right="373"/>
        <w:jc w:val="left"/>
        <w:rPr>
          <w:rFonts w:ascii="Times New Roman" w:cs="Times New Roman" w:hAnsi="Times New Roman" w:eastAsia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T</w:t>
      </w:r>
      <w:r>
        <w:rPr>
          <w:rFonts w:ascii="Times New Roman" w:hAnsi="Times New Roman"/>
          <w:sz w:val="21"/>
          <w:szCs w:val="21"/>
          <w:rtl w:val="0"/>
          <w:lang w:val="en-US"/>
        </w:rPr>
        <w:t>he Commission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>’</w:t>
      </w:r>
      <w:r>
        <w:rPr>
          <w:rFonts w:ascii="Times New Roman" w:hAnsi="Times New Roman"/>
          <w:sz w:val="21"/>
          <w:szCs w:val="21"/>
          <w:rtl w:val="0"/>
          <w:lang w:val="en-US"/>
        </w:rPr>
        <w:t>s four-factor test in Algonquin Gas Trans. Co.,</w:t>
      </w:r>
      <w:r>
        <w:rPr>
          <w:rFonts w:ascii="Times New Roman" w:hAnsi="Times New Roman"/>
          <w:position w:val="14"/>
          <w:sz w:val="21"/>
          <w:szCs w:val="21"/>
          <w:rtl w:val="0"/>
          <w:lang w:val="en-US"/>
        </w:rPr>
        <w:t>1</w:t>
      </w:r>
    </w:p>
    <w:p>
      <w:pPr>
        <w:pStyle w:val="List Paragraph"/>
        <w:numPr>
          <w:ilvl w:val="2"/>
          <w:numId w:val="7"/>
        </w:numPr>
        <w:bidi w:val="0"/>
        <w:spacing w:before="2"/>
        <w:ind w:right="373"/>
        <w:jc w:val="left"/>
        <w:rPr>
          <w:rFonts w:ascii="Times New Roman" w:cs="Times New Roman" w:hAnsi="Times New Roman" w:eastAsia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NEPA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>’</w:t>
      </w:r>
      <w:r>
        <w:rPr>
          <w:rFonts w:ascii="Times New Roman" w:hAnsi="Times New Roman"/>
          <w:sz w:val="21"/>
          <w:szCs w:val="21"/>
          <w:rtl w:val="0"/>
          <w:lang w:val="en-US"/>
        </w:rPr>
        <w:t>s anti-segmentation policy and</w:t>
      </w:r>
    </w:p>
    <w:p>
      <w:pPr>
        <w:pStyle w:val="List Paragraph"/>
        <w:numPr>
          <w:ilvl w:val="2"/>
          <w:numId w:val="7"/>
        </w:numPr>
        <w:bidi w:val="0"/>
        <w:ind w:right="373"/>
        <w:jc w:val="left"/>
        <w:rPr>
          <w:rFonts w:ascii="Times New Roman" w:cs="Times New Roman" w:hAnsi="Times New Roman" w:eastAsia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CEQ regulations on evaluation of cumulative impacts</w:t>
      </w:r>
      <w:r>
        <w:rPr>
          <w:rFonts w:ascii="Times New Roman" w:hAnsi="Times New Roman"/>
          <w:position w:val="14"/>
          <w:sz w:val="21"/>
          <w:szCs w:val="21"/>
          <w:rtl w:val="0"/>
          <w:lang w:val="en-US"/>
        </w:rPr>
        <w:t>2</w:t>
      </w:r>
      <w:r>
        <w:rPr>
          <w:rFonts w:ascii="Times New Roman" w:hAnsi="Times New Roman"/>
          <w:sz w:val="21"/>
          <w:szCs w:val="21"/>
          <w:rtl w:val="0"/>
          <w:lang w:val="en-US"/>
        </w:rPr>
        <w:t>, and</w:t>
      </w:r>
    </w:p>
    <w:p>
      <w:pPr>
        <w:pStyle w:val="List Paragraph"/>
        <w:numPr>
          <w:ilvl w:val="2"/>
          <w:numId w:val="7"/>
        </w:numPr>
        <w:bidi w:val="0"/>
        <w:spacing w:before="2"/>
        <w:ind w:right="373"/>
        <w:jc w:val="left"/>
        <w:rPr>
          <w:rFonts w:ascii="Times New Roman" w:cs="Times New Roman" w:hAnsi="Times New Roman" w:eastAsia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CEQ regulations governing preparation of an</w:t>
      </w:r>
      <w:r>
        <w:rPr>
          <w:rFonts w:ascii="Times New Roman" w:hAnsi="Times New Roman"/>
          <w:spacing w:val="-1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EIS.</w:t>
      </w:r>
    </w:p>
    <w:p>
      <w:pPr>
        <w:pStyle w:val="Body"/>
        <w:spacing w:before="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ind w:right="373"/>
      </w:pPr>
      <w:r>
        <w:rPr>
          <w:rtl w:val="0"/>
          <w:lang w:val="en-US"/>
        </w:rPr>
        <w:t>Applying the Alonguin test, the Commission must extend environmental review to Trans-Pecos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proposed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intrastate pipeline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facilities</w:t>
      </w:r>
      <w:r>
        <w:rPr>
          <w:position w:val="14"/>
          <w:sz w:val="11"/>
          <w:szCs w:val="11"/>
          <w:rtl w:val="0"/>
          <w:lang w:val="en-US"/>
        </w:rPr>
        <w:t>3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 Applying Delaware Riverkeeper v. FERC, it is clear that both the jurisdictional, and so-called non-jurisdictional portions of this project are related, interdependent, and must be considered as a whole.</w:t>
      </w:r>
    </w:p>
    <w:p>
      <w:pPr>
        <w:pStyle w:val="Body Text"/>
        <w:ind w:right="373"/>
      </w:pPr>
    </w:p>
    <w:p>
      <w:pPr>
        <w:pStyle w:val="Body Text"/>
        <w:ind w:right="373"/>
      </w:pPr>
    </w:p>
    <w:p>
      <w:pPr>
        <w:pStyle w:val="Body Text"/>
        <w:ind w:right="373"/>
      </w:pPr>
      <w:r>
        <w:rPr>
          <w:rtl w:val="0"/>
          <w:lang w:val="en-US"/>
        </w:rPr>
        <w:t>______________________________________</w:t>
      </w:r>
    </w:p>
    <w:p>
      <w:pPr>
        <w:pStyle w:val="Body Text"/>
        <w:ind w:right="373"/>
      </w:pPr>
    </w:p>
    <w:p>
      <w:pPr>
        <w:pStyle w:val="Body Text"/>
        <w:ind w:right="373"/>
      </w:pPr>
      <w:r>
        <w:rPr>
          <w:rtl w:val="0"/>
          <w:lang w:val="en-US"/>
        </w:rPr>
        <w:t>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before="6"/>
        <w:rPr>
          <w:rFonts w:ascii="Times New Roman" w:cs="Times New Roman" w:hAnsi="Times New Roman" w:eastAsia="Times New Roman"/>
          <w:sz w:val="13"/>
          <w:szCs w:val="13"/>
        </w:rPr>
      </w:pPr>
    </w:p>
    <w:p>
      <w:pPr>
        <w:pStyle w:val="Body"/>
        <w:spacing w:line="20" w:lineRule="exact"/>
        <w:ind w:left="830" w:firstLine="0"/>
        <w:rPr>
          <w:rFonts w:ascii="Times New Roman" w:cs="Times New Roman" w:hAnsi="Times New Roman" w:eastAsia="Times New Roman"/>
          <w:sz w:val="2"/>
          <w:szCs w:val="2"/>
        </w:rPr>
      </w:pPr>
      <w:r>
        <w:rPr>
          <w:rFonts w:ascii="Times New Roman" w:cs="Times New Roman" w:hAnsi="Times New Roman" w:eastAsia="Times New Roman"/>
          <w:sz w:val="2"/>
          <w:szCs w:val="2"/>
        </w:rPr>
        <mc:AlternateContent>
          <mc:Choice Requires="wps">
            <w:drawing>
              <wp:inline distT="0" distB="0" distL="0" distR="0">
                <wp:extent cx="1583690" cy="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124.7pt;height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 Text"/>
        <w:spacing w:before="37"/>
        <w:ind w:right="373"/>
      </w:pPr>
      <w:r>
        <w:rPr>
          <w:rtl w:val="0"/>
          <w:lang w:val="en-US"/>
        </w:rPr>
        <w:t xml:space="preserve">1Algonquin Gas Trans. Co., 59 FERC </w:t>
      </w:r>
      <w:r>
        <w:rPr>
          <w:rtl w:val="0"/>
          <w:lang w:val="en-US"/>
        </w:rPr>
        <w:t>¶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61,255</w:t>
      </w:r>
    </w:p>
    <w:p>
      <w:pPr>
        <w:pStyle w:val="Body Text"/>
        <w:spacing w:before="2"/>
        <w:ind w:right="373"/>
      </w:pPr>
      <w:r>
        <w:rPr>
          <w:rtl w:val="0"/>
          <w:lang w:val="en-US"/>
        </w:rPr>
        <w:t>2See Delaware Riverkeeper v. FERC, 753 F.3d 1304, 1313 (D.C. Cir.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2014)</w:t>
      </w:r>
    </w:p>
    <w:p>
      <w:pPr>
        <w:pStyle w:val="Body Text"/>
        <w:spacing w:line="242" w:lineRule="auto"/>
        <w:ind w:right="98"/>
      </w:pPr>
      <w:r>
        <w:rPr>
          <w:rtl w:val="0"/>
          <w:lang w:val="en-US"/>
        </w:rPr>
        <w:t xml:space="preserve">359 FERC </w:t>
      </w:r>
      <w:r>
        <w:rPr>
          <w:rtl w:val="0"/>
          <w:lang w:val="en-US"/>
        </w:rPr>
        <w:t xml:space="preserve">¶ </w:t>
      </w:r>
      <w:r>
        <w:rPr>
          <w:rtl w:val="0"/>
          <w:lang w:val="en-US"/>
        </w:rPr>
        <w:t>61,255, at *11- *12. See also, Nat. Committee for New River v. FERC, 373 F.3d 1324 (D.C. Cir.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2004)(citing with approval Commission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Algonquin test for determining scope of authority to review non-jurisdictional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facilities).</w:t>
      </w:r>
    </w:p>
    <w:sectPr>
      <w:headerReference w:type="default" r:id="rId14"/>
      <w:footerReference w:type="default" r:id="rId15"/>
      <w:type w:val="continuous"/>
      <w:pgSz w:w="12240" w:h="15840" w:orient="portrait"/>
      <w:pgMar w:top="320" w:right="1060" w:bottom="280" w:left="300" w:header="133" w:footer="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pacing w:line="14" w:lineRule="auto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pacing w:line="14" w:lineRule="auto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pacing w:line="14" w:lineRule="auto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pacing w:line="14" w:lineRule="auto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pacing w:line="14" w:lineRule="auto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pacing w:line="14" w:lineRule="auto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(%1)"/>
      <w:lvlJc w:val="left"/>
      <w:pPr>
        <w:tabs>
          <w:tab w:val="left" w:pos="1558"/>
        </w:tabs>
        <w:ind w:left="155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tabs>
          <w:tab w:val="left" w:pos="1558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558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1558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tabs>
          <w:tab w:val="left" w:pos="1558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tabs>
          <w:tab w:val="left" w:pos="1558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1558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tabs>
          <w:tab w:val="left" w:pos="1558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left" w:pos="1558"/>
        </w:tabs>
        <w:ind w:left="155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558"/>
        </w:tabs>
        <w:ind w:left="2965" w:hanging="2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558"/>
        </w:tabs>
        <w:ind w:left="5730" w:hanging="2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558"/>
        </w:tabs>
        <w:ind w:left="8495" w:hanging="2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558"/>
        </w:tabs>
        <w:ind w:left="11260" w:hanging="2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558"/>
        </w:tabs>
        <w:ind w:left="14025" w:hanging="2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558"/>
        </w:tabs>
        <w:ind w:left="16790" w:hanging="2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558"/>
        </w:tabs>
        <w:ind w:left="19555" w:hanging="2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558"/>
        </w:tabs>
        <w:ind w:left="22320" w:hanging="2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bered"/>
  </w:abstractNum>
  <w:abstractNum w:abstractNumId="5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2256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256"/>
        </w:tabs>
        <w:ind w:left="1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256"/>
        </w:tabs>
        <w:ind w:left="1716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56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256"/>
        </w:tabs>
        <w:ind w:left="3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256"/>
        </w:tabs>
        <w:ind w:left="4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56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256"/>
        </w:tabs>
        <w:ind w:left="5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256"/>
        </w:tabs>
        <w:ind w:left="6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256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56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256"/>
          </w:tabs>
          <w:ind w:left="3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256"/>
          </w:tabs>
          <w:ind w:left="4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256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256"/>
          </w:tabs>
          <w:ind w:left="5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256"/>
          </w:tabs>
          <w:ind w:left="6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37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numbering" w:styleId="Numbered">
    <w:name w:val="Numbered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header" Target="header6.xml"/><Relationship Id="rId15" Type="http://schemas.openxmlformats.org/officeDocument/2006/relationships/footer" Target="footer6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