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CC312" w14:textId="02817CEC" w:rsidR="00694BC1" w:rsidRDefault="00B611C8" w:rsidP="00D647DB">
      <w:pPr>
        <w:jc w:val="both"/>
      </w:pPr>
      <w:r>
        <w:rPr>
          <w:b/>
          <w:bCs/>
        </w:rPr>
        <w:t>Bob Brown Foundation Inc v Commonwealth of Australia [2021] FCAFC</w:t>
      </w:r>
    </w:p>
    <w:p w14:paraId="3CA22321" w14:textId="332A8813" w:rsidR="00B611C8" w:rsidRDefault="00B611C8" w:rsidP="00D647DB">
      <w:pPr>
        <w:jc w:val="both"/>
      </w:pPr>
    </w:p>
    <w:p w14:paraId="01B31EA4" w14:textId="5DFB6EAC" w:rsidR="00B611C8" w:rsidRDefault="00B611C8" w:rsidP="00D647DB">
      <w:pPr>
        <w:jc w:val="both"/>
      </w:pPr>
      <w:r>
        <w:t xml:space="preserve">On 3 February 2021, the Federal Court of Australia handed down its decision </w:t>
      </w:r>
      <w:r w:rsidR="004E0CA9">
        <w:t xml:space="preserve">in </w:t>
      </w:r>
      <w:r>
        <w:t xml:space="preserve">‘The Great Forest Case’. The Court </w:t>
      </w:r>
      <w:r w:rsidR="004E0CA9">
        <w:t>rejected</w:t>
      </w:r>
      <w:r>
        <w:t xml:space="preserve"> the Bob Brown Foundation’s arguments and held in favour of the </w:t>
      </w:r>
      <w:r w:rsidR="004E0CA9">
        <w:t xml:space="preserve">three </w:t>
      </w:r>
      <w:r>
        <w:t>Respondent</w:t>
      </w:r>
      <w:r w:rsidR="00922826">
        <w:t>s.</w:t>
      </w:r>
    </w:p>
    <w:p w14:paraId="7CAB857B" w14:textId="5B2CC820" w:rsidR="00B611C8" w:rsidRDefault="00B611C8" w:rsidP="00D647DB">
      <w:pPr>
        <w:jc w:val="both"/>
      </w:pPr>
    </w:p>
    <w:p w14:paraId="60066AFC" w14:textId="3F68F75A" w:rsidR="00B611C8" w:rsidRDefault="00B611C8" w:rsidP="00D647DB">
      <w:pPr>
        <w:jc w:val="both"/>
      </w:pPr>
      <w:r>
        <w:rPr>
          <w:b/>
          <w:bCs/>
        </w:rPr>
        <w:t>Background</w:t>
      </w:r>
    </w:p>
    <w:p w14:paraId="38E61090" w14:textId="4FCAFFE3" w:rsidR="00B611C8" w:rsidRDefault="00B611C8" w:rsidP="00D647DB">
      <w:pPr>
        <w:jc w:val="both"/>
      </w:pPr>
      <w:r>
        <w:t xml:space="preserve">The Great Forest Case was heard in the Federal Court of Australia between the Bob Brown Foundation (‘the Applicant’) and the Commonwealth of Australia, State of Tasmania and Sustainable Timber Tasmania (‘the Respondents’). The Bob Brown Foundation </w:t>
      </w:r>
      <w:r w:rsidR="00A65328">
        <w:t xml:space="preserve">brought the case, </w:t>
      </w:r>
      <w:r>
        <w:t>argu</w:t>
      </w:r>
      <w:r w:rsidR="00A65328">
        <w:t>ing</w:t>
      </w:r>
      <w:r>
        <w:t xml:space="preserve"> that the Tasmanian Regional Forest Agreement is not </w:t>
      </w:r>
      <w:r w:rsidR="008C5E9E">
        <w:t>a Regional Forest Agreement</w:t>
      </w:r>
      <w:r w:rsidR="00C1123B">
        <w:t xml:space="preserve"> (‘RFA’)</w:t>
      </w:r>
      <w:r w:rsidR="008C5E9E">
        <w:t xml:space="preserve"> for the purposes of t</w:t>
      </w:r>
      <w:r w:rsidR="00023426">
        <w:t>wo key pieces of legislation - the</w:t>
      </w:r>
      <w:r w:rsidR="008C5E9E">
        <w:t xml:space="preserve"> </w:t>
      </w:r>
      <w:r w:rsidR="008C5E9E">
        <w:rPr>
          <w:i/>
          <w:iCs/>
        </w:rPr>
        <w:t xml:space="preserve">Regional Forests Agreement Act 2002 </w:t>
      </w:r>
      <w:r w:rsidR="008C5E9E">
        <w:t>(</w:t>
      </w:r>
      <w:proofErr w:type="spellStart"/>
      <w:r w:rsidR="008C5E9E">
        <w:t>Cth</w:t>
      </w:r>
      <w:proofErr w:type="spellEnd"/>
      <w:r w:rsidR="008C5E9E">
        <w:t xml:space="preserve">) </w:t>
      </w:r>
      <w:r w:rsidR="00CC49EF">
        <w:t xml:space="preserve">(‘RFA Act’) </w:t>
      </w:r>
      <w:r w:rsidR="008C5E9E">
        <w:t xml:space="preserve">and s 38 (1) of the </w:t>
      </w:r>
      <w:r w:rsidR="008C5E9E">
        <w:rPr>
          <w:i/>
          <w:iCs/>
        </w:rPr>
        <w:t xml:space="preserve">Environment Protection and Biodiversity Conservation Act 1999 </w:t>
      </w:r>
      <w:r w:rsidR="008C5E9E">
        <w:t>(</w:t>
      </w:r>
      <w:proofErr w:type="spellStart"/>
      <w:r w:rsidR="008C5E9E">
        <w:t>Cth</w:t>
      </w:r>
      <w:proofErr w:type="spellEnd"/>
      <w:r w:rsidR="008C5E9E">
        <w:t>)</w:t>
      </w:r>
      <w:r w:rsidR="0073647F">
        <w:t xml:space="preserve"> (‘EPBC Act’).</w:t>
      </w:r>
      <w:r w:rsidR="008C5E9E">
        <w:t xml:space="preserve"> </w:t>
      </w:r>
    </w:p>
    <w:p w14:paraId="0B21ADC0" w14:textId="69342492" w:rsidR="00BF246E" w:rsidRDefault="008C5E9E" w:rsidP="00D647DB">
      <w:pPr>
        <w:jc w:val="both"/>
      </w:pPr>
      <w:r>
        <w:t xml:space="preserve">Regional Forest Agreements are agreements made between the Commonwealth and State governments </w:t>
      </w:r>
      <w:r w:rsidR="00FA60A2">
        <w:t xml:space="preserve">for the </w:t>
      </w:r>
      <w:r w:rsidR="004E0CA9">
        <w:t>management of forestry operations and the promotion of the forest industry</w:t>
      </w:r>
      <w:r w:rsidR="00FA60A2">
        <w:t>.</w:t>
      </w:r>
      <w:r w:rsidR="00BE41BD">
        <w:t xml:space="preserve"> </w:t>
      </w:r>
      <w:r w:rsidR="00832FF1">
        <w:t xml:space="preserve">They lay down </w:t>
      </w:r>
      <w:r w:rsidR="00C37E2A">
        <w:t>guidelines, tasks and responsibilities for forest management</w:t>
      </w:r>
      <w:r w:rsidR="004E0CA9">
        <w:t>, anchored to what was a popular concept in the late 1990s called “sustainability”</w:t>
      </w:r>
      <w:r w:rsidR="00C37E2A">
        <w:t xml:space="preserve">. </w:t>
      </w:r>
      <w:r w:rsidR="002D68EE">
        <w:t xml:space="preserve">The Tasmanian </w:t>
      </w:r>
      <w:r w:rsidR="005809B0">
        <w:t>RFA</w:t>
      </w:r>
      <w:r w:rsidR="002D68EE">
        <w:t xml:space="preserve"> </w:t>
      </w:r>
      <w:r w:rsidR="00ED5E0F">
        <w:t>was entered into in 1997</w:t>
      </w:r>
      <w:r w:rsidR="00C316EF">
        <w:t xml:space="preserve"> and t</w:t>
      </w:r>
      <w:r w:rsidR="00D5050B">
        <w:t>here are</w:t>
      </w:r>
      <w:r w:rsidR="00C316EF">
        <w:t xml:space="preserve"> currently</w:t>
      </w:r>
      <w:r w:rsidR="00D5050B">
        <w:t xml:space="preserve"> RFAs in 10 regions across Australia.</w:t>
      </w:r>
      <w:r w:rsidR="001B76B7">
        <w:t xml:space="preserve"> The </w:t>
      </w:r>
      <w:r w:rsidR="001B76B7">
        <w:rPr>
          <w:i/>
          <w:iCs/>
        </w:rPr>
        <w:t>RFA Act</w:t>
      </w:r>
      <w:r w:rsidR="001B76B7">
        <w:t xml:space="preserve">, introduced in 2002, </w:t>
      </w:r>
      <w:r w:rsidR="00FE59E1">
        <w:t>aims to</w:t>
      </w:r>
      <w:r w:rsidR="006416DC">
        <w:t xml:space="preserve"> improve stability and certainty in the forest industry by ensuring that Commonwealth government</w:t>
      </w:r>
      <w:r w:rsidR="00FE59E1">
        <w:t>s</w:t>
      </w:r>
      <w:r w:rsidR="006416DC">
        <w:t xml:space="preserve"> will not materially alter the conditions negotiated in RFAs</w:t>
      </w:r>
      <w:r w:rsidR="000F781F">
        <w:t>. Importantly, it provides the definition of an RFA</w:t>
      </w:r>
      <w:r w:rsidR="00713CBB">
        <w:t xml:space="preserve">, which is used in Acts such as the </w:t>
      </w:r>
      <w:r w:rsidR="00713CBB" w:rsidRPr="00713CBB">
        <w:rPr>
          <w:i/>
          <w:iCs/>
        </w:rPr>
        <w:t>EPBC Act.</w:t>
      </w:r>
    </w:p>
    <w:p w14:paraId="26553F90" w14:textId="106BF5D8" w:rsidR="008C5E9E" w:rsidRDefault="00BF246E" w:rsidP="00D647DB">
      <w:pPr>
        <w:jc w:val="both"/>
      </w:pPr>
      <w:r>
        <w:t>T</w:t>
      </w:r>
      <w:r w:rsidR="00CD7775">
        <w:t xml:space="preserve">he </w:t>
      </w:r>
      <w:r w:rsidR="00CD7775">
        <w:rPr>
          <w:i/>
          <w:iCs/>
        </w:rPr>
        <w:t xml:space="preserve">EPBC Act </w:t>
      </w:r>
      <w:r w:rsidR="00CD7775">
        <w:t xml:space="preserve">is </w:t>
      </w:r>
      <w:r w:rsidR="00713CBB">
        <w:t xml:space="preserve">the Australian </w:t>
      </w:r>
      <w:r w:rsidR="004E0CA9">
        <w:t xml:space="preserve">parliament’s </w:t>
      </w:r>
      <w:r w:rsidR="00713CBB">
        <w:t>central piece of environmental legislation</w:t>
      </w:r>
      <w:r w:rsidR="00B650D2">
        <w:t xml:space="preserve">. </w:t>
      </w:r>
      <w:r w:rsidR="00A24893">
        <w:t xml:space="preserve"> </w:t>
      </w:r>
      <w:r w:rsidR="00F61747">
        <w:t xml:space="preserve">The </w:t>
      </w:r>
      <w:r w:rsidR="00F61747" w:rsidRPr="00713CBB">
        <w:rPr>
          <w:i/>
          <w:iCs/>
        </w:rPr>
        <w:t>EPBC Act</w:t>
      </w:r>
      <w:r w:rsidR="00F61747">
        <w:t xml:space="preserve"> protects matters of national environmental significance, including threatened species. </w:t>
      </w:r>
      <w:r w:rsidR="009626D5">
        <w:t>Under s 18, a person must not take an action that ‘has or will have a significant impact on a listed threatened species’</w:t>
      </w:r>
      <w:r w:rsidR="00FE0E26">
        <w:t xml:space="preserve">. </w:t>
      </w:r>
      <w:r w:rsidR="00163702">
        <w:t>However, this does not apply i</w:t>
      </w:r>
      <w:r w:rsidR="00255A8E">
        <w:t>f the person has been granted an</w:t>
      </w:r>
      <w:r w:rsidR="00EE4D0D">
        <w:t xml:space="preserve"> environmental</w:t>
      </w:r>
      <w:r w:rsidR="00255A8E">
        <w:t xml:space="preserve"> approval for taking the action. </w:t>
      </w:r>
      <w:r w:rsidR="001B4BBD">
        <w:t xml:space="preserve">Gaining an environmental </w:t>
      </w:r>
      <w:r w:rsidR="00177D9F">
        <w:t>approval</w:t>
      </w:r>
      <w:r w:rsidR="001B4BBD">
        <w:t xml:space="preserve"> is often a complex and stringent process</w:t>
      </w:r>
      <w:r w:rsidR="009302CD">
        <w:t xml:space="preserve">. </w:t>
      </w:r>
      <w:r w:rsidR="00957CC8">
        <w:t xml:space="preserve">Part 4 of the </w:t>
      </w:r>
      <w:r w:rsidR="00957CC8">
        <w:rPr>
          <w:i/>
          <w:iCs/>
        </w:rPr>
        <w:t>EPBC Act</w:t>
      </w:r>
      <w:r w:rsidR="00177D9F">
        <w:t>, however,</w:t>
      </w:r>
      <w:r w:rsidR="00957CC8">
        <w:rPr>
          <w:i/>
          <w:iCs/>
        </w:rPr>
        <w:t xml:space="preserve"> </w:t>
      </w:r>
      <w:r w:rsidR="00957CC8">
        <w:t xml:space="preserve">allows someone </w:t>
      </w:r>
      <w:r w:rsidR="004E0CA9">
        <w:t xml:space="preserve">in certain circumstances </w:t>
      </w:r>
      <w:r w:rsidR="00957CC8">
        <w:t xml:space="preserve">to take an action that will impact a threatened species </w:t>
      </w:r>
      <w:r w:rsidR="00957CC8">
        <w:rPr>
          <w:i/>
          <w:iCs/>
        </w:rPr>
        <w:t>without</w:t>
      </w:r>
      <w:r w:rsidR="00957CC8">
        <w:t xml:space="preserve"> an environmental approval. </w:t>
      </w:r>
      <w:r w:rsidR="00415D57">
        <w:t xml:space="preserve">Forest </w:t>
      </w:r>
      <w:r w:rsidR="008E3289">
        <w:t>o</w:t>
      </w:r>
      <w:r w:rsidR="00415D57">
        <w:t>perations undertaken in accordance with RFAs are listed under Part 4</w:t>
      </w:r>
      <w:r w:rsidR="008E3289">
        <w:t>. This mean</w:t>
      </w:r>
      <w:r w:rsidR="00F212AF">
        <w:t>s that</w:t>
      </w:r>
      <w:r w:rsidR="008E3289">
        <w:t xml:space="preserve"> </w:t>
      </w:r>
      <w:r w:rsidR="00E11C42">
        <w:t xml:space="preserve">even if </w:t>
      </w:r>
      <w:r w:rsidR="0031447C">
        <w:t xml:space="preserve">logging </w:t>
      </w:r>
      <w:r w:rsidR="00E11C42">
        <w:t>is</w:t>
      </w:r>
      <w:r w:rsidR="00022A43">
        <w:t xml:space="preserve"> impacting threatened species</w:t>
      </w:r>
      <w:r w:rsidR="00F212AF">
        <w:t>, it does not need to go through the Commonwealth environmental approval process</w:t>
      </w:r>
      <w:r w:rsidR="00FC774D">
        <w:t xml:space="preserve"> if it is done in accordance with an RFA.</w:t>
      </w:r>
    </w:p>
    <w:p w14:paraId="33F65FB2" w14:textId="101C2FAF" w:rsidR="00E11C42" w:rsidRPr="00BA22DC" w:rsidRDefault="00E11C42" w:rsidP="00D647DB">
      <w:pPr>
        <w:jc w:val="both"/>
      </w:pPr>
      <w:r>
        <w:t xml:space="preserve">One impetus for bringing forth </w:t>
      </w:r>
      <w:r w:rsidR="004E0CA9">
        <w:t xml:space="preserve">the Great Forest Case </w:t>
      </w:r>
      <w:r>
        <w:t xml:space="preserve"> </w:t>
      </w:r>
      <w:r w:rsidR="00851A16">
        <w:t xml:space="preserve">is that the </w:t>
      </w:r>
      <w:r w:rsidR="001C1AEF">
        <w:t xml:space="preserve">critically endangered </w:t>
      </w:r>
      <w:r w:rsidR="00851A16">
        <w:t>Swift Parrot</w:t>
      </w:r>
      <w:r w:rsidR="001C1AEF">
        <w:t xml:space="preserve"> </w:t>
      </w:r>
      <w:r w:rsidR="00851A16">
        <w:t xml:space="preserve">is losing its habitat to logging. </w:t>
      </w:r>
      <w:r w:rsidR="00A84064">
        <w:t xml:space="preserve">The species is on the brink of extinction, yet the </w:t>
      </w:r>
      <w:r w:rsidR="000D4EB4">
        <w:t xml:space="preserve">logging activity is exempt from </w:t>
      </w:r>
      <w:r w:rsidR="00CF28B3">
        <w:t>Australia’s premiere environmental law</w:t>
      </w:r>
      <w:r w:rsidR="00477BCB">
        <w:t xml:space="preserve"> and main form of </w:t>
      </w:r>
      <w:r w:rsidR="005F6ADF">
        <w:t xml:space="preserve">protection for threatened species. </w:t>
      </w:r>
      <w:r w:rsidR="00477BCB">
        <w:t>However, only those logging operations un</w:t>
      </w:r>
      <w:r w:rsidR="00512BD9">
        <w:t>dertaken</w:t>
      </w:r>
      <w:r w:rsidR="00477BCB">
        <w:t xml:space="preserve"> in accordance </w:t>
      </w:r>
      <w:r w:rsidR="00BA22DC">
        <w:t xml:space="preserve">with an RFA </w:t>
      </w:r>
      <w:r w:rsidR="00512BD9">
        <w:t>which</w:t>
      </w:r>
      <w:r w:rsidR="00BA22DC">
        <w:t xml:space="preserve"> is within the definition of ‘RFA’ in the </w:t>
      </w:r>
      <w:r w:rsidR="00CC49EF">
        <w:rPr>
          <w:i/>
          <w:iCs/>
        </w:rPr>
        <w:t>RFA</w:t>
      </w:r>
      <w:r w:rsidR="00BA22DC">
        <w:rPr>
          <w:i/>
          <w:iCs/>
        </w:rPr>
        <w:t xml:space="preserve"> Act</w:t>
      </w:r>
      <w:r w:rsidR="00BA22DC">
        <w:t xml:space="preserve"> </w:t>
      </w:r>
      <w:r w:rsidR="00512BD9">
        <w:t>are exempt</w:t>
      </w:r>
      <w:r w:rsidR="00BA22DC">
        <w:t xml:space="preserve">. The Bob Brown Foundation argued, for several reasons, that the Tasmanian RFA does not fall within this definition. </w:t>
      </w:r>
    </w:p>
    <w:p w14:paraId="24245A83" w14:textId="21B11501" w:rsidR="00586258" w:rsidRDefault="00586258" w:rsidP="00D647DB">
      <w:pPr>
        <w:jc w:val="both"/>
      </w:pPr>
    </w:p>
    <w:p w14:paraId="217F90CC" w14:textId="68E7D2BB" w:rsidR="00586258" w:rsidRPr="00586258" w:rsidRDefault="00586258" w:rsidP="00D647DB">
      <w:pPr>
        <w:jc w:val="both"/>
        <w:rPr>
          <w:b/>
          <w:bCs/>
        </w:rPr>
      </w:pPr>
      <w:r>
        <w:rPr>
          <w:b/>
          <w:bCs/>
        </w:rPr>
        <w:t>Arguments</w:t>
      </w:r>
    </w:p>
    <w:p w14:paraId="7FB0A140" w14:textId="59E4B6F1" w:rsidR="00B871D2" w:rsidRDefault="00B871D2" w:rsidP="00D647DB">
      <w:pPr>
        <w:jc w:val="both"/>
      </w:pPr>
      <w:r>
        <w:t xml:space="preserve">The question </w:t>
      </w:r>
      <w:r w:rsidR="00AD6D25">
        <w:t>that the Court was asked to determine was:</w:t>
      </w:r>
    </w:p>
    <w:p w14:paraId="1E92DFE7" w14:textId="1062362C" w:rsidR="00B871D2" w:rsidRPr="00DD553A" w:rsidRDefault="00B871D2" w:rsidP="00D647DB">
      <w:pPr>
        <w:ind w:left="720"/>
        <w:jc w:val="both"/>
      </w:pPr>
      <w:r>
        <w:t>Is the Tasmanian RFA</w:t>
      </w:r>
      <w:r w:rsidR="00DD553A">
        <w:t xml:space="preserve"> an ‘RFA’ for the purposes of the </w:t>
      </w:r>
      <w:r w:rsidR="00DD553A">
        <w:rPr>
          <w:i/>
          <w:iCs/>
        </w:rPr>
        <w:t xml:space="preserve">Regional Forest Agreement Act 2002 </w:t>
      </w:r>
      <w:r w:rsidR="00DD553A">
        <w:t>(</w:t>
      </w:r>
      <w:proofErr w:type="spellStart"/>
      <w:r w:rsidR="00DD553A">
        <w:t>Cth</w:t>
      </w:r>
      <w:proofErr w:type="spellEnd"/>
      <w:r w:rsidR="00DD553A">
        <w:t xml:space="preserve">) and s 38 (1) of the </w:t>
      </w:r>
      <w:r w:rsidR="00DD553A">
        <w:rPr>
          <w:i/>
          <w:iCs/>
        </w:rPr>
        <w:t xml:space="preserve">Environment Protection and Biodiversity Conservation Act 1999 </w:t>
      </w:r>
      <w:r w:rsidR="00DD553A">
        <w:t>(</w:t>
      </w:r>
      <w:proofErr w:type="spellStart"/>
      <w:r w:rsidR="00DD553A">
        <w:t>Cth</w:t>
      </w:r>
      <w:proofErr w:type="spellEnd"/>
      <w:r w:rsidR="00DD553A">
        <w:t>)?</w:t>
      </w:r>
    </w:p>
    <w:p w14:paraId="5151BB32" w14:textId="68F6D4E0" w:rsidR="00DD33A2" w:rsidRDefault="00DD33A2" w:rsidP="00D647DB">
      <w:pPr>
        <w:jc w:val="both"/>
      </w:pPr>
      <w:r>
        <w:t>The Bob Brown Foundation</w:t>
      </w:r>
      <w:r w:rsidR="008A5BAE">
        <w:t xml:space="preserve"> argued that</w:t>
      </w:r>
      <w:r w:rsidR="002161EA">
        <w:t xml:space="preserve"> the </w:t>
      </w:r>
      <w:r w:rsidR="005F445D">
        <w:t xml:space="preserve">Tasmanian RFA is not within the definition of </w:t>
      </w:r>
      <w:r w:rsidR="00022EEA">
        <w:t>‘</w:t>
      </w:r>
      <w:r w:rsidR="005F445D">
        <w:t>RFA</w:t>
      </w:r>
      <w:r w:rsidR="00022EEA">
        <w:t>’</w:t>
      </w:r>
      <w:r w:rsidR="005F445D">
        <w:t xml:space="preserve"> in the </w:t>
      </w:r>
      <w:r w:rsidR="00CC49EF">
        <w:rPr>
          <w:i/>
          <w:iCs/>
        </w:rPr>
        <w:t>RFA</w:t>
      </w:r>
      <w:r w:rsidR="005F445D">
        <w:rPr>
          <w:i/>
          <w:iCs/>
        </w:rPr>
        <w:t xml:space="preserve"> Act</w:t>
      </w:r>
      <w:r w:rsidR="004E0CA9">
        <w:t>, and, b</w:t>
      </w:r>
      <w:r w:rsidR="008A5BAE">
        <w:t>ecause of this,</w:t>
      </w:r>
      <w:r w:rsidR="00207301">
        <w:t xml:space="preserve"> </w:t>
      </w:r>
      <w:r w:rsidR="0089380C">
        <w:t xml:space="preserve">logging activities undertaken </w:t>
      </w:r>
      <w:r w:rsidR="004E0CA9">
        <w:t xml:space="preserve">in Tasmania (even if carried out </w:t>
      </w:r>
      <w:r w:rsidR="0089380C">
        <w:t>in accordance with the Tasmanian RFA</w:t>
      </w:r>
      <w:r w:rsidR="004E0CA9">
        <w:t>)</w:t>
      </w:r>
      <w:r w:rsidR="0089380C">
        <w:t xml:space="preserve"> </w:t>
      </w:r>
      <w:r w:rsidR="00643E7A">
        <w:t>should</w:t>
      </w:r>
      <w:r w:rsidR="00513DB9">
        <w:t xml:space="preserve"> not</w:t>
      </w:r>
      <w:r w:rsidR="00643E7A">
        <w:t xml:space="preserve"> be</w:t>
      </w:r>
      <w:r w:rsidR="00513DB9">
        <w:t xml:space="preserve"> exempt from Commonwealth environmental approval under the </w:t>
      </w:r>
      <w:r w:rsidR="00513DB9">
        <w:rPr>
          <w:i/>
          <w:iCs/>
        </w:rPr>
        <w:t>EPBC Act</w:t>
      </w:r>
      <w:r w:rsidR="00513DB9">
        <w:t xml:space="preserve">. </w:t>
      </w:r>
      <w:r w:rsidR="00125E51">
        <w:t>In other words</w:t>
      </w:r>
      <w:r w:rsidR="00A41572">
        <w:t xml:space="preserve">, </w:t>
      </w:r>
      <w:r w:rsidR="004E0CA9">
        <w:t>Forestry</w:t>
      </w:r>
      <w:r w:rsidR="00A41572">
        <w:t xml:space="preserve"> Tasmania is required to seek</w:t>
      </w:r>
      <w:r w:rsidR="00125E51">
        <w:t xml:space="preserve"> the necessary approvals under the </w:t>
      </w:r>
      <w:r w:rsidR="00125E51">
        <w:rPr>
          <w:i/>
          <w:iCs/>
        </w:rPr>
        <w:t>EPBC Act</w:t>
      </w:r>
      <w:r w:rsidR="00125E51">
        <w:t xml:space="preserve"> because its forestry operations </w:t>
      </w:r>
      <w:r w:rsidR="004E0CA9">
        <w:t xml:space="preserve">are not exempt from approval under the EPBC Act </w:t>
      </w:r>
      <w:r w:rsidR="00CD7A0C">
        <w:t xml:space="preserve">by the </w:t>
      </w:r>
      <w:r w:rsidR="00643E7A">
        <w:rPr>
          <w:i/>
          <w:iCs/>
        </w:rPr>
        <w:t>RFA</w:t>
      </w:r>
      <w:r w:rsidR="00CD7A0C">
        <w:rPr>
          <w:i/>
          <w:iCs/>
        </w:rPr>
        <w:t xml:space="preserve"> Act</w:t>
      </w:r>
      <w:r w:rsidR="00CD7A0C">
        <w:t xml:space="preserve">. </w:t>
      </w:r>
    </w:p>
    <w:p w14:paraId="6FE5093E" w14:textId="25F1AB87" w:rsidR="007B6E98" w:rsidRDefault="001F6908" w:rsidP="00D647DB">
      <w:pPr>
        <w:jc w:val="both"/>
      </w:pPr>
      <w:r>
        <w:t xml:space="preserve">The Bob Brown Foundation gave two reasons </w:t>
      </w:r>
      <w:r w:rsidR="005F506F">
        <w:t xml:space="preserve">to support </w:t>
      </w:r>
      <w:r w:rsidR="000C47A6">
        <w:t>this</w:t>
      </w:r>
      <w:r w:rsidR="005F506F">
        <w:t xml:space="preserve"> argumen</w:t>
      </w:r>
      <w:r w:rsidR="000C47A6">
        <w:t>t</w:t>
      </w:r>
      <w:r w:rsidR="005F506F">
        <w:t>:</w:t>
      </w:r>
    </w:p>
    <w:p w14:paraId="3CCF0847" w14:textId="1CF0EE2D" w:rsidR="001F6908" w:rsidRDefault="009F13F5" w:rsidP="00D647DB">
      <w:pPr>
        <w:pStyle w:val="ListParagraph"/>
        <w:numPr>
          <w:ilvl w:val="0"/>
          <w:numId w:val="1"/>
        </w:numPr>
        <w:jc w:val="both"/>
      </w:pPr>
      <w:r>
        <w:t xml:space="preserve">An RFA must impose </w:t>
      </w:r>
      <w:r>
        <w:rPr>
          <w:i/>
          <w:iCs/>
        </w:rPr>
        <w:t>legally enforceable obligations</w:t>
      </w:r>
      <w:r>
        <w:t xml:space="preserve">. </w:t>
      </w:r>
      <w:r w:rsidR="00422DD1">
        <w:t xml:space="preserve">The Tasmanian RFA is not an ‘RFA’ because the provisions relating to the </w:t>
      </w:r>
      <w:r w:rsidR="00422DD1" w:rsidRPr="000C47A6">
        <w:t xml:space="preserve">CAR Reserve System and </w:t>
      </w:r>
      <w:r w:rsidR="004E0CA9">
        <w:t xml:space="preserve">which require </w:t>
      </w:r>
      <w:r w:rsidR="00422DD1" w:rsidRPr="000C47A6">
        <w:t xml:space="preserve">ecologically sustainable </w:t>
      </w:r>
      <w:r w:rsidR="00253C1F">
        <w:t>forest management</w:t>
      </w:r>
      <w:r w:rsidR="00D433B2" w:rsidRPr="000C47A6">
        <w:t xml:space="preserve"> (ESFM)</w:t>
      </w:r>
      <w:r w:rsidR="000C47A6">
        <w:t xml:space="preserve">* </w:t>
      </w:r>
      <w:r w:rsidR="00F2789B">
        <w:t xml:space="preserve">are not intended to create legally binding relations. </w:t>
      </w:r>
    </w:p>
    <w:p w14:paraId="0285E010" w14:textId="476F2F62" w:rsidR="00827D8C" w:rsidRDefault="00F27E1F" w:rsidP="00D647DB">
      <w:pPr>
        <w:pStyle w:val="ListParagraph"/>
        <w:numPr>
          <w:ilvl w:val="0"/>
          <w:numId w:val="1"/>
        </w:numPr>
        <w:jc w:val="both"/>
      </w:pPr>
      <w:r>
        <w:t xml:space="preserve">To meet the definition of </w:t>
      </w:r>
      <w:r w:rsidR="000076D2">
        <w:t xml:space="preserve">‘RFA’, </w:t>
      </w:r>
      <w:r w:rsidR="00E45545">
        <w:t xml:space="preserve">matters material </w:t>
      </w:r>
      <w:r w:rsidR="00D433B2">
        <w:t>to the CAR Reserve System and ESFM cannot be subject to unilateral amend</w:t>
      </w:r>
      <w:r w:rsidR="00D511AE">
        <w:t xml:space="preserve">ment </w:t>
      </w:r>
      <w:r w:rsidR="006D1CEC">
        <w:t>by one of the parties</w:t>
      </w:r>
      <w:r w:rsidR="00D61568">
        <w:t xml:space="preserve"> at their own discretion at any time. </w:t>
      </w:r>
      <w:r w:rsidR="009602F0">
        <w:t xml:space="preserve">Thus, the RFA is </w:t>
      </w:r>
      <w:r w:rsidR="001501BF">
        <w:t xml:space="preserve">not an ‘RFA’ because Tasmania can vary its legislation, policies, codes and practices at any time. </w:t>
      </w:r>
    </w:p>
    <w:p w14:paraId="00F0BFCC" w14:textId="77777777" w:rsidR="005030D0" w:rsidRDefault="005030D0" w:rsidP="00D647DB">
      <w:pPr>
        <w:jc w:val="both"/>
        <w:rPr>
          <w:b/>
          <w:bCs/>
        </w:rPr>
      </w:pPr>
    </w:p>
    <w:p w14:paraId="61F7D324" w14:textId="1003861D" w:rsidR="0058536B" w:rsidRPr="0000287E" w:rsidRDefault="0000287E" w:rsidP="00D647DB">
      <w:pPr>
        <w:jc w:val="both"/>
      </w:pPr>
      <w:r>
        <w:rPr>
          <w:b/>
          <w:bCs/>
        </w:rPr>
        <w:t>*</w:t>
      </w:r>
      <w:r w:rsidR="00AC04A4">
        <w:t xml:space="preserve">The CAR Reserve System </w:t>
      </w:r>
      <w:r w:rsidR="00681C09">
        <w:t xml:space="preserve">and ESFM are the methods through which the RFAs commit to safeguarding biodiversity, old-growth forests, wilderness and other natural and cultural values. </w:t>
      </w:r>
      <w:r w:rsidR="003B764D">
        <w:t>CAR stands for Comprehensive (ful</w:t>
      </w:r>
      <w:r w:rsidR="002D5DF4">
        <w:t>l range of vegetation communities)</w:t>
      </w:r>
      <w:r w:rsidR="003B764D">
        <w:t>, Adequate</w:t>
      </w:r>
      <w:r w:rsidR="002D5DF4">
        <w:t xml:space="preserve"> (reserve is large enough to maintain species diversity)</w:t>
      </w:r>
      <w:r w:rsidR="003B764D">
        <w:t xml:space="preserve"> and Representative</w:t>
      </w:r>
      <w:r w:rsidR="002D5DF4">
        <w:t xml:space="preserve"> (conserving diversity, including genetic diversity)</w:t>
      </w:r>
      <w:r w:rsidR="008D06F6">
        <w:t>. T</w:t>
      </w:r>
      <w:r w:rsidR="008524DB">
        <w:t>he</w:t>
      </w:r>
      <w:r w:rsidR="008D06F6">
        <w:t xml:space="preserve"> CAR</w:t>
      </w:r>
      <w:r w:rsidR="008524DB">
        <w:t xml:space="preserve"> Reserve System </w:t>
      </w:r>
      <w:r w:rsidR="008D06F6">
        <w:t>is made</w:t>
      </w:r>
      <w:r w:rsidR="008524DB">
        <w:t xml:space="preserve"> up</w:t>
      </w:r>
      <w:r w:rsidR="008D06F6">
        <w:t xml:space="preserve"> of</w:t>
      </w:r>
      <w:r w:rsidR="008524DB">
        <w:t xml:space="preserve"> a series of reserves, </w:t>
      </w:r>
      <w:r w:rsidR="00E13642">
        <w:t>including</w:t>
      </w:r>
      <w:r w:rsidR="008524DB">
        <w:t xml:space="preserve"> national parks</w:t>
      </w:r>
      <w:r w:rsidR="005030D0">
        <w:t xml:space="preserve"> and special protection zones in State forests. </w:t>
      </w:r>
    </w:p>
    <w:p w14:paraId="604C1C9D" w14:textId="77777777" w:rsidR="0000287E" w:rsidRDefault="0000287E" w:rsidP="00D647DB">
      <w:pPr>
        <w:jc w:val="both"/>
        <w:rPr>
          <w:b/>
          <w:bCs/>
        </w:rPr>
      </w:pPr>
    </w:p>
    <w:p w14:paraId="29C791FA" w14:textId="2F7977DB" w:rsidR="001321D3" w:rsidRDefault="001321D3" w:rsidP="00D647DB">
      <w:pPr>
        <w:jc w:val="both"/>
      </w:pPr>
      <w:r>
        <w:rPr>
          <w:b/>
          <w:bCs/>
        </w:rPr>
        <w:t>The Decision</w:t>
      </w:r>
    </w:p>
    <w:p w14:paraId="451186F7" w14:textId="139E385B" w:rsidR="002A614F" w:rsidRPr="0068788F" w:rsidRDefault="0058536B" w:rsidP="00D647DB">
      <w:pPr>
        <w:jc w:val="both"/>
      </w:pPr>
      <w:r>
        <w:t>The Court</w:t>
      </w:r>
      <w:r w:rsidR="00376151">
        <w:t xml:space="preserve"> identified the </w:t>
      </w:r>
      <w:r w:rsidR="002A614F">
        <w:t>issue</w:t>
      </w:r>
      <w:r w:rsidR="0068788F">
        <w:t xml:space="preserve"> before it</w:t>
      </w:r>
      <w:r w:rsidR="002A614F">
        <w:t xml:space="preserve"> as one of statutory construction. </w:t>
      </w:r>
      <w:r w:rsidR="00815CA1">
        <w:t>That is,</w:t>
      </w:r>
      <w:r w:rsidR="002A614F">
        <w:t xml:space="preserve"> ascertaining the meaning of the language of </w:t>
      </w:r>
      <w:r w:rsidR="00815CA1">
        <w:t xml:space="preserve">the </w:t>
      </w:r>
      <w:r w:rsidR="002A614F">
        <w:t>statute</w:t>
      </w:r>
      <w:r w:rsidR="00053F04">
        <w:t xml:space="preserve">. The established process for determining the meaning of words in a statute is to consider the text itself, the context (this includes the whole Act </w:t>
      </w:r>
      <w:r w:rsidR="00284B02">
        <w:t>rather than</w:t>
      </w:r>
      <w:r w:rsidR="00053F04">
        <w:t xml:space="preserve"> just the specific provision</w:t>
      </w:r>
      <w:r w:rsidR="00284B02">
        <w:t>,</w:t>
      </w:r>
      <w:r w:rsidR="00A93F45">
        <w:t xml:space="preserve"> </w:t>
      </w:r>
      <w:r w:rsidR="00915E9D">
        <w:t xml:space="preserve">and can </w:t>
      </w:r>
      <w:r w:rsidR="00053F04">
        <w:t xml:space="preserve">also </w:t>
      </w:r>
      <w:r w:rsidR="00915E9D">
        <w:t xml:space="preserve">include </w:t>
      </w:r>
      <w:r w:rsidR="00053F04">
        <w:t>supporting documents</w:t>
      </w:r>
      <w:r w:rsidR="00915E9D">
        <w:t>, such as a</w:t>
      </w:r>
      <w:r w:rsidR="00053F04">
        <w:t xml:space="preserve"> </w:t>
      </w:r>
      <w:r w:rsidR="00284B02">
        <w:t>S</w:t>
      </w:r>
      <w:r w:rsidR="00053F04">
        <w:t xml:space="preserve">econd </w:t>
      </w:r>
      <w:r w:rsidR="00284B02">
        <w:t>R</w:t>
      </w:r>
      <w:r w:rsidR="00053F04">
        <w:t xml:space="preserve">eading </w:t>
      </w:r>
      <w:r w:rsidR="00284B02">
        <w:t>S</w:t>
      </w:r>
      <w:r w:rsidR="00053F04">
        <w:t xml:space="preserve">peech), and the purpose of the Statute </w:t>
      </w:r>
      <w:r w:rsidR="00A93F45">
        <w:t>(</w:t>
      </w:r>
      <w:r w:rsidR="00815CA1">
        <w:t xml:space="preserve">which </w:t>
      </w:r>
      <w:r w:rsidR="00A93F45">
        <w:t xml:space="preserve">will often be explicit, but </w:t>
      </w:r>
      <w:r w:rsidR="00815CA1">
        <w:t xml:space="preserve">not always, and </w:t>
      </w:r>
      <w:r w:rsidR="00A93F45">
        <w:t>there may be more than one purpose).</w:t>
      </w:r>
      <w:r w:rsidR="00915E9D">
        <w:t xml:space="preserve"> The Court held that its </w:t>
      </w:r>
      <w:r w:rsidR="00815CA1">
        <w:t xml:space="preserve">task </w:t>
      </w:r>
      <w:r w:rsidR="00915E9D">
        <w:t xml:space="preserve">was not to look at the construction of the Tasmanian RFA, but rather the </w:t>
      </w:r>
      <w:r w:rsidR="0068788F">
        <w:t xml:space="preserve">definition of ‘RFA’ in the </w:t>
      </w:r>
      <w:r w:rsidR="0068788F">
        <w:rPr>
          <w:i/>
          <w:iCs/>
        </w:rPr>
        <w:t>RFA Act</w:t>
      </w:r>
      <w:r w:rsidR="0068788F">
        <w:t xml:space="preserve">. </w:t>
      </w:r>
    </w:p>
    <w:p w14:paraId="7BB64A9A" w14:textId="324B2FE6" w:rsidR="00376151" w:rsidRDefault="00D41CA7" w:rsidP="00D647DB">
      <w:pPr>
        <w:jc w:val="both"/>
      </w:pPr>
      <w:r>
        <w:t>The Court</w:t>
      </w:r>
      <w:r w:rsidR="0058536B">
        <w:t xml:space="preserve"> addressed each question separately. </w:t>
      </w:r>
    </w:p>
    <w:p w14:paraId="154C96E5" w14:textId="462D74FA" w:rsidR="00D41CA7" w:rsidRDefault="00D41CA7" w:rsidP="00D647DB">
      <w:pPr>
        <w:jc w:val="both"/>
        <w:rPr>
          <w:u w:val="single"/>
        </w:rPr>
      </w:pPr>
      <w:r>
        <w:rPr>
          <w:u w:val="single"/>
        </w:rPr>
        <w:t xml:space="preserve">Legal </w:t>
      </w:r>
      <w:r w:rsidR="00722EAF">
        <w:rPr>
          <w:u w:val="single"/>
        </w:rPr>
        <w:t>enforceability</w:t>
      </w:r>
    </w:p>
    <w:p w14:paraId="352145A4" w14:textId="37E4AB77" w:rsidR="00722EAF" w:rsidRDefault="007B0097" w:rsidP="00D647DB">
      <w:pPr>
        <w:jc w:val="both"/>
      </w:pPr>
      <w:r>
        <w:t xml:space="preserve">The </w:t>
      </w:r>
      <w:r w:rsidR="007838E8">
        <w:t xml:space="preserve">Bob Brown </w:t>
      </w:r>
      <w:r>
        <w:t xml:space="preserve">Foundation </w:t>
      </w:r>
      <w:r w:rsidR="007838E8">
        <w:t>made four</w:t>
      </w:r>
      <w:r w:rsidR="00FD35A8">
        <w:t xml:space="preserve"> main</w:t>
      </w:r>
      <w:r w:rsidR="007838E8">
        <w:t xml:space="preserve"> submissions</w:t>
      </w:r>
      <w:r w:rsidR="00E5469A">
        <w:t>. E</w:t>
      </w:r>
      <w:r w:rsidR="007838E8">
        <w:t xml:space="preserve">ach </w:t>
      </w:r>
      <w:r w:rsidR="00E5469A">
        <w:t xml:space="preserve">were </w:t>
      </w:r>
      <w:r w:rsidR="00815CA1">
        <w:t xml:space="preserve">rejected </w:t>
      </w:r>
      <w:r w:rsidR="007838E8">
        <w:t xml:space="preserve">by the Court. </w:t>
      </w:r>
    </w:p>
    <w:p w14:paraId="7ED4ACBE" w14:textId="7CB65E86" w:rsidR="007B0097" w:rsidRPr="007B0097" w:rsidRDefault="007B0097" w:rsidP="00D647DB">
      <w:pPr>
        <w:pStyle w:val="ListParagraph"/>
        <w:numPr>
          <w:ilvl w:val="0"/>
          <w:numId w:val="2"/>
        </w:numPr>
        <w:jc w:val="both"/>
        <w:rPr>
          <w:b/>
          <w:bCs/>
        </w:rPr>
      </w:pPr>
      <w:r w:rsidRPr="007B0097">
        <w:rPr>
          <w:b/>
          <w:bCs/>
        </w:rPr>
        <w:t>BBF:</w:t>
      </w:r>
    </w:p>
    <w:p w14:paraId="2FA63A03" w14:textId="3F9CD643" w:rsidR="00D647DB" w:rsidRDefault="00E954E3" w:rsidP="007B0097">
      <w:pPr>
        <w:pStyle w:val="ListParagraph"/>
        <w:jc w:val="both"/>
      </w:pPr>
      <w:r>
        <w:t>An RFA is defined as an</w:t>
      </w:r>
      <w:r w:rsidR="00E6246C">
        <w:t xml:space="preserve"> </w:t>
      </w:r>
      <w:r>
        <w:t xml:space="preserve">‘agreement that is in force’. </w:t>
      </w:r>
      <w:r w:rsidR="00E408A0">
        <w:t>The ordinary meaning of the word ‘agreement’</w:t>
      </w:r>
      <w:r w:rsidR="00B3258A">
        <w:t xml:space="preserve"> in the </w:t>
      </w:r>
      <w:r w:rsidR="00B3258A">
        <w:rPr>
          <w:i/>
          <w:iCs/>
        </w:rPr>
        <w:t xml:space="preserve">Oxford English Dictionary </w:t>
      </w:r>
      <w:r w:rsidR="00E408A0">
        <w:t>is an ‘arrangement (typically one which is legally binding)’.</w:t>
      </w:r>
      <w:r w:rsidR="00B3258A">
        <w:t xml:space="preserve"> </w:t>
      </w:r>
      <w:r w:rsidR="00C12BD7">
        <w:t xml:space="preserve">Had Parliament wanted to adopt a more elastic meaning, it could have used </w:t>
      </w:r>
      <w:r w:rsidR="00D80257">
        <w:t>broader terms, such as ‘understanding’. The words ‘in force’ are also ordinarily defined as ‘operative or binding at the time’ (</w:t>
      </w:r>
      <w:r w:rsidR="00D80257">
        <w:rPr>
          <w:i/>
          <w:iCs/>
        </w:rPr>
        <w:t>Oxford English Dictionary</w:t>
      </w:r>
      <w:r w:rsidR="00D80257">
        <w:t xml:space="preserve">). </w:t>
      </w:r>
      <w:r w:rsidR="00CF74A2">
        <w:t xml:space="preserve">The two phrases, ‘agreement’ and ‘in force’ indicate strongly that the </w:t>
      </w:r>
      <w:r w:rsidR="00461D2E">
        <w:t xml:space="preserve">RFA is a legally binding agreement. </w:t>
      </w:r>
    </w:p>
    <w:p w14:paraId="7B7EEA64" w14:textId="77777777" w:rsidR="007B0097" w:rsidRDefault="007B0097" w:rsidP="00D647DB">
      <w:pPr>
        <w:pStyle w:val="ListParagraph"/>
        <w:jc w:val="both"/>
      </w:pPr>
    </w:p>
    <w:p w14:paraId="00E9C630" w14:textId="59B7C487" w:rsidR="00D647DB" w:rsidRDefault="007B0097" w:rsidP="00D647DB">
      <w:pPr>
        <w:pStyle w:val="ListParagraph"/>
        <w:jc w:val="both"/>
      </w:pPr>
      <w:r>
        <w:rPr>
          <w:b/>
          <w:bCs/>
        </w:rPr>
        <w:t>Court:</w:t>
      </w:r>
      <w:r w:rsidR="00E319BC">
        <w:br/>
      </w:r>
      <w:r w:rsidR="00D32370">
        <w:t>The</w:t>
      </w:r>
      <w:r w:rsidR="003265CC">
        <w:t xml:space="preserve"> Court emphasised that an RFA is an </w:t>
      </w:r>
      <w:r w:rsidR="003265CC">
        <w:rPr>
          <w:i/>
          <w:iCs/>
        </w:rPr>
        <w:t>intergovernmental agreement</w:t>
      </w:r>
      <w:r w:rsidR="003265CC">
        <w:t xml:space="preserve">. </w:t>
      </w:r>
      <w:r w:rsidR="007126B4">
        <w:t>Whether an agreement between two governments is legally binding depends on the circumstances</w:t>
      </w:r>
      <w:r w:rsidR="002E16B0">
        <w:t xml:space="preserve"> and </w:t>
      </w:r>
      <w:r w:rsidR="00A36E07">
        <w:t>c</w:t>
      </w:r>
      <w:r w:rsidR="002E16B0">
        <w:t xml:space="preserve">ourts must be careful not to enter a domain that </w:t>
      </w:r>
      <w:r w:rsidR="00AC5759">
        <w:t>does not</w:t>
      </w:r>
      <w:r w:rsidR="002E16B0">
        <w:t xml:space="preserve"> belong to them – namely undertakings that are political in nature. </w:t>
      </w:r>
      <w:r w:rsidR="00F73EC2">
        <w:t xml:space="preserve">An RFA deals with </w:t>
      </w:r>
      <w:r w:rsidR="005F052D">
        <w:t>subject matters of both a legal and pol</w:t>
      </w:r>
      <w:r w:rsidR="00D647DB">
        <w:t>itical nature. The</w:t>
      </w:r>
      <w:r w:rsidR="00A36E07">
        <w:t xml:space="preserve"> Court held that the words ‘agreement’ and ‘in force’ </w:t>
      </w:r>
      <w:r w:rsidR="00AC5759">
        <w:t xml:space="preserve">do not necessarily suggest that the terms of an agreement must be legally binding. </w:t>
      </w:r>
    </w:p>
    <w:p w14:paraId="5E3FEED8" w14:textId="2364D982" w:rsidR="007838E8" w:rsidRDefault="007838E8" w:rsidP="00D647DB">
      <w:pPr>
        <w:pStyle w:val="ListParagraph"/>
        <w:jc w:val="both"/>
      </w:pPr>
    </w:p>
    <w:p w14:paraId="4C8F5C70" w14:textId="26E84F9A" w:rsidR="007B0097" w:rsidRDefault="007B0097" w:rsidP="00D647DB">
      <w:pPr>
        <w:pStyle w:val="ListParagraph"/>
        <w:numPr>
          <w:ilvl w:val="0"/>
          <w:numId w:val="2"/>
        </w:numPr>
        <w:jc w:val="both"/>
      </w:pPr>
      <w:r>
        <w:rPr>
          <w:b/>
          <w:bCs/>
        </w:rPr>
        <w:t xml:space="preserve">BBF: </w:t>
      </w:r>
    </w:p>
    <w:p w14:paraId="1449007C" w14:textId="3AA69F05" w:rsidR="00972368" w:rsidRDefault="00972368" w:rsidP="007B0097">
      <w:pPr>
        <w:pStyle w:val="ListParagraph"/>
        <w:jc w:val="both"/>
      </w:pPr>
      <w:r>
        <w:t xml:space="preserve">The </w:t>
      </w:r>
      <w:r w:rsidRPr="003B7725">
        <w:rPr>
          <w:i/>
          <w:iCs/>
        </w:rPr>
        <w:t>context</w:t>
      </w:r>
      <w:r w:rsidR="00BA3F4A">
        <w:t xml:space="preserve"> of the </w:t>
      </w:r>
      <w:r w:rsidR="00BA3F4A">
        <w:rPr>
          <w:i/>
          <w:iCs/>
        </w:rPr>
        <w:t>RFA Act</w:t>
      </w:r>
      <w:r>
        <w:t xml:space="preserve"> also</w:t>
      </w:r>
      <w:r w:rsidR="000C29BB">
        <w:t xml:space="preserve"> indicates that</w:t>
      </w:r>
      <w:r w:rsidR="00BA3F4A">
        <w:t xml:space="preserve"> the agreement is intended to be legally binding. </w:t>
      </w:r>
      <w:r w:rsidR="00BC1171">
        <w:t xml:space="preserve">Other provisions in the Act </w:t>
      </w:r>
      <w:r w:rsidR="00F703CC">
        <w:t xml:space="preserve">impose </w:t>
      </w:r>
      <w:r w:rsidR="00EB2570">
        <w:t xml:space="preserve">legally enforceable obligations on the Commonwealth </w:t>
      </w:r>
      <w:r w:rsidR="00B8543C">
        <w:t>regarding termination and compensation, and these provisions refer to</w:t>
      </w:r>
      <w:r w:rsidR="00EB2570">
        <w:t xml:space="preserve"> the RFA ‘as in force’. </w:t>
      </w:r>
      <w:r w:rsidR="00B8543C">
        <w:t xml:space="preserve">The </w:t>
      </w:r>
      <w:r w:rsidR="00476D81">
        <w:t>meaning of</w:t>
      </w:r>
      <w:r w:rsidR="00B044CF">
        <w:t xml:space="preserve"> </w:t>
      </w:r>
      <w:r w:rsidR="00476D81">
        <w:t xml:space="preserve">the words </w:t>
      </w:r>
      <w:r w:rsidR="00B044CF">
        <w:t>‘in force’</w:t>
      </w:r>
      <w:r w:rsidR="00476D81">
        <w:t xml:space="preserve"> </w:t>
      </w:r>
      <w:r w:rsidR="00F8012D">
        <w:t>as used in</w:t>
      </w:r>
      <w:r w:rsidR="004972B2">
        <w:t xml:space="preserve"> these provisions</w:t>
      </w:r>
      <w:r w:rsidR="00B044CF">
        <w:t xml:space="preserve"> should be used consistently throughout the Act</w:t>
      </w:r>
      <w:r w:rsidR="008B174E">
        <w:t xml:space="preserve">, including </w:t>
      </w:r>
      <w:r w:rsidR="00AF693E">
        <w:t xml:space="preserve">in </w:t>
      </w:r>
      <w:r w:rsidR="008B174E">
        <w:t>the definition of RFA.</w:t>
      </w:r>
    </w:p>
    <w:p w14:paraId="667F5A7A" w14:textId="39428BA8" w:rsidR="00D647DB" w:rsidRDefault="00D647DB" w:rsidP="00D647DB">
      <w:pPr>
        <w:pStyle w:val="ListParagraph"/>
        <w:jc w:val="both"/>
      </w:pPr>
    </w:p>
    <w:p w14:paraId="48F47529" w14:textId="0240E895" w:rsidR="007B0097" w:rsidRPr="007B0097" w:rsidRDefault="007B0097" w:rsidP="00D647DB">
      <w:pPr>
        <w:pStyle w:val="ListParagraph"/>
        <w:jc w:val="both"/>
        <w:rPr>
          <w:b/>
          <w:bCs/>
        </w:rPr>
      </w:pPr>
      <w:r>
        <w:rPr>
          <w:b/>
          <w:bCs/>
        </w:rPr>
        <w:t>Court:</w:t>
      </w:r>
    </w:p>
    <w:p w14:paraId="3F477C3B" w14:textId="1A426C17" w:rsidR="00D647DB" w:rsidRDefault="00F8012D" w:rsidP="00D647DB">
      <w:pPr>
        <w:pStyle w:val="ListParagraph"/>
        <w:jc w:val="both"/>
      </w:pPr>
      <w:r>
        <w:t>W</w:t>
      </w:r>
      <w:r w:rsidR="00F1053C">
        <w:t>hile the</w:t>
      </w:r>
      <w:r w:rsidR="002D0BA7">
        <w:t xml:space="preserve"> words ‘in force’ </w:t>
      </w:r>
      <w:r w:rsidR="00E7599E">
        <w:t>are used in certain provisions to</w:t>
      </w:r>
      <w:r w:rsidR="00F1053C">
        <w:t xml:space="preserve"> </w:t>
      </w:r>
      <w:r w:rsidR="002D0BA7">
        <w:t>suggest legal enforceability, these provisions are confined in their scope and operation.</w:t>
      </w:r>
      <w:r w:rsidR="00CD1889">
        <w:t xml:space="preserve"> </w:t>
      </w:r>
      <w:r w:rsidR="00A91B1C">
        <w:t xml:space="preserve">In the </w:t>
      </w:r>
      <w:r w:rsidR="00A91B1C">
        <w:rPr>
          <w:i/>
          <w:iCs/>
        </w:rPr>
        <w:t>RFA Act</w:t>
      </w:r>
      <w:r w:rsidR="00A91B1C">
        <w:t xml:space="preserve">, the words </w:t>
      </w:r>
      <w:r w:rsidR="00CD1889">
        <w:t xml:space="preserve">‘in force’ </w:t>
      </w:r>
      <w:r w:rsidR="00A91B1C">
        <w:t>are neutral as to whether or not particular terms of the agreement are legally binding. Further, t</w:t>
      </w:r>
      <w:r w:rsidR="00986151">
        <w:t xml:space="preserve">he Court made it clear that not every clause of an agreement </w:t>
      </w:r>
      <w:r w:rsidR="00E7599E">
        <w:t>must</w:t>
      </w:r>
      <w:r w:rsidR="00A87BF7">
        <w:t xml:space="preserve"> be legally binding for the agreement itself to be ‘in force’. </w:t>
      </w:r>
      <w:r w:rsidR="002D0BA7">
        <w:t xml:space="preserve"> </w:t>
      </w:r>
    </w:p>
    <w:p w14:paraId="0EF0297F" w14:textId="77777777" w:rsidR="00E7599E" w:rsidRDefault="00E7599E" w:rsidP="00D647DB">
      <w:pPr>
        <w:pStyle w:val="ListParagraph"/>
        <w:jc w:val="both"/>
      </w:pPr>
    </w:p>
    <w:p w14:paraId="7361F0C1" w14:textId="70E4F781" w:rsidR="007B0097" w:rsidRDefault="007B0097" w:rsidP="00D647DB">
      <w:pPr>
        <w:pStyle w:val="ListParagraph"/>
        <w:numPr>
          <w:ilvl w:val="0"/>
          <w:numId w:val="2"/>
        </w:numPr>
        <w:jc w:val="both"/>
      </w:pPr>
      <w:r>
        <w:rPr>
          <w:b/>
          <w:bCs/>
        </w:rPr>
        <w:t>BBF:</w:t>
      </w:r>
    </w:p>
    <w:p w14:paraId="6F4594FB" w14:textId="7A774266" w:rsidR="00A453BF" w:rsidRDefault="008261CD" w:rsidP="007B0097">
      <w:pPr>
        <w:pStyle w:val="ListParagraph"/>
        <w:jc w:val="both"/>
      </w:pPr>
      <w:r>
        <w:t xml:space="preserve">The </w:t>
      </w:r>
      <w:r w:rsidR="00D562A0">
        <w:t>Second Reading Speech also indicates</w:t>
      </w:r>
      <w:r w:rsidR="00AC4620">
        <w:t xml:space="preserve"> that an ‘RFA’ </w:t>
      </w:r>
      <w:r w:rsidR="00040421">
        <w:t xml:space="preserve">is a legally binding agreement. </w:t>
      </w:r>
      <w:r w:rsidR="00A453BF">
        <w:t xml:space="preserve">The Minister referred to the States’ obligations and </w:t>
      </w:r>
      <w:r w:rsidR="0012198A">
        <w:t xml:space="preserve">the </w:t>
      </w:r>
      <w:r w:rsidR="00A453BF">
        <w:t xml:space="preserve">Commonwealth’s rights. </w:t>
      </w:r>
    </w:p>
    <w:p w14:paraId="381714C4" w14:textId="1AF7FE9C" w:rsidR="00D20560" w:rsidRDefault="00D20560" w:rsidP="00D20560">
      <w:pPr>
        <w:pStyle w:val="ListParagraph"/>
        <w:jc w:val="both"/>
      </w:pPr>
    </w:p>
    <w:p w14:paraId="36EF6C22" w14:textId="36EFF5CD" w:rsidR="007B0097" w:rsidRPr="007B0097" w:rsidRDefault="007B0097" w:rsidP="00D20560">
      <w:pPr>
        <w:pStyle w:val="ListParagraph"/>
        <w:jc w:val="both"/>
        <w:rPr>
          <w:b/>
          <w:bCs/>
        </w:rPr>
      </w:pPr>
      <w:r>
        <w:rPr>
          <w:b/>
          <w:bCs/>
        </w:rPr>
        <w:t>Court:</w:t>
      </w:r>
    </w:p>
    <w:p w14:paraId="3A1A8A92" w14:textId="2C04FD88" w:rsidR="00D20560" w:rsidRPr="006E59C4" w:rsidRDefault="00CF180D" w:rsidP="00D20560">
      <w:pPr>
        <w:pStyle w:val="ListParagraph"/>
        <w:jc w:val="both"/>
      </w:pPr>
      <w:r>
        <w:t xml:space="preserve">The legislative history, context and purpose </w:t>
      </w:r>
      <w:r w:rsidR="00914549">
        <w:t xml:space="preserve">suggests an RFA is not intended to be legally binding. </w:t>
      </w:r>
      <w:r w:rsidR="00165D10">
        <w:t xml:space="preserve">The RFA Bill </w:t>
      </w:r>
      <w:r w:rsidR="006E59C4">
        <w:t xml:space="preserve">makes clear that the purpose of the </w:t>
      </w:r>
      <w:r w:rsidR="006E59C4">
        <w:rPr>
          <w:i/>
          <w:iCs/>
        </w:rPr>
        <w:t xml:space="preserve">RFA Act </w:t>
      </w:r>
      <w:r w:rsidR="006E59C4">
        <w:t>was never to be the sole source of measures to protect Tasmania’s native forests or threatened species. There is a broader suite of protective measures, outlined in ‘Tasmania’s Forest Management System: An Overview (2017)’.</w:t>
      </w:r>
    </w:p>
    <w:p w14:paraId="49EFC31E" w14:textId="77777777" w:rsidR="00D20560" w:rsidRDefault="00D20560" w:rsidP="00D20560">
      <w:pPr>
        <w:pStyle w:val="ListParagraph"/>
        <w:jc w:val="both"/>
      </w:pPr>
    </w:p>
    <w:p w14:paraId="00678848" w14:textId="53A78F48" w:rsidR="0034766A" w:rsidRDefault="0034766A" w:rsidP="00D647DB">
      <w:pPr>
        <w:pStyle w:val="ListParagraph"/>
        <w:numPr>
          <w:ilvl w:val="0"/>
          <w:numId w:val="2"/>
        </w:numPr>
        <w:jc w:val="both"/>
      </w:pPr>
      <w:r>
        <w:rPr>
          <w:b/>
          <w:bCs/>
        </w:rPr>
        <w:t>BBF:</w:t>
      </w:r>
    </w:p>
    <w:p w14:paraId="69686491" w14:textId="1A2B0B91" w:rsidR="008261CD" w:rsidRDefault="00A453BF" w:rsidP="0034766A">
      <w:pPr>
        <w:pStyle w:val="ListParagraph"/>
        <w:jc w:val="both"/>
      </w:pPr>
      <w:r>
        <w:t xml:space="preserve">The </w:t>
      </w:r>
      <w:r w:rsidRPr="001A6FC7">
        <w:rPr>
          <w:i/>
          <w:iCs/>
        </w:rPr>
        <w:t>purpose</w:t>
      </w:r>
      <w:r>
        <w:t xml:space="preserve"> of the </w:t>
      </w:r>
      <w:r>
        <w:rPr>
          <w:i/>
          <w:iCs/>
        </w:rPr>
        <w:t>RFA Act</w:t>
      </w:r>
      <w:r w:rsidR="006E4F8E">
        <w:t xml:space="preserve"> also suggests that, to be an RFA, an agreement must impose legally enforceable obligations on a party in relation to the CAR Reserve System and ESFM. </w:t>
      </w:r>
      <w:r w:rsidR="001C07D4">
        <w:t xml:space="preserve">If </w:t>
      </w:r>
      <w:r w:rsidR="00F5181B">
        <w:t xml:space="preserve">the Act’s primary obligations are unenforceable, </w:t>
      </w:r>
      <w:r w:rsidR="00824FBC">
        <w:t xml:space="preserve">then the purpose of the Act cannot be fulfilled. </w:t>
      </w:r>
      <w:r w:rsidR="00AC4620">
        <w:t xml:space="preserve"> </w:t>
      </w:r>
    </w:p>
    <w:p w14:paraId="01FB1B11" w14:textId="5E30AD3F" w:rsidR="004526A4" w:rsidRDefault="004526A4" w:rsidP="004526A4">
      <w:pPr>
        <w:pStyle w:val="ListParagraph"/>
        <w:jc w:val="both"/>
      </w:pPr>
    </w:p>
    <w:p w14:paraId="0C733FE7" w14:textId="7E34DF7B" w:rsidR="0034766A" w:rsidRPr="0034766A" w:rsidRDefault="0034766A" w:rsidP="004526A4">
      <w:pPr>
        <w:pStyle w:val="ListParagraph"/>
        <w:jc w:val="both"/>
        <w:rPr>
          <w:b/>
          <w:bCs/>
        </w:rPr>
      </w:pPr>
      <w:r>
        <w:rPr>
          <w:b/>
          <w:bCs/>
        </w:rPr>
        <w:t>Court:</w:t>
      </w:r>
    </w:p>
    <w:p w14:paraId="26C20D0F" w14:textId="5B466119" w:rsidR="004526A4" w:rsidRPr="00BC584E" w:rsidRDefault="00E56DAA" w:rsidP="004526A4">
      <w:pPr>
        <w:pStyle w:val="ListParagraph"/>
        <w:jc w:val="both"/>
      </w:pPr>
      <w:r>
        <w:t>Environmental protection</w:t>
      </w:r>
      <w:r w:rsidR="00CF17CE">
        <w:t xml:space="preserve"> certainly</w:t>
      </w:r>
      <w:r>
        <w:t xml:space="preserve"> forms one of the purposes of the </w:t>
      </w:r>
      <w:r>
        <w:rPr>
          <w:i/>
          <w:iCs/>
        </w:rPr>
        <w:t>RFA Act</w:t>
      </w:r>
      <w:r w:rsidR="00CF17CE">
        <w:t xml:space="preserve">. But legislation rarely pursues a single purpose at all costs. The Act deals with a number of different and potentially competing policy considerations. </w:t>
      </w:r>
      <w:r w:rsidR="00BC584E">
        <w:t xml:space="preserve">The </w:t>
      </w:r>
      <w:r w:rsidR="00BC584E">
        <w:rPr>
          <w:i/>
          <w:iCs/>
        </w:rPr>
        <w:t>RFA Act</w:t>
      </w:r>
      <w:r w:rsidR="00BC584E">
        <w:t xml:space="preserve"> does not pursue a particular purpose</w:t>
      </w:r>
      <w:r w:rsidR="00280F73">
        <w:t xml:space="preserve"> (such as environmental protection)</w:t>
      </w:r>
      <w:r w:rsidR="00BC584E">
        <w:t xml:space="preserve"> at all costs</w:t>
      </w:r>
      <w:r w:rsidR="00280F73">
        <w:t xml:space="preserve">. </w:t>
      </w:r>
    </w:p>
    <w:p w14:paraId="7F4A6148" w14:textId="77777777" w:rsidR="00D41CA7" w:rsidRPr="00D41CA7" w:rsidRDefault="00D41CA7" w:rsidP="00D647DB">
      <w:pPr>
        <w:jc w:val="both"/>
      </w:pPr>
    </w:p>
    <w:p w14:paraId="167C4BC1" w14:textId="4C3B358B" w:rsidR="00F53829" w:rsidRPr="006E1DB4" w:rsidRDefault="00DF02A1" w:rsidP="00D647DB">
      <w:pPr>
        <w:jc w:val="both"/>
      </w:pPr>
      <w:r>
        <w:t xml:space="preserve">The Federal Court also held that exemption from the </w:t>
      </w:r>
      <w:r>
        <w:rPr>
          <w:i/>
          <w:iCs/>
        </w:rPr>
        <w:t>EPBC Act</w:t>
      </w:r>
      <w:r>
        <w:t xml:space="preserve"> is not dependent on a</w:t>
      </w:r>
      <w:r w:rsidR="006E1DB4">
        <w:t xml:space="preserve">ll terms of an RFA being legally enforceable. Additionally, when enacting the </w:t>
      </w:r>
      <w:r w:rsidR="006E1DB4">
        <w:rPr>
          <w:i/>
          <w:iCs/>
        </w:rPr>
        <w:t>RFA Act</w:t>
      </w:r>
      <w:r w:rsidR="006E1DB4">
        <w:t>, the Commonwealth Parliament did so upon the assump</w:t>
      </w:r>
      <w:r w:rsidR="00C71D04">
        <w:t>tion that the existing RFAs (including the Tasmanian RFA) constituted an ‘RFA’</w:t>
      </w:r>
      <w:r w:rsidR="0012198A">
        <w:t xml:space="preserve"> as they pre-dated the </w:t>
      </w:r>
      <w:r w:rsidR="0012198A" w:rsidRPr="00922826">
        <w:rPr>
          <w:i/>
        </w:rPr>
        <w:t>RFA Act</w:t>
      </w:r>
      <w:r w:rsidR="00C71D04">
        <w:t xml:space="preserve">. It is highly unlikely that Parliament intended to require all terms </w:t>
      </w:r>
      <w:r w:rsidR="00950E1C">
        <w:t xml:space="preserve">relating to the CAR Reserve System and ESFM to be legally enforceable before an agreement could constitute an ‘RFA’. </w:t>
      </w:r>
    </w:p>
    <w:p w14:paraId="6421B1E4" w14:textId="7BB267D8" w:rsidR="00B611C8" w:rsidRDefault="00B611C8" w:rsidP="00D647DB">
      <w:pPr>
        <w:jc w:val="both"/>
      </w:pPr>
    </w:p>
    <w:p w14:paraId="0646B884" w14:textId="7D986C63" w:rsidR="00B611C8" w:rsidRDefault="0029200B" w:rsidP="00D647DB">
      <w:pPr>
        <w:jc w:val="both"/>
      </w:pPr>
      <w:r>
        <w:rPr>
          <w:u w:val="single"/>
        </w:rPr>
        <w:t>Unilateral Amendment</w:t>
      </w:r>
    </w:p>
    <w:p w14:paraId="5B82FEAF" w14:textId="5A92B4BE" w:rsidR="0029200B" w:rsidRDefault="0029200B" w:rsidP="00D647DB">
      <w:pPr>
        <w:jc w:val="both"/>
      </w:pPr>
      <w:r>
        <w:t xml:space="preserve">The Bob Brown Foundation argued that </w:t>
      </w:r>
      <w:r w:rsidR="0055710B">
        <w:t xml:space="preserve">the Tasmanian RFA does not ‘provide for’ the CAR Reserve System nor </w:t>
      </w:r>
      <w:r w:rsidR="0012198A">
        <w:t xml:space="preserve">for </w:t>
      </w:r>
      <w:r w:rsidR="0055710B">
        <w:t xml:space="preserve">ESFM because it leaves the features and objectives of those systems to be determined unilaterally, at the discretion of Tasmania. </w:t>
      </w:r>
    </w:p>
    <w:p w14:paraId="47CA5593" w14:textId="77777777" w:rsidR="00745ED0" w:rsidRDefault="00745ED0" w:rsidP="00D647DB">
      <w:pPr>
        <w:jc w:val="both"/>
      </w:pPr>
    </w:p>
    <w:p w14:paraId="3BDFD50F" w14:textId="25F7B5A3" w:rsidR="00322097" w:rsidRDefault="00322097" w:rsidP="00D647DB">
      <w:pPr>
        <w:jc w:val="both"/>
      </w:pPr>
      <w:r>
        <w:t xml:space="preserve">The Court disagreed. There is nothing in the definition of an RFA which expressly, or implicitly, prohibits unilateral </w:t>
      </w:r>
      <w:r w:rsidR="00C41BD7">
        <w:t xml:space="preserve">amendment to the agreement. </w:t>
      </w:r>
      <w:r>
        <w:t xml:space="preserve"> </w:t>
      </w:r>
      <w:r w:rsidR="00E64357">
        <w:t>In any case, th</w:t>
      </w:r>
      <w:r w:rsidR="00CE3F4A">
        <w:t>e terms were agreed between the Tasmania and the Commonwealth and th</w:t>
      </w:r>
      <w:r w:rsidR="00E64357">
        <w:t xml:space="preserve">ere are </w:t>
      </w:r>
      <w:r w:rsidR="00CE3F4A">
        <w:t>consequences in place for unilateral action</w:t>
      </w:r>
      <w:r w:rsidR="00745ED0">
        <w:t xml:space="preserve"> (e.g. any attempt to displace the system of land categorisation </w:t>
      </w:r>
      <w:r w:rsidR="005D4307">
        <w:t>requires ‘the consent, in writing, of both parties’).</w:t>
      </w:r>
      <w:r w:rsidR="000F0C2D">
        <w:t xml:space="preserve"> It was accepted by both parties that </w:t>
      </w:r>
      <w:r w:rsidR="00E462C2">
        <w:t xml:space="preserve">aspects of Tasmania’s Forest Management System would be amended from time to time. </w:t>
      </w:r>
    </w:p>
    <w:p w14:paraId="2B000283" w14:textId="3A6D1C54" w:rsidR="007F538A" w:rsidRDefault="007F538A" w:rsidP="00D647DB">
      <w:pPr>
        <w:jc w:val="both"/>
      </w:pPr>
    </w:p>
    <w:p w14:paraId="06E499F6" w14:textId="13DB7B00" w:rsidR="007F538A" w:rsidRDefault="007F538A" w:rsidP="00D647DB">
      <w:pPr>
        <w:jc w:val="both"/>
      </w:pPr>
      <w:r>
        <w:rPr>
          <w:b/>
          <w:bCs/>
        </w:rPr>
        <w:t>Conclusion</w:t>
      </w:r>
    </w:p>
    <w:p w14:paraId="660A6C97" w14:textId="55B1D3F6" w:rsidR="007F538A" w:rsidRDefault="007F538A" w:rsidP="00D647DB">
      <w:pPr>
        <w:jc w:val="both"/>
      </w:pPr>
      <w:r>
        <w:t xml:space="preserve">The Court found </w:t>
      </w:r>
      <w:r w:rsidR="0012198A">
        <w:t>in</w:t>
      </w:r>
      <w:r w:rsidR="0012198A" w:rsidRPr="0012198A">
        <w:t xml:space="preserve"> </w:t>
      </w:r>
      <w:r w:rsidR="0012198A">
        <w:t>Favour of the Respondents, holding</w:t>
      </w:r>
      <w:r>
        <w:t xml:space="preserve"> the RFA is an ‘RFA’ within the meaning of the </w:t>
      </w:r>
      <w:r>
        <w:rPr>
          <w:i/>
          <w:iCs/>
        </w:rPr>
        <w:t xml:space="preserve">RFA Act </w:t>
      </w:r>
      <w:r>
        <w:t xml:space="preserve">and </w:t>
      </w:r>
      <w:r>
        <w:rPr>
          <w:i/>
          <w:iCs/>
        </w:rPr>
        <w:t xml:space="preserve">EPBC Act. </w:t>
      </w:r>
    </w:p>
    <w:p w14:paraId="395A7AF1" w14:textId="77777777" w:rsidR="007F538A" w:rsidRPr="007F538A" w:rsidRDefault="007F538A" w:rsidP="00D647DB">
      <w:pPr>
        <w:jc w:val="both"/>
      </w:pPr>
    </w:p>
    <w:sectPr w:rsidR="007F538A" w:rsidRPr="007F53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9E91A" w14:textId="77777777" w:rsidR="004A0860" w:rsidRDefault="004A0860" w:rsidP="00653792">
      <w:pPr>
        <w:spacing w:after="0" w:line="240" w:lineRule="auto"/>
      </w:pPr>
      <w:r>
        <w:separator/>
      </w:r>
    </w:p>
  </w:endnote>
  <w:endnote w:type="continuationSeparator" w:id="0">
    <w:p w14:paraId="337F08BE" w14:textId="77777777" w:rsidR="004A0860" w:rsidRDefault="004A0860" w:rsidP="0065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A1173" w14:textId="77777777" w:rsidR="004A0860" w:rsidRDefault="004A0860" w:rsidP="00653792">
      <w:pPr>
        <w:spacing w:after="0" w:line="240" w:lineRule="auto"/>
      </w:pPr>
      <w:r>
        <w:separator/>
      </w:r>
    </w:p>
  </w:footnote>
  <w:footnote w:type="continuationSeparator" w:id="0">
    <w:p w14:paraId="6276A092" w14:textId="77777777" w:rsidR="004A0860" w:rsidRDefault="004A0860" w:rsidP="00653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A7BE7"/>
    <w:multiLevelType w:val="hybridMultilevel"/>
    <w:tmpl w:val="F1F4B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B31024E"/>
    <w:multiLevelType w:val="hybridMultilevel"/>
    <w:tmpl w:val="ABECF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DA"/>
    <w:rsid w:val="0000287E"/>
    <w:rsid w:val="0000621F"/>
    <w:rsid w:val="00006FE7"/>
    <w:rsid w:val="000076D2"/>
    <w:rsid w:val="00022A43"/>
    <w:rsid w:val="00022EEA"/>
    <w:rsid w:val="00023426"/>
    <w:rsid w:val="00040421"/>
    <w:rsid w:val="00053F04"/>
    <w:rsid w:val="000741A2"/>
    <w:rsid w:val="000C29BB"/>
    <w:rsid w:val="000C47A6"/>
    <w:rsid w:val="000D4EB4"/>
    <w:rsid w:val="000F0C2D"/>
    <w:rsid w:val="000F781F"/>
    <w:rsid w:val="0012198A"/>
    <w:rsid w:val="00125E51"/>
    <w:rsid w:val="001321D3"/>
    <w:rsid w:val="001501BF"/>
    <w:rsid w:val="00163702"/>
    <w:rsid w:val="00165D10"/>
    <w:rsid w:val="00177A03"/>
    <w:rsid w:val="00177D9F"/>
    <w:rsid w:val="001805CC"/>
    <w:rsid w:val="001A0AC6"/>
    <w:rsid w:val="001A6FC7"/>
    <w:rsid w:val="001B4BBD"/>
    <w:rsid w:val="001B76B7"/>
    <w:rsid w:val="001C07D4"/>
    <w:rsid w:val="001C1AEF"/>
    <w:rsid w:val="001C7A0A"/>
    <w:rsid w:val="001F6908"/>
    <w:rsid w:val="0020236C"/>
    <w:rsid w:val="00207301"/>
    <w:rsid w:val="002161EA"/>
    <w:rsid w:val="00253C1F"/>
    <w:rsid w:val="00255A8E"/>
    <w:rsid w:val="0025780F"/>
    <w:rsid w:val="0027625A"/>
    <w:rsid w:val="00280F73"/>
    <w:rsid w:val="00284B02"/>
    <w:rsid w:val="00287CF3"/>
    <w:rsid w:val="0029200B"/>
    <w:rsid w:val="00293C1A"/>
    <w:rsid w:val="002A614F"/>
    <w:rsid w:val="002D0BA7"/>
    <w:rsid w:val="002D16E4"/>
    <w:rsid w:val="002D5DF4"/>
    <w:rsid w:val="002D68EE"/>
    <w:rsid w:val="002E16B0"/>
    <w:rsid w:val="0031447C"/>
    <w:rsid w:val="00322097"/>
    <w:rsid w:val="003265CC"/>
    <w:rsid w:val="0034766A"/>
    <w:rsid w:val="00355810"/>
    <w:rsid w:val="00376151"/>
    <w:rsid w:val="003855CB"/>
    <w:rsid w:val="00397634"/>
    <w:rsid w:val="003B764D"/>
    <w:rsid w:val="003B7725"/>
    <w:rsid w:val="003F1BF5"/>
    <w:rsid w:val="00415D57"/>
    <w:rsid w:val="00422DD1"/>
    <w:rsid w:val="00437BDE"/>
    <w:rsid w:val="004526A4"/>
    <w:rsid w:val="00453EDA"/>
    <w:rsid w:val="00461D2E"/>
    <w:rsid w:val="00476D81"/>
    <w:rsid w:val="00477BCB"/>
    <w:rsid w:val="004972B2"/>
    <w:rsid w:val="004A0860"/>
    <w:rsid w:val="004E0CA9"/>
    <w:rsid w:val="005030D0"/>
    <w:rsid w:val="00512BD9"/>
    <w:rsid w:val="00513DB9"/>
    <w:rsid w:val="0055710B"/>
    <w:rsid w:val="005809B0"/>
    <w:rsid w:val="0058181E"/>
    <w:rsid w:val="0058536B"/>
    <w:rsid w:val="00586258"/>
    <w:rsid w:val="005D4307"/>
    <w:rsid w:val="005F052D"/>
    <w:rsid w:val="005F445D"/>
    <w:rsid w:val="005F506F"/>
    <w:rsid w:val="005F6ADF"/>
    <w:rsid w:val="006416DC"/>
    <w:rsid w:val="00643E7A"/>
    <w:rsid w:val="00653792"/>
    <w:rsid w:val="00681C09"/>
    <w:rsid w:val="0068788F"/>
    <w:rsid w:val="00694BC1"/>
    <w:rsid w:val="00695969"/>
    <w:rsid w:val="006D1CEC"/>
    <w:rsid w:val="006E1DB4"/>
    <w:rsid w:val="006E4F8E"/>
    <w:rsid w:val="006E59C4"/>
    <w:rsid w:val="007126B4"/>
    <w:rsid w:val="00713CBB"/>
    <w:rsid w:val="00722EAF"/>
    <w:rsid w:val="0073647F"/>
    <w:rsid w:val="00745ED0"/>
    <w:rsid w:val="007838E8"/>
    <w:rsid w:val="007A2BF2"/>
    <w:rsid w:val="007B0097"/>
    <w:rsid w:val="007B6E98"/>
    <w:rsid w:val="007D65C2"/>
    <w:rsid w:val="007F538A"/>
    <w:rsid w:val="00815CA1"/>
    <w:rsid w:val="00824FBC"/>
    <w:rsid w:val="008261CD"/>
    <w:rsid w:val="00827D8C"/>
    <w:rsid w:val="00832FF1"/>
    <w:rsid w:val="00836F97"/>
    <w:rsid w:val="00837CA9"/>
    <w:rsid w:val="00851A16"/>
    <w:rsid w:val="008524DB"/>
    <w:rsid w:val="00853B75"/>
    <w:rsid w:val="00880446"/>
    <w:rsid w:val="0089380C"/>
    <w:rsid w:val="008A0B7A"/>
    <w:rsid w:val="008A5BAE"/>
    <w:rsid w:val="008A5C4C"/>
    <w:rsid w:val="008B174E"/>
    <w:rsid w:val="008B1B8A"/>
    <w:rsid w:val="008C5E9E"/>
    <w:rsid w:val="008D06F6"/>
    <w:rsid w:val="008E3289"/>
    <w:rsid w:val="008F55DF"/>
    <w:rsid w:val="00914549"/>
    <w:rsid w:val="00915E9D"/>
    <w:rsid w:val="00922826"/>
    <w:rsid w:val="009302CD"/>
    <w:rsid w:val="00950E1C"/>
    <w:rsid w:val="00957CC8"/>
    <w:rsid w:val="009602F0"/>
    <w:rsid w:val="009626D5"/>
    <w:rsid w:val="00972368"/>
    <w:rsid w:val="00976639"/>
    <w:rsid w:val="00986151"/>
    <w:rsid w:val="00986EE6"/>
    <w:rsid w:val="009D275B"/>
    <w:rsid w:val="009F13F5"/>
    <w:rsid w:val="00A05B65"/>
    <w:rsid w:val="00A0654D"/>
    <w:rsid w:val="00A06819"/>
    <w:rsid w:val="00A24893"/>
    <w:rsid w:val="00A31C64"/>
    <w:rsid w:val="00A36E07"/>
    <w:rsid w:val="00A41572"/>
    <w:rsid w:val="00A453BF"/>
    <w:rsid w:val="00A65328"/>
    <w:rsid w:val="00A84064"/>
    <w:rsid w:val="00A85685"/>
    <w:rsid w:val="00A87BF7"/>
    <w:rsid w:val="00A91B1C"/>
    <w:rsid w:val="00A93F45"/>
    <w:rsid w:val="00AC04A4"/>
    <w:rsid w:val="00AC4620"/>
    <w:rsid w:val="00AC5759"/>
    <w:rsid w:val="00AD1D6F"/>
    <w:rsid w:val="00AD6D25"/>
    <w:rsid w:val="00AF693E"/>
    <w:rsid w:val="00B044CF"/>
    <w:rsid w:val="00B3258A"/>
    <w:rsid w:val="00B611C8"/>
    <w:rsid w:val="00B650D2"/>
    <w:rsid w:val="00B74EBF"/>
    <w:rsid w:val="00B8543C"/>
    <w:rsid w:val="00B85AAE"/>
    <w:rsid w:val="00B871D2"/>
    <w:rsid w:val="00BA22DC"/>
    <w:rsid w:val="00BA3F4A"/>
    <w:rsid w:val="00BB460F"/>
    <w:rsid w:val="00BC1171"/>
    <w:rsid w:val="00BC584E"/>
    <w:rsid w:val="00BE41BD"/>
    <w:rsid w:val="00BF246E"/>
    <w:rsid w:val="00C1123B"/>
    <w:rsid w:val="00C12BD7"/>
    <w:rsid w:val="00C316EF"/>
    <w:rsid w:val="00C37E2A"/>
    <w:rsid w:val="00C41BD7"/>
    <w:rsid w:val="00C71D04"/>
    <w:rsid w:val="00CB5FC0"/>
    <w:rsid w:val="00CC49EF"/>
    <w:rsid w:val="00CD1889"/>
    <w:rsid w:val="00CD7775"/>
    <w:rsid w:val="00CD7A0C"/>
    <w:rsid w:val="00CE3F4A"/>
    <w:rsid w:val="00CF17CE"/>
    <w:rsid w:val="00CF180D"/>
    <w:rsid w:val="00CF28B3"/>
    <w:rsid w:val="00CF74A2"/>
    <w:rsid w:val="00D20560"/>
    <w:rsid w:val="00D32370"/>
    <w:rsid w:val="00D41CA7"/>
    <w:rsid w:val="00D433B2"/>
    <w:rsid w:val="00D5050B"/>
    <w:rsid w:val="00D511AE"/>
    <w:rsid w:val="00D562A0"/>
    <w:rsid w:val="00D61568"/>
    <w:rsid w:val="00D647DB"/>
    <w:rsid w:val="00D80257"/>
    <w:rsid w:val="00DD33A2"/>
    <w:rsid w:val="00DD553A"/>
    <w:rsid w:val="00DE7136"/>
    <w:rsid w:val="00DF02A1"/>
    <w:rsid w:val="00E11C42"/>
    <w:rsid w:val="00E13642"/>
    <w:rsid w:val="00E319BC"/>
    <w:rsid w:val="00E408A0"/>
    <w:rsid w:val="00E45545"/>
    <w:rsid w:val="00E462C2"/>
    <w:rsid w:val="00E5469A"/>
    <w:rsid w:val="00E56DAA"/>
    <w:rsid w:val="00E6246C"/>
    <w:rsid w:val="00E64357"/>
    <w:rsid w:val="00E73E79"/>
    <w:rsid w:val="00E7599E"/>
    <w:rsid w:val="00E954E3"/>
    <w:rsid w:val="00EA3653"/>
    <w:rsid w:val="00EA3862"/>
    <w:rsid w:val="00EA4460"/>
    <w:rsid w:val="00EB2570"/>
    <w:rsid w:val="00ED5E0F"/>
    <w:rsid w:val="00ED6C91"/>
    <w:rsid w:val="00EE4D0D"/>
    <w:rsid w:val="00EE6DD5"/>
    <w:rsid w:val="00F1053C"/>
    <w:rsid w:val="00F212AF"/>
    <w:rsid w:val="00F27416"/>
    <w:rsid w:val="00F2789B"/>
    <w:rsid w:val="00F27E1F"/>
    <w:rsid w:val="00F31774"/>
    <w:rsid w:val="00F5181B"/>
    <w:rsid w:val="00F53829"/>
    <w:rsid w:val="00F61747"/>
    <w:rsid w:val="00F703CC"/>
    <w:rsid w:val="00F73EC2"/>
    <w:rsid w:val="00F8012D"/>
    <w:rsid w:val="00F905F0"/>
    <w:rsid w:val="00FA43DF"/>
    <w:rsid w:val="00FA60A2"/>
    <w:rsid w:val="00FB142D"/>
    <w:rsid w:val="00FC774D"/>
    <w:rsid w:val="00FD35A8"/>
    <w:rsid w:val="00FE0E26"/>
    <w:rsid w:val="00FE59E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F07C"/>
  <w15:chartTrackingRefBased/>
  <w15:docId w15:val="{2D9629FF-D169-4F5B-887B-60E4D8A1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08"/>
    <w:pPr>
      <w:ind w:left="720"/>
      <w:contextualSpacing/>
    </w:pPr>
  </w:style>
  <w:style w:type="paragraph" w:styleId="Header">
    <w:name w:val="header"/>
    <w:basedOn w:val="Normal"/>
    <w:link w:val="HeaderChar"/>
    <w:uiPriority w:val="99"/>
    <w:unhideWhenUsed/>
    <w:rsid w:val="00653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792"/>
  </w:style>
  <w:style w:type="paragraph" w:styleId="Footer">
    <w:name w:val="footer"/>
    <w:basedOn w:val="Normal"/>
    <w:link w:val="FooterChar"/>
    <w:uiPriority w:val="99"/>
    <w:unhideWhenUsed/>
    <w:rsid w:val="00653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792"/>
  </w:style>
  <w:style w:type="paragraph" w:styleId="BalloonText">
    <w:name w:val="Balloon Text"/>
    <w:basedOn w:val="Normal"/>
    <w:link w:val="BalloonTextChar"/>
    <w:uiPriority w:val="99"/>
    <w:semiHidden/>
    <w:unhideWhenUsed/>
    <w:rsid w:val="0012198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2198A"/>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A872B3015D541ADC8903ACB80D55F" ma:contentTypeVersion="10" ma:contentTypeDescription="Create a new document." ma:contentTypeScope="" ma:versionID="f79778b399523b98b5909a1c28ff61ab">
  <xsd:schema xmlns:xsd="http://www.w3.org/2001/XMLSchema" xmlns:xs="http://www.w3.org/2001/XMLSchema" xmlns:p="http://schemas.microsoft.com/office/2006/metadata/properties" xmlns:ns3="94e5d83a-1aec-4df5-a7b1-c67edff0acb3" xmlns:ns4="e101ea61-196f-47c8-b02c-b55315c32416" targetNamespace="http://schemas.microsoft.com/office/2006/metadata/properties" ma:root="true" ma:fieldsID="f04c120240cb33cdb4fdea9470448aba" ns3:_="" ns4:_="">
    <xsd:import namespace="94e5d83a-1aec-4df5-a7b1-c67edff0acb3"/>
    <xsd:import namespace="e101ea61-196f-47c8-b02c-b55315c3241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5d83a-1aec-4df5-a7b1-c67edff0ac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1ea61-196f-47c8-b02c-b55315c32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D6D61-E7AE-42D5-B3AD-BBC5982EB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5d83a-1aec-4df5-a7b1-c67edff0acb3"/>
    <ds:schemaRef ds:uri="e101ea61-196f-47c8-b02c-b55315c32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FCE82-933F-48FE-AB56-7E4E6562B232}">
  <ds:schemaRefs>
    <ds:schemaRef ds:uri="http://schemas.microsoft.com/sharepoint/v3/contenttype/forms"/>
  </ds:schemaRefs>
</ds:datastoreItem>
</file>

<file path=customXml/itemProps3.xml><?xml version="1.0" encoding="utf-8"?>
<ds:datastoreItem xmlns:ds="http://schemas.openxmlformats.org/officeDocument/2006/customXml" ds:itemID="{629B3098-95ED-4DF4-BDD7-78A1BA01C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Climie</dc:creator>
  <cp:keywords/>
  <dc:description/>
  <cp:lastModifiedBy>Roland Browne</cp:lastModifiedBy>
  <cp:revision>3</cp:revision>
  <dcterms:created xsi:type="dcterms:W3CDTF">2021-02-05T12:21:00Z</dcterms:created>
  <dcterms:modified xsi:type="dcterms:W3CDTF">2021-02-05T12:26:00Z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0x01010056FA872B3015D541ADC8903ACB80D55F</vt:lpwstr>
  </property>
</Properties>
</file>