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5" w:type="dxa"/>
        <w:tblCellMar>
          <w:left w:w="0" w:type="dxa"/>
          <w:right w:w="0" w:type="dxa"/>
        </w:tblCellMar>
        <w:tblLook w:val="04A0" w:firstRow="1" w:lastRow="0" w:firstColumn="1" w:lastColumn="0" w:noHBand="0" w:noVBand="1"/>
      </w:tblPr>
      <w:tblGrid>
        <w:gridCol w:w="1907"/>
        <w:gridCol w:w="3966"/>
        <w:gridCol w:w="4672"/>
      </w:tblGrid>
      <w:tr w:rsidR="00E947A9" w:rsidTr="00E947A9">
        <w:trPr>
          <w:trHeight w:val="720"/>
        </w:trPr>
        <w:tc>
          <w:tcPr>
            <w:tcW w:w="1908" w:type="dxa"/>
            <w:tcMar>
              <w:top w:w="0" w:type="dxa"/>
              <w:left w:w="108" w:type="dxa"/>
              <w:bottom w:w="0" w:type="dxa"/>
              <w:right w:w="108" w:type="dxa"/>
            </w:tcMar>
            <w:hideMark/>
          </w:tcPr>
          <w:p w:rsidR="00E947A9" w:rsidRDefault="00E947A9">
            <w:pPr>
              <w:pStyle w:val="Heading2"/>
              <w:rPr>
                <w:rFonts w:eastAsia="Times New Roman"/>
              </w:rPr>
            </w:pPr>
            <w:r>
              <w:rPr>
                <w:rFonts w:eastAsia="Times New Roman"/>
                <w:color w:val="333333"/>
                <w:sz w:val="18"/>
                <w:szCs w:val="18"/>
              </w:rPr>
              <w:br/>
              <w:t xml:space="preserve">Media Relations </w:t>
            </w:r>
          </w:p>
          <w:p w:rsidR="00E947A9" w:rsidRDefault="00E947A9">
            <w:pPr>
              <w:pStyle w:val="Heading2"/>
              <w:rPr>
                <w:rFonts w:eastAsia="Times New Roman"/>
              </w:rPr>
            </w:pPr>
            <w:r>
              <w:rPr>
                <w:rFonts w:eastAsia="Times New Roman"/>
                <w:color w:val="333333"/>
                <w:sz w:val="18"/>
                <w:szCs w:val="18"/>
              </w:rPr>
              <w:t> </w:t>
            </w:r>
          </w:p>
        </w:tc>
        <w:tc>
          <w:tcPr>
            <w:tcW w:w="3968" w:type="dxa"/>
            <w:tcMar>
              <w:top w:w="0" w:type="dxa"/>
              <w:left w:w="108" w:type="dxa"/>
              <w:bottom w:w="0" w:type="dxa"/>
              <w:right w:w="108" w:type="dxa"/>
            </w:tcMar>
            <w:hideMark/>
          </w:tcPr>
          <w:p w:rsidR="00E947A9" w:rsidRDefault="00E947A9">
            <w:pPr>
              <w:pStyle w:val="Heading2"/>
              <w:spacing w:line="216" w:lineRule="auto"/>
              <w:rPr>
                <w:rFonts w:eastAsia="Times New Roman"/>
              </w:rPr>
            </w:pPr>
            <w:r>
              <w:rPr>
                <w:rFonts w:eastAsia="Times New Roman"/>
                <w:color w:val="333333"/>
                <w:sz w:val="18"/>
                <w:szCs w:val="18"/>
              </w:rPr>
              <w:t> </w:t>
            </w:r>
          </w:p>
          <w:p w:rsidR="00E947A9" w:rsidRDefault="00E947A9">
            <w:pPr>
              <w:pStyle w:val="Heading2"/>
              <w:spacing w:line="216" w:lineRule="auto"/>
              <w:rPr>
                <w:rFonts w:eastAsia="Times New Roman"/>
              </w:rPr>
            </w:pPr>
            <w:r>
              <w:rPr>
                <w:rFonts w:eastAsia="Times New Roman"/>
                <w:color w:val="333333"/>
                <w:sz w:val="18"/>
                <w:szCs w:val="18"/>
              </w:rPr>
              <w:t>Public Service Electric and Gas Company</w:t>
            </w:r>
          </w:p>
          <w:p w:rsidR="00E947A9" w:rsidRDefault="00E947A9">
            <w:pPr>
              <w:autoSpaceDE w:val="0"/>
              <w:autoSpaceDN w:val="0"/>
              <w:spacing w:line="216" w:lineRule="auto"/>
            </w:pPr>
            <w:r>
              <w:rPr>
                <w:color w:val="333333"/>
                <w:sz w:val="18"/>
                <w:szCs w:val="18"/>
              </w:rPr>
              <w:t>80 Park Plaza, T-4</w:t>
            </w:r>
          </w:p>
          <w:p w:rsidR="00E947A9" w:rsidRDefault="00E947A9">
            <w:pPr>
              <w:autoSpaceDE w:val="0"/>
              <w:autoSpaceDN w:val="0"/>
              <w:spacing w:line="216" w:lineRule="auto"/>
            </w:pPr>
            <w:r>
              <w:rPr>
                <w:color w:val="333333"/>
                <w:sz w:val="18"/>
                <w:szCs w:val="18"/>
              </w:rPr>
              <w:t>Newark, NJ 07102-4194</w:t>
            </w:r>
          </w:p>
          <w:p w:rsidR="00E947A9" w:rsidRDefault="00E947A9">
            <w:pPr>
              <w:autoSpaceDE w:val="0"/>
              <w:autoSpaceDN w:val="0"/>
              <w:spacing w:line="216" w:lineRule="auto"/>
            </w:pPr>
            <w:r>
              <w:rPr>
                <w:color w:val="333333"/>
                <w:sz w:val="18"/>
                <w:szCs w:val="18"/>
              </w:rPr>
              <w:t> </w:t>
            </w:r>
          </w:p>
        </w:tc>
        <w:tc>
          <w:tcPr>
            <w:tcW w:w="4672" w:type="dxa"/>
            <w:tcMar>
              <w:top w:w="0" w:type="dxa"/>
              <w:left w:w="108" w:type="dxa"/>
              <w:bottom w:w="0" w:type="dxa"/>
              <w:right w:w="108" w:type="dxa"/>
            </w:tcMar>
            <w:hideMark/>
          </w:tcPr>
          <w:p w:rsidR="00E947A9" w:rsidRDefault="00E947A9">
            <w:pPr>
              <w:autoSpaceDE w:val="0"/>
              <w:autoSpaceDN w:val="0"/>
              <w:ind w:right="1236"/>
            </w:pPr>
            <w:r>
              <w:rPr>
                <w:noProof/>
              </w:rPr>
              <w:drawing>
                <wp:inline distT="0" distB="0" distL="0" distR="0">
                  <wp:extent cx="1981200" cy="533400"/>
                  <wp:effectExtent l="0" t="0" r="0" b="0"/>
                  <wp:docPr id="1" name="Picture 1" descr="cid:image004.jpg@01D20362.71BBD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jpg@01D20362.71BBD8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81200" cy="533400"/>
                          </a:xfrm>
                          <a:prstGeom prst="rect">
                            <a:avLst/>
                          </a:prstGeom>
                          <a:noFill/>
                          <a:ln>
                            <a:noFill/>
                          </a:ln>
                        </pic:spPr>
                      </pic:pic>
                    </a:graphicData>
                  </a:graphic>
                </wp:inline>
              </w:drawing>
            </w:r>
          </w:p>
        </w:tc>
      </w:tr>
      <w:tr w:rsidR="00E947A9" w:rsidTr="00E947A9">
        <w:trPr>
          <w:trHeight w:val="333"/>
        </w:trPr>
        <w:tc>
          <w:tcPr>
            <w:tcW w:w="1908" w:type="dxa"/>
            <w:tcMar>
              <w:top w:w="0" w:type="dxa"/>
              <w:left w:w="108" w:type="dxa"/>
              <w:bottom w:w="0" w:type="dxa"/>
              <w:right w:w="108" w:type="dxa"/>
            </w:tcMar>
            <w:hideMark/>
          </w:tcPr>
          <w:p w:rsidR="00E947A9" w:rsidRDefault="00E947A9">
            <w:pPr>
              <w:autoSpaceDE w:val="0"/>
              <w:autoSpaceDN w:val="0"/>
            </w:pPr>
            <w:r>
              <w:rPr>
                <w:b/>
                <w:bCs/>
                <w:color w:val="808080"/>
              </w:rPr>
              <w:t> </w:t>
            </w:r>
          </w:p>
        </w:tc>
        <w:tc>
          <w:tcPr>
            <w:tcW w:w="3968" w:type="dxa"/>
            <w:tcMar>
              <w:top w:w="0" w:type="dxa"/>
              <w:left w:w="108" w:type="dxa"/>
              <w:bottom w:w="0" w:type="dxa"/>
              <w:right w:w="108" w:type="dxa"/>
            </w:tcMar>
            <w:hideMark/>
          </w:tcPr>
          <w:p w:rsidR="00E947A9" w:rsidRDefault="00E947A9">
            <w:pPr>
              <w:autoSpaceDE w:val="0"/>
              <w:autoSpaceDN w:val="0"/>
            </w:pPr>
            <w:r>
              <w:rPr>
                <w:sz w:val="20"/>
                <w:szCs w:val="20"/>
              </w:rPr>
              <w:t> </w:t>
            </w:r>
          </w:p>
        </w:tc>
        <w:tc>
          <w:tcPr>
            <w:tcW w:w="4672" w:type="dxa"/>
            <w:tcMar>
              <w:top w:w="0" w:type="dxa"/>
              <w:left w:w="108" w:type="dxa"/>
              <w:bottom w:w="0" w:type="dxa"/>
              <w:right w:w="108" w:type="dxa"/>
            </w:tcMar>
            <w:hideMark/>
          </w:tcPr>
          <w:p w:rsidR="00E947A9" w:rsidRDefault="00E947A9">
            <w:pPr>
              <w:pStyle w:val="Header"/>
              <w:autoSpaceDE w:val="0"/>
              <w:autoSpaceDN w:val="0"/>
              <w:jc w:val="center"/>
            </w:pPr>
            <w:r>
              <w:rPr>
                <w:sz w:val="20"/>
                <w:szCs w:val="20"/>
              </w:rPr>
              <w:t> </w:t>
            </w:r>
          </w:p>
        </w:tc>
      </w:tr>
    </w:tbl>
    <w:p w:rsidR="00E947A9" w:rsidRDefault="00E947A9" w:rsidP="00E947A9">
      <w:pPr>
        <w:pStyle w:val="Heading8"/>
        <w:jc w:val="both"/>
      </w:pPr>
      <w:r>
        <w:rPr>
          <w:rFonts w:ascii="Arial" w:hAnsi="Arial" w:cs="Arial"/>
          <w:b w:val="0"/>
          <w:bCs w:val="0"/>
          <w:sz w:val="22"/>
          <w:szCs w:val="22"/>
        </w:rPr>
        <w:t> </w:t>
      </w:r>
    </w:p>
    <w:p w:rsidR="00E947A9" w:rsidRDefault="00E947A9" w:rsidP="00E947A9">
      <w:pPr>
        <w:pStyle w:val="Heading8"/>
        <w:jc w:val="both"/>
      </w:pPr>
      <w:r>
        <w:rPr>
          <w:rFonts w:ascii="Arial" w:hAnsi="Arial" w:cs="Arial"/>
          <w:b w:val="0"/>
          <w:bCs w:val="0"/>
          <w:sz w:val="22"/>
          <w:szCs w:val="22"/>
        </w:rPr>
        <w:t xml:space="preserve">            </w:t>
      </w:r>
    </w:p>
    <w:p w:rsidR="00E947A9" w:rsidRDefault="00E947A9" w:rsidP="00E947A9">
      <w:pPr>
        <w:pStyle w:val="Heading8"/>
        <w:ind w:left="4320" w:hanging="4320"/>
      </w:pPr>
      <w:r>
        <w:rPr>
          <w:rFonts w:ascii="Arial" w:hAnsi="Arial" w:cs="Arial"/>
          <w:sz w:val="22"/>
          <w:szCs w:val="22"/>
        </w:rPr>
        <w:t>FOR IMMEDIATE RELEASE                           MEDIA CONTACT:</w:t>
      </w:r>
      <w:r>
        <w:rPr>
          <w:rFonts w:ascii="Arial" w:hAnsi="Arial" w:cs="Arial"/>
          <w:b w:val="0"/>
          <w:bCs w:val="0"/>
          <w:sz w:val="22"/>
          <w:szCs w:val="22"/>
        </w:rPr>
        <w:t>           Karen Johnson</w:t>
      </w:r>
    </w:p>
    <w:p w:rsidR="00E947A9" w:rsidRDefault="00E947A9" w:rsidP="00E947A9">
      <w:pPr>
        <w:pStyle w:val="Heading8"/>
        <w:ind w:left="4320" w:hanging="4320"/>
      </w:pPr>
      <w:r>
        <w:rPr>
          <w:rFonts w:ascii="Arial" w:hAnsi="Arial" w:cs="Arial"/>
          <w:b w:val="0"/>
          <w:bCs w:val="0"/>
          <w:sz w:val="22"/>
          <w:szCs w:val="22"/>
        </w:rPr>
        <w:t>                                                                                                                        973-430-7734</w:t>
      </w:r>
    </w:p>
    <w:p w:rsidR="00E947A9" w:rsidRDefault="00E947A9" w:rsidP="00E947A9">
      <w:pPr>
        <w:pStyle w:val="Heading8"/>
        <w:ind w:left="4320" w:hanging="4320"/>
      </w:pPr>
      <w:r>
        <w:rPr>
          <w:rFonts w:ascii="Arial" w:hAnsi="Arial" w:cs="Arial"/>
          <w:b w:val="0"/>
          <w:bCs w:val="0"/>
          <w:sz w:val="22"/>
          <w:szCs w:val="22"/>
        </w:rPr>
        <w:t xml:space="preserve">Aug. 30, 2016                                                  </w:t>
      </w:r>
      <w:r>
        <w:rPr>
          <w:rFonts w:ascii="Arial" w:hAnsi="Arial" w:cs="Arial"/>
          <w:sz w:val="22"/>
          <w:szCs w:val="22"/>
        </w:rPr>
        <w:t xml:space="preserve">    </w:t>
      </w:r>
      <w:r>
        <w:rPr>
          <w:rFonts w:ascii="Arial" w:hAnsi="Arial" w:cs="Arial"/>
          <w:color w:val="FF0000"/>
          <w:sz w:val="22"/>
          <w:szCs w:val="22"/>
        </w:rPr>
        <w:t>CUSTOMER SERVICE:</w:t>
      </w:r>
      <w:r>
        <w:rPr>
          <w:rFonts w:ascii="Arial" w:hAnsi="Arial" w:cs="Arial"/>
          <w:b w:val="0"/>
          <w:bCs w:val="0"/>
          <w:color w:val="FF0000"/>
          <w:sz w:val="22"/>
          <w:szCs w:val="22"/>
        </w:rPr>
        <w:t>   800-436-</w:t>
      </w:r>
      <w:r>
        <w:rPr>
          <w:rFonts w:ascii="Arial" w:hAnsi="Arial" w:cs="Arial"/>
          <w:b w:val="0"/>
          <w:bCs w:val="0"/>
          <w:color w:val="FF0000"/>
          <w:sz w:val="22"/>
          <w:szCs w:val="22"/>
        </w:rPr>
        <w:t>7734</w:t>
      </w:r>
      <w:r>
        <w:rPr>
          <w:rFonts w:ascii="Arial" w:hAnsi="Arial" w:cs="Arial"/>
          <w:b w:val="0"/>
          <w:bCs w:val="0"/>
          <w:sz w:val="22"/>
          <w:szCs w:val="22"/>
        </w:rPr>
        <w:t xml:space="preserve"> </w:t>
      </w:r>
    </w:p>
    <w:p w:rsidR="00E947A9" w:rsidRDefault="00E947A9" w:rsidP="00E947A9">
      <w:pPr>
        <w:pStyle w:val="Heading8"/>
        <w:jc w:val="center"/>
      </w:pPr>
      <w:r>
        <w:rPr>
          <w:rFonts w:ascii="Arial" w:hAnsi="Arial" w:cs="Arial"/>
        </w:rPr>
        <w:t> </w:t>
      </w:r>
    </w:p>
    <w:p w:rsidR="00E947A9" w:rsidRDefault="00E947A9" w:rsidP="00E947A9">
      <w:pPr>
        <w:pStyle w:val="Heading8"/>
        <w:jc w:val="center"/>
      </w:pPr>
      <w:r>
        <w:rPr>
          <w:rFonts w:ascii="Arial" w:hAnsi="Arial" w:cs="Arial"/>
          <w:sz w:val="28"/>
          <w:szCs w:val="28"/>
        </w:rPr>
        <w:t xml:space="preserve">PSE&amp;G warns customers about increase in payment scams </w:t>
      </w:r>
    </w:p>
    <w:p w:rsidR="00E947A9" w:rsidRDefault="00E947A9" w:rsidP="00E947A9">
      <w:pPr>
        <w:jc w:val="center"/>
      </w:pPr>
      <w:r>
        <w:rPr>
          <w:rFonts w:ascii="Arial" w:hAnsi="Arial" w:cs="Arial"/>
          <w:i/>
          <w:iCs/>
        </w:rPr>
        <w:t>Small business customers targeted</w:t>
      </w:r>
    </w:p>
    <w:p w:rsidR="00E947A9" w:rsidRDefault="00E947A9" w:rsidP="00E947A9">
      <w:pPr>
        <w:jc w:val="center"/>
      </w:pPr>
      <w:r>
        <w:rPr>
          <w:rFonts w:ascii="Arial" w:hAnsi="Arial" w:cs="Arial"/>
          <w:i/>
          <w:iCs/>
        </w:rPr>
        <w:t>When in doubt, hang up and call the number listed on your bill</w:t>
      </w:r>
    </w:p>
    <w:p w:rsidR="00E947A9" w:rsidRDefault="00E947A9" w:rsidP="00E947A9">
      <w:r>
        <w:t> </w:t>
      </w:r>
    </w:p>
    <w:p w:rsidR="00E947A9" w:rsidRDefault="00E947A9" w:rsidP="00E947A9">
      <w:r>
        <w:rPr>
          <w:rFonts w:ascii="Arial" w:hAnsi="Arial" w:cs="Arial"/>
          <w:sz w:val="22"/>
          <w:szCs w:val="22"/>
        </w:rPr>
        <w:t>(Newark, N.J. – Aug. 30, 2016) Public Service Electric and Gas Company (PSE&amp;G), New Jersey’s largest utility, is urging customers to be alert to scams demanding immediate bill payment via a pre-paid card.</w:t>
      </w:r>
    </w:p>
    <w:p w:rsidR="00E947A9" w:rsidRDefault="00E947A9" w:rsidP="00E947A9">
      <w:r>
        <w:rPr>
          <w:rFonts w:ascii="Arial" w:hAnsi="Arial" w:cs="Arial"/>
          <w:sz w:val="22"/>
          <w:szCs w:val="22"/>
        </w:rPr>
        <w:t> </w:t>
      </w:r>
      <w:bookmarkStart w:id="0" w:name="_GoBack"/>
      <w:bookmarkEnd w:id="0"/>
    </w:p>
    <w:p w:rsidR="00E947A9" w:rsidRDefault="00E947A9" w:rsidP="00E947A9">
      <w:r>
        <w:rPr>
          <w:rFonts w:ascii="Arial" w:hAnsi="Arial" w:cs="Arial"/>
          <w:sz w:val="22"/>
          <w:szCs w:val="22"/>
        </w:rPr>
        <w:t>“During the last several days, we’ve seen an uptick in the number of phone scams being reported,” said Greg Dunlap, vice president of Customer Operations for PSE&amp;G. “Scammers can – and do – target anyone. But they tend to more often target small business customers, because they have larger bills than residential customers, but don’t have all of the checks and balances to prevent fraud that large business customers typically have.”</w:t>
      </w:r>
    </w:p>
    <w:p w:rsidR="00E947A9" w:rsidRDefault="00E947A9" w:rsidP="00E947A9">
      <w:r>
        <w:rPr>
          <w:rFonts w:ascii="Arial" w:hAnsi="Arial" w:cs="Arial"/>
          <w:sz w:val="22"/>
          <w:szCs w:val="22"/>
        </w:rPr>
        <w:t> </w:t>
      </w:r>
    </w:p>
    <w:p w:rsidR="00E947A9" w:rsidRDefault="00E947A9" w:rsidP="00E947A9">
      <w:r>
        <w:rPr>
          <w:rFonts w:ascii="Arial" w:hAnsi="Arial" w:cs="Arial"/>
          <w:sz w:val="22"/>
          <w:szCs w:val="22"/>
        </w:rPr>
        <w:t>Here is how this latest payment scam works:</w:t>
      </w:r>
    </w:p>
    <w:p w:rsidR="00E947A9" w:rsidRDefault="00E947A9" w:rsidP="00E947A9">
      <w:r>
        <w:rPr>
          <w:rFonts w:ascii="Arial" w:hAnsi="Arial" w:cs="Arial"/>
          <w:sz w:val="22"/>
          <w:szCs w:val="22"/>
        </w:rPr>
        <w:t> </w:t>
      </w:r>
    </w:p>
    <w:p w:rsidR="00E947A9" w:rsidRDefault="00E947A9" w:rsidP="00E947A9">
      <w:pPr>
        <w:numPr>
          <w:ilvl w:val="0"/>
          <w:numId w:val="1"/>
        </w:numPr>
        <w:rPr>
          <w:rFonts w:eastAsia="Times New Roman"/>
        </w:rPr>
      </w:pPr>
      <w:r>
        <w:rPr>
          <w:rFonts w:ascii="Arial" w:eastAsia="Times New Roman" w:hAnsi="Arial" w:cs="Arial"/>
          <w:sz w:val="22"/>
          <w:szCs w:val="22"/>
        </w:rPr>
        <w:t>An individual pretending to be a PSE&amp;G employee calls a customer and tells them that without immediate payment via a pre-paid card, their service will be shut off.</w:t>
      </w:r>
    </w:p>
    <w:p w:rsidR="00E947A9" w:rsidRDefault="00E947A9" w:rsidP="00E947A9">
      <w:pPr>
        <w:numPr>
          <w:ilvl w:val="0"/>
          <w:numId w:val="1"/>
        </w:numPr>
        <w:rPr>
          <w:rFonts w:eastAsia="Times New Roman"/>
        </w:rPr>
      </w:pPr>
      <w:r>
        <w:rPr>
          <w:rFonts w:ascii="Arial" w:eastAsia="Times New Roman" w:hAnsi="Arial" w:cs="Arial"/>
          <w:sz w:val="22"/>
          <w:szCs w:val="22"/>
        </w:rPr>
        <w:t xml:space="preserve">Customers are given a telephone number to call back after they have purchased the </w:t>
      </w:r>
      <w:proofErr w:type="gramStart"/>
      <w:r>
        <w:rPr>
          <w:rFonts w:ascii="Arial" w:eastAsia="Times New Roman" w:hAnsi="Arial" w:cs="Arial"/>
          <w:sz w:val="22"/>
          <w:szCs w:val="22"/>
        </w:rPr>
        <w:t>card</w:t>
      </w:r>
      <w:proofErr w:type="gramEnd"/>
      <w:r>
        <w:rPr>
          <w:rFonts w:ascii="Arial" w:eastAsia="Times New Roman" w:hAnsi="Arial" w:cs="Arial"/>
          <w:sz w:val="22"/>
          <w:szCs w:val="22"/>
        </w:rPr>
        <w:t>.  When they call that number, they hear interactive voice response prompts that imitate those they would hear when calling the real PSE&amp;G customer service line.</w:t>
      </w:r>
    </w:p>
    <w:p w:rsidR="00E947A9" w:rsidRDefault="00E947A9" w:rsidP="00E947A9">
      <w:pPr>
        <w:numPr>
          <w:ilvl w:val="0"/>
          <w:numId w:val="1"/>
        </w:numPr>
        <w:rPr>
          <w:rFonts w:eastAsia="Times New Roman"/>
        </w:rPr>
      </w:pPr>
      <w:r>
        <w:rPr>
          <w:rFonts w:ascii="Arial" w:eastAsia="Times New Roman" w:hAnsi="Arial" w:cs="Arial"/>
          <w:sz w:val="22"/>
          <w:szCs w:val="22"/>
        </w:rPr>
        <w:t>When a fake representative answers the line, they ask for the number on the back of the pre-paid card.  After the scammers have that number, they can take the money from the card – usually within a matter of minutes.</w:t>
      </w:r>
    </w:p>
    <w:p w:rsidR="00E947A9" w:rsidRDefault="00E947A9" w:rsidP="00E947A9">
      <w:r>
        <w:rPr>
          <w:rFonts w:ascii="Arial" w:hAnsi="Arial" w:cs="Arial"/>
          <w:sz w:val="22"/>
          <w:szCs w:val="22"/>
        </w:rPr>
        <w:t> </w:t>
      </w:r>
    </w:p>
    <w:p w:rsidR="00E947A9" w:rsidRDefault="00E947A9" w:rsidP="00E947A9">
      <w:r>
        <w:rPr>
          <w:rFonts w:ascii="Arial" w:hAnsi="Arial" w:cs="Arial"/>
          <w:sz w:val="22"/>
          <w:szCs w:val="22"/>
        </w:rPr>
        <w:t>The only way to protect against these scams is for customers to be cautious when contacted by someone threatening service termination if they do not receive immediate payment via a pre-paid credit card. Before terminating service, PSE&amp;G alerts customers in a number of ways: messages on their bill, letters and phone calls. The utility offers a number of payment options, and would never require a customer to use one specific type of payment.</w:t>
      </w:r>
    </w:p>
    <w:p w:rsidR="00E947A9" w:rsidRDefault="00E947A9" w:rsidP="00E947A9">
      <w:r>
        <w:rPr>
          <w:rFonts w:ascii="Arial" w:hAnsi="Arial" w:cs="Arial"/>
          <w:sz w:val="22"/>
          <w:szCs w:val="22"/>
        </w:rPr>
        <w:t> </w:t>
      </w:r>
    </w:p>
    <w:p w:rsidR="00E947A9" w:rsidRDefault="00E947A9" w:rsidP="00E947A9">
      <w:r>
        <w:rPr>
          <w:rFonts w:ascii="Arial" w:hAnsi="Arial" w:cs="Arial"/>
          <w:sz w:val="22"/>
          <w:szCs w:val="22"/>
        </w:rPr>
        <w:t>“If you receive a call from anyone demanding immediate payment, do not give them any personal or account information,” said Dunlap. “Hang up the phone, and call the number listed on PSE&amp;G’s website and bills: 1-800-436-PSEG (7734).”</w:t>
      </w:r>
    </w:p>
    <w:p w:rsidR="00E947A9" w:rsidRDefault="00E947A9" w:rsidP="00E947A9">
      <w:r>
        <w:rPr>
          <w:rFonts w:ascii="Arial" w:hAnsi="Arial" w:cs="Arial"/>
          <w:sz w:val="22"/>
          <w:szCs w:val="22"/>
        </w:rPr>
        <w:t> </w:t>
      </w:r>
    </w:p>
    <w:p w:rsidR="00E947A9" w:rsidRDefault="00E947A9" w:rsidP="00E947A9">
      <w:r>
        <w:rPr>
          <w:rFonts w:ascii="Arial" w:hAnsi="Arial" w:cs="Arial"/>
          <w:sz w:val="22"/>
          <w:szCs w:val="22"/>
        </w:rPr>
        <w:t>We are asking our government account customers (municipal and county) to post this alert on your websites.</w:t>
      </w:r>
    </w:p>
    <w:p w:rsidR="00E947A9" w:rsidRDefault="00E947A9" w:rsidP="00E947A9">
      <w:r>
        <w:rPr>
          <w:rFonts w:ascii="Arial" w:hAnsi="Arial" w:cs="Arial"/>
          <w:sz w:val="22"/>
          <w:szCs w:val="22"/>
        </w:rPr>
        <w:t> </w:t>
      </w:r>
    </w:p>
    <w:p w:rsidR="00E947A9" w:rsidRDefault="00E947A9" w:rsidP="00E947A9">
      <w:pPr>
        <w:jc w:val="center"/>
      </w:pPr>
      <w:r>
        <w:rPr>
          <w:rFonts w:ascii="Arial" w:hAnsi="Arial" w:cs="Arial"/>
          <w:sz w:val="22"/>
          <w:szCs w:val="22"/>
        </w:rPr>
        <w:t>###</w:t>
      </w:r>
    </w:p>
    <w:p w:rsidR="00E947A9" w:rsidRDefault="00E947A9" w:rsidP="00E947A9">
      <w:r>
        <w:rPr>
          <w:rFonts w:ascii="Arial" w:hAnsi="Arial" w:cs="Arial"/>
          <w:sz w:val="22"/>
          <w:szCs w:val="22"/>
        </w:rPr>
        <w:t> </w:t>
      </w:r>
    </w:p>
    <w:p w:rsidR="0083614F" w:rsidRDefault="00E947A9" w:rsidP="00E947A9">
      <w:pPr>
        <w:spacing w:line="276" w:lineRule="auto"/>
      </w:pPr>
      <w:r>
        <w:rPr>
          <w:rFonts w:ascii="Arial" w:hAnsi="Arial" w:cs="Arial"/>
          <w:b/>
          <w:bCs/>
          <w:color w:val="000000"/>
          <w:sz w:val="22"/>
          <w:szCs w:val="22"/>
          <w:u w:val="single"/>
        </w:rPr>
        <w:t>PSE&amp;G</w:t>
      </w:r>
      <w:r>
        <w:rPr>
          <w:rFonts w:ascii="Arial" w:hAnsi="Arial" w:cs="Arial"/>
          <w:i/>
          <w:iCs/>
          <w:color w:val="000000"/>
          <w:sz w:val="22"/>
          <w:szCs w:val="22"/>
          <w:u w:val="single"/>
        </w:rPr>
        <w:br/>
      </w:r>
      <w:r>
        <w:rPr>
          <w:rFonts w:ascii="Arial" w:hAnsi="Arial" w:cs="Arial"/>
          <w:i/>
          <w:iCs/>
          <w:color w:val="000000"/>
          <w:sz w:val="22"/>
          <w:szCs w:val="22"/>
        </w:rPr>
        <w:t xml:space="preserve">Public Service Electric and Gas Company (PSE&amp;G) is New Jersey’s oldest and largest regulated gas and electric delivery utility, serving nearly three-quarters of the state’s population.  PSE&amp;G is the winner of the </w:t>
      </w:r>
      <w:proofErr w:type="spellStart"/>
      <w:r>
        <w:rPr>
          <w:rFonts w:ascii="Arial" w:hAnsi="Arial" w:cs="Arial"/>
          <w:i/>
          <w:iCs/>
          <w:color w:val="000000"/>
          <w:sz w:val="22"/>
          <w:szCs w:val="22"/>
        </w:rPr>
        <w:t>ReliabilityOne</w:t>
      </w:r>
      <w:proofErr w:type="spellEnd"/>
      <w:r>
        <w:rPr>
          <w:rFonts w:ascii="Arial" w:hAnsi="Arial" w:cs="Arial"/>
          <w:i/>
          <w:iCs/>
          <w:color w:val="000000"/>
          <w:sz w:val="22"/>
          <w:szCs w:val="22"/>
        </w:rPr>
        <w:t xml:space="preserve"> Award for superior electric system reliability.  PSE&amp;G is a subsidiary of Public Service Enterprise Group Incorporated (PSEG) (NYSE:PEG), a diversified energy company.</w:t>
      </w:r>
    </w:p>
    <w:sectPr w:rsidR="0083614F" w:rsidSect="00E947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12EA4"/>
    <w:multiLevelType w:val="multilevel"/>
    <w:tmpl w:val="E8EC64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7A9"/>
    <w:rsid w:val="0083614F"/>
    <w:rsid w:val="00E947A9"/>
    <w:rsid w:val="00F2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A9"/>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unhideWhenUsed/>
    <w:qFormat/>
    <w:rsid w:val="00E947A9"/>
    <w:pPr>
      <w:keepNext/>
      <w:autoSpaceDE w:val="0"/>
      <w:autoSpaceDN w:val="0"/>
      <w:outlineLvl w:val="1"/>
    </w:pPr>
    <w:rPr>
      <w:b/>
      <w:bCs/>
      <w:sz w:val="16"/>
      <w:szCs w:val="16"/>
    </w:rPr>
  </w:style>
  <w:style w:type="paragraph" w:styleId="Heading8">
    <w:name w:val="heading 8"/>
    <w:basedOn w:val="Normal"/>
    <w:link w:val="Heading8Char"/>
    <w:uiPriority w:val="9"/>
    <w:semiHidden/>
    <w:unhideWhenUsed/>
    <w:qFormat/>
    <w:rsid w:val="00E947A9"/>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7A9"/>
    <w:rPr>
      <w:rFonts w:ascii="Times New Roman" w:hAnsi="Times New Roman" w:cs="Times New Roman"/>
      <w:b/>
      <w:bCs/>
      <w:sz w:val="16"/>
      <w:szCs w:val="16"/>
    </w:rPr>
  </w:style>
  <w:style w:type="character" w:customStyle="1" w:styleId="Heading8Char">
    <w:name w:val="Heading 8 Char"/>
    <w:basedOn w:val="DefaultParagraphFont"/>
    <w:link w:val="Heading8"/>
    <w:uiPriority w:val="9"/>
    <w:semiHidden/>
    <w:rsid w:val="00E947A9"/>
    <w:rPr>
      <w:rFonts w:ascii="Times New Roman" w:hAnsi="Times New Roman" w:cs="Times New Roman"/>
      <w:b/>
      <w:bCs/>
      <w:sz w:val="24"/>
      <w:szCs w:val="24"/>
    </w:rPr>
  </w:style>
  <w:style w:type="character" w:styleId="Hyperlink">
    <w:name w:val="Hyperlink"/>
    <w:basedOn w:val="DefaultParagraphFont"/>
    <w:uiPriority w:val="99"/>
    <w:semiHidden/>
    <w:unhideWhenUsed/>
    <w:rsid w:val="00E947A9"/>
    <w:rPr>
      <w:color w:val="0000FF"/>
      <w:u w:val="single"/>
    </w:rPr>
  </w:style>
  <w:style w:type="paragraph" w:styleId="Header">
    <w:name w:val="header"/>
    <w:basedOn w:val="Normal"/>
    <w:link w:val="HeaderChar"/>
    <w:uiPriority w:val="99"/>
    <w:unhideWhenUsed/>
    <w:rsid w:val="00E947A9"/>
  </w:style>
  <w:style w:type="character" w:customStyle="1" w:styleId="HeaderChar">
    <w:name w:val="Header Char"/>
    <w:basedOn w:val="DefaultParagraphFont"/>
    <w:link w:val="Header"/>
    <w:uiPriority w:val="99"/>
    <w:rsid w:val="00E947A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947A9"/>
    <w:rPr>
      <w:rFonts w:ascii="Tahoma" w:hAnsi="Tahoma" w:cs="Tahoma"/>
      <w:sz w:val="16"/>
      <w:szCs w:val="16"/>
    </w:rPr>
  </w:style>
  <w:style w:type="character" w:customStyle="1" w:styleId="BalloonTextChar">
    <w:name w:val="Balloon Text Char"/>
    <w:basedOn w:val="DefaultParagraphFont"/>
    <w:link w:val="BalloonText"/>
    <w:uiPriority w:val="99"/>
    <w:semiHidden/>
    <w:rsid w:val="00E947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A9"/>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unhideWhenUsed/>
    <w:qFormat/>
    <w:rsid w:val="00E947A9"/>
    <w:pPr>
      <w:keepNext/>
      <w:autoSpaceDE w:val="0"/>
      <w:autoSpaceDN w:val="0"/>
      <w:outlineLvl w:val="1"/>
    </w:pPr>
    <w:rPr>
      <w:b/>
      <w:bCs/>
      <w:sz w:val="16"/>
      <w:szCs w:val="16"/>
    </w:rPr>
  </w:style>
  <w:style w:type="paragraph" w:styleId="Heading8">
    <w:name w:val="heading 8"/>
    <w:basedOn w:val="Normal"/>
    <w:link w:val="Heading8Char"/>
    <w:uiPriority w:val="9"/>
    <w:semiHidden/>
    <w:unhideWhenUsed/>
    <w:qFormat/>
    <w:rsid w:val="00E947A9"/>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47A9"/>
    <w:rPr>
      <w:rFonts w:ascii="Times New Roman" w:hAnsi="Times New Roman" w:cs="Times New Roman"/>
      <w:b/>
      <w:bCs/>
      <w:sz w:val="16"/>
      <w:szCs w:val="16"/>
    </w:rPr>
  </w:style>
  <w:style w:type="character" w:customStyle="1" w:styleId="Heading8Char">
    <w:name w:val="Heading 8 Char"/>
    <w:basedOn w:val="DefaultParagraphFont"/>
    <w:link w:val="Heading8"/>
    <w:uiPriority w:val="9"/>
    <w:semiHidden/>
    <w:rsid w:val="00E947A9"/>
    <w:rPr>
      <w:rFonts w:ascii="Times New Roman" w:hAnsi="Times New Roman" w:cs="Times New Roman"/>
      <w:b/>
      <w:bCs/>
      <w:sz w:val="24"/>
      <w:szCs w:val="24"/>
    </w:rPr>
  </w:style>
  <w:style w:type="character" w:styleId="Hyperlink">
    <w:name w:val="Hyperlink"/>
    <w:basedOn w:val="DefaultParagraphFont"/>
    <w:uiPriority w:val="99"/>
    <w:semiHidden/>
    <w:unhideWhenUsed/>
    <w:rsid w:val="00E947A9"/>
    <w:rPr>
      <w:color w:val="0000FF"/>
      <w:u w:val="single"/>
    </w:rPr>
  </w:style>
  <w:style w:type="paragraph" w:styleId="Header">
    <w:name w:val="header"/>
    <w:basedOn w:val="Normal"/>
    <w:link w:val="HeaderChar"/>
    <w:uiPriority w:val="99"/>
    <w:unhideWhenUsed/>
    <w:rsid w:val="00E947A9"/>
  </w:style>
  <w:style w:type="character" w:customStyle="1" w:styleId="HeaderChar">
    <w:name w:val="Header Char"/>
    <w:basedOn w:val="DefaultParagraphFont"/>
    <w:link w:val="Header"/>
    <w:uiPriority w:val="99"/>
    <w:rsid w:val="00E947A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947A9"/>
    <w:rPr>
      <w:rFonts w:ascii="Tahoma" w:hAnsi="Tahoma" w:cs="Tahoma"/>
      <w:sz w:val="16"/>
      <w:szCs w:val="16"/>
    </w:rPr>
  </w:style>
  <w:style w:type="character" w:customStyle="1" w:styleId="BalloonTextChar">
    <w:name w:val="Balloon Text Char"/>
    <w:basedOn w:val="DefaultParagraphFont"/>
    <w:link w:val="BalloonText"/>
    <w:uiPriority w:val="99"/>
    <w:semiHidden/>
    <w:rsid w:val="00E94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0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04.jpg@01D20362.71BBD8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Dziura, Cynthia</dc:creator>
  <cp:lastModifiedBy>Dziura, Cynthia</cp:lastModifiedBy>
  <cp:revision>1</cp:revision>
  <dcterms:created xsi:type="dcterms:W3CDTF">2016-08-31T17:20:00Z</dcterms:created>
  <dcterms:modified xsi:type="dcterms:W3CDTF">2016-08-31T17:29:00Z</dcterms:modified>
</cp:coreProperties>
</file>