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B566E" w14:textId="4B6D9A0F" w:rsidR="00351D94" w:rsidRPr="00022EFE" w:rsidRDefault="00DB5628" w:rsidP="00022EFE">
      <w:pPr>
        <w:pStyle w:val="Heading1"/>
      </w:pPr>
      <w:r w:rsidRPr="00022EFE">
        <w:t>Building Access, Building Canada</w:t>
      </w:r>
    </w:p>
    <w:p w14:paraId="5CF14F82" w14:textId="6E7D8FA9" w:rsidR="00DB5628" w:rsidRPr="00022EFE" w:rsidRDefault="00DB5628" w:rsidP="00022EFE">
      <w:pPr>
        <w:pStyle w:val="Heading2"/>
      </w:pPr>
      <w:r w:rsidRPr="00022EFE">
        <w:t>A Strategy for the Federal Government’s Role in Post-Secondary Education</w:t>
      </w:r>
    </w:p>
    <w:p w14:paraId="007328CF" w14:textId="77777777" w:rsidR="00DB5628" w:rsidRPr="00DB5628" w:rsidRDefault="00DB5628" w:rsidP="008D11CB">
      <w:pPr>
        <w:ind w:left="720" w:hanging="720"/>
        <w:rPr>
          <w:rFonts w:ascii="Calibri" w:hAnsi="Calibri"/>
          <w:b/>
          <w:sz w:val="32"/>
          <w:szCs w:val="32"/>
        </w:rPr>
      </w:pPr>
    </w:p>
    <w:p w14:paraId="29A7A04E" w14:textId="0EDCA09D" w:rsidR="00351D94" w:rsidRPr="00243758" w:rsidRDefault="00351D94" w:rsidP="00DB5628">
      <w:pPr>
        <w:rPr>
          <w:i/>
        </w:rPr>
      </w:pPr>
      <w:r w:rsidRPr="00243758">
        <w:rPr>
          <w:i/>
        </w:rPr>
        <w:t xml:space="preserve">Presented to you jointly by </w:t>
      </w:r>
      <w:r w:rsidR="004A03CC" w:rsidRPr="00243758">
        <w:rPr>
          <w:i/>
        </w:rPr>
        <w:t>the Canadian Alliance of Student Associations and the Quebec Student Union.</w:t>
      </w:r>
    </w:p>
    <w:p w14:paraId="080FA556" w14:textId="77777777" w:rsidR="00351D94" w:rsidRPr="00DB5628" w:rsidRDefault="00351D94" w:rsidP="008D11CB">
      <w:pPr>
        <w:ind w:left="720" w:hanging="720"/>
        <w:rPr>
          <w:rFonts w:ascii="Calibri" w:hAnsi="Calibri"/>
          <w:b/>
          <w:sz w:val="32"/>
          <w:szCs w:val="32"/>
        </w:rPr>
      </w:pPr>
    </w:p>
    <w:p w14:paraId="109FF850" w14:textId="14CBB713" w:rsidR="00351D94" w:rsidRPr="00022EFE" w:rsidRDefault="00351D94" w:rsidP="00022EFE">
      <w:pPr>
        <w:pStyle w:val="Heading3"/>
      </w:pPr>
      <w:r w:rsidRPr="00022EFE">
        <w:t>Executive Summary</w:t>
      </w:r>
    </w:p>
    <w:p w14:paraId="270C930B" w14:textId="77777777" w:rsidR="00DB5628" w:rsidRDefault="00DB5628" w:rsidP="00DB5628">
      <w:pPr>
        <w:rPr>
          <w:lang w:val="en-CA"/>
        </w:rPr>
      </w:pPr>
    </w:p>
    <w:p w14:paraId="2871CABD" w14:textId="77777777" w:rsidR="00DB5628" w:rsidRPr="00DB5628" w:rsidRDefault="00DB5628" w:rsidP="00DB5628">
      <w:pPr>
        <w:rPr>
          <w:lang w:val="en-CA"/>
        </w:rPr>
      </w:pPr>
      <w:r w:rsidRPr="00DB5628">
        <w:rPr>
          <w:lang w:val="en-CA"/>
        </w:rPr>
        <w:t>Post-secondary education is a critical part of Canadian society, as it helps us form a highly educated workforce and socially engaged communities. Because of its importance, we must ensure that Canada’s post-secondary education system is accessible and affordable to all, while remaining innovative and of the highest quality.</w:t>
      </w:r>
    </w:p>
    <w:p w14:paraId="307B81EA" w14:textId="77777777" w:rsidR="00DB5628" w:rsidRPr="00DB5628" w:rsidRDefault="00DB5628" w:rsidP="00DB5628">
      <w:pPr>
        <w:rPr>
          <w:lang w:val="en-CA"/>
        </w:rPr>
      </w:pPr>
      <w:r w:rsidRPr="00DB5628">
        <w:rPr>
          <w:lang w:val="en-CA"/>
        </w:rPr>
        <w:br/>
        <w:t xml:space="preserve">In recent years, major investments have been made to reduce the upfront costs of post-secondary education. Federal student assistance is now distributed in a more consistent, targeted and equitable fashion. Most importantly, more of that aid is now delivered in non-repayable grants to students in need. For many, these changes will prove invaluable. </w:t>
      </w:r>
      <w:r w:rsidRPr="00DB5628">
        <w:rPr>
          <w:lang w:val="en-CA"/>
        </w:rPr>
        <w:br/>
      </w:r>
    </w:p>
    <w:p w14:paraId="0D33ABE7" w14:textId="77777777" w:rsidR="00DB5628" w:rsidRPr="00DB5628" w:rsidRDefault="00DB5628" w:rsidP="00DB5628">
      <w:pPr>
        <w:rPr>
          <w:lang w:val="en-CA"/>
        </w:rPr>
      </w:pPr>
      <w:r w:rsidRPr="00DB5628">
        <w:rPr>
          <w:lang w:val="en-CA"/>
        </w:rPr>
        <w:t xml:space="preserve">It is in this environment that students are now calling on the government to shift focus to some of the persistent gaps that exist in federal post-secondary support. Targeted action in these areas will ensure that Canada provides equitable access to advanced education, while creating the best learning experience for those already enrolled. </w:t>
      </w:r>
    </w:p>
    <w:p w14:paraId="125671BF" w14:textId="77777777" w:rsidR="00DB5628" w:rsidRPr="00DB5628" w:rsidRDefault="00DB5628" w:rsidP="00DB5628">
      <w:pPr>
        <w:rPr>
          <w:lang w:val="en-CA"/>
        </w:rPr>
      </w:pPr>
      <w:r w:rsidRPr="00DB5628">
        <w:rPr>
          <w:lang w:val="en-CA"/>
        </w:rPr>
        <w:br/>
        <w:t>This will mean:</w:t>
      </w:r>
    </w:p>
    <w:p w14:paraId="1956620A" w14:textId="77777777" w:rsidR="00DB5628" w:rsidRPr="00DB5628" w:rsidRDefault="00DB5628" w:rsidP="00DB5628">
      <w:pPr>
        <w:pStyle w:val="ListParagraph"/>
        <w:numPr>
          <w:ilvl w:val="0"/>
          <w:numId w:val="4"/>
        </w:numPr>
        <w:rPr>
          <w:lang w:val="en-CA"/>
        </w:rPr>
      </w:pPr>
      <w:r w:rsidRPr="00DB5628">
        <w:rPr>
          <w:lang w:val="en-CA"/>
        </w:rPr>
        <w:t>Effectively defining and supporting students with disabilities;</w:t>
      </w:r>
    </w:p>
    <w:p w14:paraId="21FBCF35" w14:textId="77777777" w:rsidR="00DB5628" w:rsidRPr="00DB5628" w:rsidRDefault="00DB5628" w:rsidP="00DB5628">
      <w:pPr>
        <w:pStyle w:val="ListParagraph"/>
        <w:numPr>
          <w:ilvl w:val="0"/>
          <w:numId w:val="4"/>
        </w:numPr>
        <w:rPr>
          <w:lang w:val="en-CA"/>
        </w:rPr>
      </w:pPr>
      <w:r w:rsidRPr="00DB5628">
        <w:rPr>
          <w:lang w:val="en-CA"/>
        </w:rPr>
        <w:t>Providing needs-based financial assistance to students in graduate programs;</w:t>
      </w:r>
    </w:p>
    <w:p w14:paraId="5448F939" w14:textId="77777777" w:rsidR="00DB5628" w:rsidRPr="00DB5628" w:rsidRDefault="00DB5628" w:rsidP="00DB5628">
      <w:pPr>
        <w:pStyle w:val="ListParagraph"/>
        <w:numPr>
          <w:ilvl w:val="0"/>
          <w:numId w:val="4"/>
        </w:numPr>
        <w:rPr>
          <w:lang w:val="en-CA"/>
        </w:rPr>
      </w:pPr>
      <w:r w:rsidRPr="00DB5628">
        <w:rPr>
          <w:lang w:val="en-CA"/>
        </w:rPr>
        <w:t>Cutting red tape to ensure international students can access a complete post-secondary education;</w:t>
      </w:r>
    </w:p>
    <w:p w14:paraId="0E8DD8CD" w14:textId="77777777" w:rsidR="00DB5628" w:rsidRPr="00DB5628" w:rsidRDefault="00DB5628" w:rsidP="00DB5628">
      <w:pPr>
        <w:pStyle w:val="ListParagraph"/>
        <w:numPr>
          <w:ilvl w:val="0"/>
          <w:numId w:val="4"/>
        </w:numPr>
        <w:rPr>
          <w:lang w:val="en-CA"/>
        </w:rPr>
      </w:pPr>
      <w:r w:rsidRPr="00DB5628">
        <w:rPr>
          <w:lang w:val="en-CA"/>
        </w:rPr>
        <w:t>Committing to the scale and scope of support required by Canada’s treaty obligations to Indigenous peoples; and</w:t>
      </w:r>
    </w:p>
    <w:p w14:paraId="72C2E2D2" w14:textId="77777777" w:rsidR="00DB5628" w:rsidRPr="00DB5628" w:rsidRDefault="00DB5628" w:rsidP="00DB5628">
      <w:pPr>
        <w:pStyle w:val="ListParagraph"/>
        <w:numPr>
          <w:ilvl w:val="0"/>
          <w:numId w:val="4"/>
        </w:numPr>
        <w:rPr>
          <w:lang w:val="en-CA"/>
        </w:rPr>
      </w:pPr>
      <w:r w:rsidRPr="00DB5628">
        <w:rPr>
          <w:lang w:val="en-CA"/>
        </w:rPr>
        <w:t>Fostering the development of, and ensuring access to, innovative educational materials.</w:t>
      </w:r>
    </w:p>
    <w:p w14:paraId="398494E4" w14:textId="77777777" w:rsidR="00DB5628" w:rsidRPr="00DB5628" w:rsidRDefault="00DB5628" w:rsidP="00DB5628">
      <w:pPr>
        <w:rPr>
          <w:lang w:val="en-CA"/>
        </w:rPr>
      </w:pPr>
    </w:p>
    <w:p w14:paraId="2E50B962" w14:textId="77777777" w:rsidR="00DB5628" w:rsidRPr="00DB5628" w:rsidRDefault="00DB5628" w:rsidP="00DB5628">
      <w:pPr>
        <w:rPr>
          <w:lang w:val="en-CA"/>
        </w:rPr>
      </w:pPr>
      <w:r w:rsidRPr="00DB5628">
        <w:rPr>
          <w:lang w:val="en-CA"/>
        </w:rPr>
        <w:t>Canada has created a post-secondary education system that is undoubtedly something to be proud of – but we must continue to do better. By acting to address the above-mentioned gaps, we will.</w:t>
      </w:r>
    </w:p>
    <w:p w14:paraId="6405BCFF" w14:textId="77777777" w:rsidR="00351D94" w:rsidRPr="00DB5628" w:rsidRDefault="00351D94" w:rsidP="008D11CB">
      <w:pPr>
        <w:ind w:left="720" w:hanging="720"/>
        <w:rPr>
          <w:rFonts w:ascii="Calibri" w:hAnsi="Calibri"/>
          <w:b/>
          <w:lang w:val="en-CA"/>
        </w:rPr>
      </w:pPr>
    </w:p>
    <w:p w14:paraId="69E4B42C" w14:textId="77777777" w:rsidR="00DB5628" w:rsidRPr="00DB5628" w:rsidRDefault="00DB5628" w:rsidP="008D11CB">
      <w:pPr>
        <w:ind w:left="720" w:hanging="720"/>
        <w:rPr>
          <w:rFonts w:ascii="Calibri" w:hAnsi="Calibri"/>
          <w:b/>
          <w:lang w:val="en-CA"/>
        </w:rPr>
      </w:pPr>
    </w:p>
    <w:p w14:paraId="4B307BB8" w14:textId="77777777" w:rsidR="00351D94" w:rsidRDefault="00351D94" w:rsidP="008D11CB">
      <w:pPr>
        <w:ind w:left="720" w:hanging="720"/>
        <w:rPr>
          <w:rFonts w:ascii="Calibri" w:hAnsi="Calibri"/>
          <w:b/>
        </w:rPr>
      </w:pPr>
    </w:p>
    <w:p w14:paraId="1BB95008" w14:textId="77777777" w:rsidR="00DB5628" w:rsidRPr="00DB5628" w:rsidRDefault="00DB5628" w:rsidP="008D11CB">
      <w:pPr>
        <w:ind w:left="720" w:hanging="720"/>
        <w:rPr>
          <w:rFonts w:ascii="Calibri" w:hAnsi="Calibri"/>
          <w:b/>
        </w:rPr>
      </w:pPr>
    </w:p>
    <w:p w14:paraId="3ED9834D" w14:textId="77777777" w:rsidR="008D11CB" w:rsidRPr="00DB5628" w:rsidRDefault="008D11CB" w:rsidP="009A0280">
      <w:pPr>
        <w:pStyle w:val="Heading3"/>
        <w:rPr>
          <w:u w:val="single"/>
          <w:lang w:val="en-CA"/>
        </w:rPr>
      </w:pPr>
      <w:r w:rsidRPr="00DB5628">
        <w:lastRenderedPageBreak/>
        <w:t>Better Supporting Students with Disabilities</w:t>
      </w:r>
      <w:r w:rsidRPr="00DB5628" w:rsidDel="00715DE1">
        <w:rPr>
          <w:rStyle w:val="CommentReference"/>
          <w:sz w:val="32"/>
          <w:szCs w:val="24"/>
        </w:rPr>
        <w:t xml:space="preserve"> </w:t>
      </w:r>
    </w:p>
    <w:p w14:paraId="398EE6A8" w14:textId="77777777" w:rsidR="008D11CB" w:rsidRPr="00DB5628" w:rsidRDefault="008D11CB" w:rsidP="008D11CB">
      <w:pPr>
        <w:rPr>
          <w:rFonts w:ascii="Calibri" w:hAnsi="Calibri"/>
        </w:rPr>
      </w:pPr>
    </w:p>
    <w:p w14:paraId="3A339206" w14:textId="77777777" w:rsidR="008D11CB" w:rsidRPr="00DB5628" w:rsidRDefault="008D11CB" w:rsidP="008D11CB">
      <w:pPr>
        <w:rPr>
          <w:rFonts w:ascii="Calibri" w:hAnsi="Calibri"/>
        </w:rPr>
      </w:pPr>
      <w:r w:rsidRPr="00DB5628">
        <w:rPr>
          <w:rFonts w:ascii="Calibri" w:hAnsi="Calibri"/>
        </w:rPr>
        <w:t>Canadians with disabilities are strong and valuable contributors to the country’s workforce and society. With nearly 14% of the Canadian population aged 15 or older reporting having a disability that limits their daily activities,</w:t>
      </w:r>
      <w:r w:rsidRPr="00DB5628">
        <w:rPr>
          <w:rStyle w:val="FootnoteReference"/>
          <w:rFonts w:ascii="Calibri" w:hAnsi="Calibri"/>
        </w:rPr>
        <w:footnoteReference w:id="1"/>
      </w:r>
      <w:r w:rsidRPr="00DB5628">
        <w:rPr>
          <w:rFonts w:ascii="Calibri" w:hAnsi="Calibri"/>
        </w:rPr>
        <w:t xml:space="preserve"> it is of the utmost importance that these individuals be given the supports needed to both attend and thrive in post-secondary education.</w:t>
      </w:r>
    </w:p>
    <w:p w14:paraId="6775C599" w14:textId="77777777" w:rsidR="008D11CB" w:rsidRPr="00DB5628" w:rsidRDefault="008D11CB" w:rsidP="008D11CB">
      <w:pPr>
        <w:rPr>
          <w:rFonts w:ascii="Calibri" w:hAnsi="Calibri"/>
        </w:rPr>
      </w:pPr>
    </w:p>
    <w:p w14:paraId="2C2A5B1F" w14:textId="7CCDED1F" w:rsidR="008D11CB" w:rsidRPr="00DB5628" w:rsidRDefault="008D11CB" w:rsidP="008D11CB">
      <w:pPr>
        <w:rPr>
          <w:rFonts w:ascii="Calibri" w:hAnsi="Calibri"/>
          <w:lang w:val="en-CA"/>
        </w:rPr>
      </w:pPr>
      <w:r w:rsidRPr="00DB5628">
        <w:rPr>
          <w:rFonts w:ascii="Calibri" w:hAnsi="Calibri"/>
        </w:rPr>
        <w:t xml:space="preserve">While Canada Student Grants (CSG) for Students with Permanent Disabilities help to offset the costs of necessary equipment and support services, eligibility for these programs remains overly restrictive. </w:t>
      </w:r>
      <w:r w:rsidRPr="00DB5628">
        <w:rPr>
          <w:rFonts w:ascii="Calibri" w:hAnsi="Calibri"/>
          <w:lang w:val="en-CA"/>
        </w:rPr>
        <w:t>To be eligible for these grants, a student must have financial need and provide documentation that proves they have a serious, lifelong permanent disability.</w:t>
      </w:r>
      <w:r w:rsidRPr="00DB5628">
        <w:rPr>
          <w:rStyle w:val="FootnoteReference"/>
          <w:rFonts w:ascii="Calibri" w:hAnsi="Calibri"/>
          <w:lang w:val="en-CA"/>
        </w:rPr>
        <w:footnoteReference w:id="2"/>
      </w:r>
      <w:r w:rsidRPr="00DB5628">
        <w:rPr>
          <w:rFonts w:ascii="Calibri" w:hAnsi="Calibri"/>
          <w:lang w:val="en-CA"/>
        </w:rPr>
        <w:t xml:space="preserve"> Unfortunately, this definition excludes students with other kinds of debilitating disabilities, including those with episodic or shorter term conditions, and </w:t>
      </w:r>
      <w:r w:rsidR="004A03CC" w:rsidRPr="00DB5628">
        <w:rPr>
          <w:rFonts w:ascii="Calibri" w:hAnsi="Calibri"/>
          <w:lang w:val="en-CA"/>
        </w:rPr>
        <w:t xml:space="preserve">many of </w:t>
      </w:r>
      <w:r w:rsidRPr="00DB5628">
        <w:rPr>
          <w:rFonts w:ascii="Calibri" w:hAnsi="Calibri"/>
          <w:lang w:val="en-CA"/>
        </w:rPr>
        <w:t xml:space="preserve">those with mental health issues or illnesses. </w:t>
      </w:r>
    </w:p>
    <w:p w14:paraId="6FF6743F" w14:textId="77777777" w:rsidR="008D11CB" w:rsidRPr="00DB5628" w:rsidRDefault="008D11CB" w:rsidP="008D11CB">
      <w:pPr>
        <w:rPr>
          <w:rFonts w:ascii="Calibri" w:hAnsi="Calibri"/>
          <w:lang w:val="en-CA"/>
        </w:rPr>
      </w:pPr>
    </w:p>
    <w:p w14:paraId="5CD699BC" w14:textId="77777777" w:rsidR="008D11CB" w:rsidRPr="00DB5628" w:rsidRDefault="008D11CB" w:rsidP="008D11CB">
      <w:pPr>
        <w:rPr>
          <w:rFonts w:ascii="Calibri" w:hAnsi="Calibri"/>
          <w:lang w:val="en-CA"/>
        </w:rPr>
      </w:pPr>
      <w:r w:rsidRPr="00DB5628">
        <w:rPr>
          <w:rFonts w:ascii="Calibri" w:hAnsi="Calibri"/>
          <w:lang w:val="en-CA"/>
        </w:rPr>
        <w:t>Beyond this, the CSG for Students with Permanent Disabilities, currently valued at $2,000 per student annually, has not increased since its introduction in 2009. This stands in contrast with other CSG programs, which were increased by 50% in Budget 2016. As the National Educational Association of Disabled Students (NEADS) explains, post-secondary is often more expensive for students with disabilities “owing to the costs associated with their disability (such as accommodations) and the fact that many students with disabilities take an extended period to complete their education.”</w:t>
      </w:r>
      <w:r w:rsidRPr="00DB5628">
        <w:rPr>
          <w:rFonts w:ascii="Calibri" w:hAnsi="Calibri"/>
          <w:vertAlign w:val="superscript"/>
          <w:lang w:val="en-CA"/>
        </w:rPr>
        <w:footnoteReference w:id="3"/>
      </w:r>
      <w:r w:rsidRPr="00DB5628">
        <w:rPr>
          <w:rFonts w:ascii="Calibri" w:hAnsi="Calibri"/>
          <w:lang w:val="en-CA"/>
        </w:rPr>
        <w:t xml:space="preserve"> </w:t>
      </w:r>
    </w:p>
    <w:p w14:paraId="2FD49D16" w14:textId="77777777" w:rsidR="008D11CB" w:rsidRPr="00DB5628" w:rsidRDefault="008D11CB" w:rsidP="008D11CB">
      <w:pPr>
        <w:rPr>
          <w:rFonts w:ascii="Calibri" w:hAnsi="Calibri"/>
          <w:lang w:val="en-CA"/>
        </w:rPr>
      </w:pPr>
    </w:p>
    <w:p w14:paraId="0A9B1C07" w14:textId="77777777" w:rsidR="008D11CB" w:rsidRPr="00DB5628" w:rsidRDefault="008D11CB" w:rsidP="008D11CB">
      <w:pPr>
        <w:rPr>
          <w:rFonts w:ascii="Calibri" w:hAnsi="Calibri"/>
          <w:lang w:val="en-CA"/>
        </w:rPr>
      </w:pPr>
      <w:r w:rsidRPr="00DB5628">
        <w:rPr>
          <w:rFonts w:ascii="Calibri" w:hAnsi="Calibri"/>
          <w:lang w:val="en-CA"/>
        </w:rPr>
        <w:t>Considering the significant rise in employment and income levels for those persons with disabilities who have a post-secondary degree,</w:t>
      </w:r>
      <w:r w:rsidRPr="00DB5628">
        <w:rPr>
          <w:rStyle w:val="FootnoteReference"/>
          <w:rFonts w:ascii="Calibri" w:hAnsi="Calibri"/>
          <w:lang w:val="en-CA"/>
        </w:rPr>
        <w:footnoteReference w:id="4"/>
      </w:r>
      <w:r w:rsidRPr="00DB5628">
        <w:rPr>
          <w:rFonts w:ascii="Calibri" w:hAnsi="Calibri"/>
          <w:lang w:val="en-CA"/>
        </w:rPr>
        <w:t xml:space="preserve"> it is imperative that we act.</w:t>
      </w:r>
    </w:p>
    <w:p w14:paraId="7B8EF382" w14:textId="77777777" w:rsidR="008D11CB" w:rsidRPr="00DB5628" w:rsidRDefault="008D11CB" w:rsidP="008D11CB">
      <w:pPr>
        <w:rPr>
          <w:rFonts w:ascii="Calibri" w:hAnsi="Calibri"/>
          <w:lang w:val="en-CA"/>
        </w:rPr>
      </w:pPr>
    </w:p>
    <w:p w14:paraId="3620C08E" w14:textId="5E814D90" w:rsidR="008D11CB" w:rsidRPr="00DB5628" w:rsidRDefault="008D11CB" w:rsidP="008D11CB">
      <w:pPr>
        <w:rPr>
          <w:rFonts w:ascii="Calibri" w:hAnsi="Calibri"/>
          <w:b/>
          <w:lang w:val="en-CA"/>
        </w:rPr>
      </w:pPr>
      <w:r w:rsidRPr="00DB5628">
        <w:rPr>
          <w:rFonts w:ascii="Calibri" w:hAnsi="Calibri"/>
          <w:b/>
          <w:lang w:val="en-CA"/>
        </w:rPr>
        <w:t>R</w:t>
      </w:r>
      <w:r w:rsidR="00EF2A4F" w:rsidRPr="00DB5628">
        <w:rPr>
          <w:rFonts w:ascii="Calibri" w:hAnsi="Calibri"/>
          <w:b/>
          <w:lang w:val="en-CA"/>
        </w:rPr>
        <w:t>ecommendation</w:t>
      </w:r>
      <w:r w:rsidR="00DB5628">
        <w:rPr>
          <w:rFonts w:ascii="Calibri" w:hAnsi="Calibri"/>
          <w:b/>
          <w:lang w:val="en-CA"/>
        </w:rPr>
        <w:t>s</w:t>
      </w:r>
      <w:r w:rsidRPr="00DB5628">
        <w:rPr>
          <w:rFonts w:ascii="Calibri" w:hAnsi="Calibri"/>
          <w:b/>
          <w:lang w:val="en-CA"/>
        </w:rPr>
        <w:t>:</w:t>
      </w:r>
    </w:p>
    <w:p w14:paraId="2187EB05" w14:textId="6B38609D" w:rsidR="008D11CB" w:rsidRPr="00DB5628" w:rsidRDefault="008D11CB" w:rsidP="008D11CB">
      <w:pPr>
        <w:rPr>
          <w:rFonts w:ascii="Calibri" w:hAnsi="Calibri"/>
          <w:b/>
          <w:lang w:val="en-CA"/>
        </w:rPr>
      </w:pPr>
      <w:r w:rsidRPr="00DB5628">
        <w:rPr>
          <w:rFonts w:ascii="Calibri" w:hAnsi="Calibri"/>
          <w:b/>
          <w:lang w:val="en-CA"/>
        </w:rPr>
        <w:t>CASA recommends the federal government increase the Canada Student Grant for Students with Permanent Disabilities by 50%, at an estimated additional cost of $43 million</w:t>
      </w:r>
      <w:r w:rsidR="005D51C9" w:rsidRPr="00DB5628">
        <w:rPr>
          <w:rFonts w:ascii="Calibri" w:hAnsi="Calibri"/>
          <w:b/>
          <w:lang w:val="en-CA"/>
        </w:rPr>
        <w:t xml:space="preserve"> per year</w:t>
      </w:r>
      <w:r w:rsidRPr="00DB5628">
        <w:rPr>
          <w:rFonts w:ascii="Calibri" w:hAnsi="Calibri"/>
          <w:b/>
          <w:lang w:val="en-CA"/>
        </w:rPr>
        <w:t>. CASA further recommends the CSLP undertake an official review of its definition of “permanent disabilities,” to ensure that it meets the diverse needs of students.</w:t>
      </w:r>
    </w:p>
    <w:p w14:paraId="764FD3B6" w14:textId="77777777" w:rsidR="008D11CB" w:rsidRPr="00DB5628" w:rsidRDefault="008D11CB" w:rsidP="008D11CB">
      <w:pPr>
        <w:rPr>
          <w:rFonts w:ascii="Calibri" w:hAnsi="Calibri"/>
        </w:rPr>
      </w:pPr>
    </w:p>
    <w:p w14:paraId="6F79F675" w14:textId="77777777" w:rsidR="008D11CB" w:rsidRPr="00DB5628" w:rsidRDefault="008D11CB" w:rsidP="008D11CB">
      <w:pPr>
        <w:rPr>
          <w:rFonts w:ascii="Calibri" w:hAnsi="Calibri"/>
          <w:lang w:val="en-CA"/>
        </w:rPr>
      </w:pPr>
    </w:p>
    <w:p w14:paraId="34F0E4C2" w14:textId="78B9F243" w:rsidR="008D11CB" w:rsidRPr="00DB5628" w:rsidRDefault="00EF2A4F" w:rsidP="009A0280">
      <w:pPr>
        <w:pStyle w:val="Heading3"/>
        <w:rPr>
          <w:lang w:val="en-CA"/>
        </w:rPr>
      </w:pPr>
      <w:r w:rsidRPr="00DB5628">
        <w:rPr>
          <w:lang w:val="en-CA"/>
        </w:rPr>
        <w:t>Creating a Canada Student Grant for Graduate Students</w:t>
      </w:r>
    </w:p>
    <w:p w14:paraId="1884C2DE" w14:textId="77777777" w:rsidR="008D11CB" w:rsidRPr="00DB5628" w:rsidRDefault="008D11CB" w:rsidP="008D11CB">
      <w:pPr>
        <w:rPr>
          <w:rFonts w:ascii="Calibri" w:hAnsi="Calibri"/>
          <w:b/>
          <w:u w:val="single"/>
          <w:lang w:val="en-CA"/>
        </w:rPr>
      </w:pPr>
    </w:p>
    <w:p w14:paraId="383470B4" w14:textId="77777777" w:rsidR="008D11CB" w:rsidRPr="00DB5628" w:rsidRDefault="008D11CB" w:rsidP="008D11CB">
      <w:pPr>
        <w:rPr>
          <w:rFonts w:ascii="Calibri" w:hAnsi="Calibri"/>
          <w:lang w:val="en-CA"/>
        </w:rPr>
      </w:pPr>
      <w:r w:rsidRPr="00DB5628">
        <w:rPr>
          <w:rFonts w:ascii="Calibri" w:hAnsi="Calibri"/>
          <w:lang w:val="en-CA"/>
        </w:rPr>
        <w:t>In a world that demands the skills of highly trained master’s and PhD graduates, Canada cannot afford to create barriers to advanced study. Unfortunately, the fact that Canada Student Grants (CSG) remain unavailable to graduate students creates just that.</w:t>
      </w:r>
    </w:p>
    <w:p w14:paraId="4ED469C1" w14:textId="77777777" w:rsidR="008D11CB" w:rsidRPr="00DB5628" w:rsidRDefault="008D11CB" w:rsidP="008D11CB">
      <w:pPr>
        <w:rPr>
          <w:rFonts w:ascii="Calibri" w:hAnsi="Calibri"/>
          <w:lang w:val="en-CA"/>
        </w:rPr>
      </w:pPr>
      <w:r w:rsidRPr="00DB5628">
        <w:rPr>
          <w:rFonts w:ascii="Calibri" w:hAnsi="Calibri"/>
          <w:lang w:val="en-CA"/>
        </w:rPr>
        <w:br/>
        <w:t xml:space="preserve">In 2016, the federal government redirected student aid funding away from tax credits and into the CSG program, which offers up-front, non-repayable aid to students with financial need at the college and undergraduate level. While this move laudably shifted funds to those undergraduate and college students who needed it most, graduate students saw their aid clawed back. </w:t>
      </w:r>
    </w:p>
    <w:p w14:paraId="45E9EC14" w14:textId="77777777" w:rsidR="008D11CB" w:rsidRPr="00DB5628" w:rsidRDefault="008D11CB" w:rsidP="008D11CB">
      <w:pPr>
        <w:rPr>
          <w:rFonts w:ascii="Calibri" w:hAnsi="Calibri"/>
          <w:lang w:val="en-CA"/>
        </w:rPr>
      </w:pPr>
    </w:p>
    <w:p w14:paraId="3A128260" w14:textId="77777777" w:rsidR="008D11CB" w:rsidRPr="00DB5628" w:rsidRDefault="008D11CB" w:rsidP="008D11CB">
      <w:pPr>
        <w:rPr>
          <w:rFonts w:ascii="Calibri" w:hAnsi="Calibri"/>
          <w:lang w:val="en-CA"/>
        </w:rPr>
      </w:pPr>
      <w:r w:rsidRPr="00DB5628">
        <w:rPr>
          <w:rFonts w:ascii="Calibri" w:hAnsi="Calibri"/>
          <w:lang w:val="en-CA"/>
        </w:rPr>
        <w:t xml:space="preserve">Currently, graduate students are ineligible for Canada Student Grants and have lost out on the assistance the tax credits provided. </w:t>
      </w:r>
      <w:proofErr w:type="gramStart"/>
      <w:r w:rsidRPr="00DB5628">
        <w:rPr>
          <w:rFonts w:ascii="Calibri" w:hAnsi="Calibri"/>
          <w:lang w:val="en-CA"/>
        </w:rPr>
        <w:t>As a result</w:t>
      </w:r>
      <w:proofErr w:type="gramEnd"/>
      <w:r w:rsidRPr="00DB5628">
        <w:rPr>
          <w:rFonts w:ascii="Calibri" w:hAnsi="Calibri"/>
          <w:lang w:val="en-CA"/>
        </w:rPr>
        <w:t>, the net costs of graduate studies have increased substantially, dissuading some from pursuing it at all. In fact, four in ten students report financial concerns and debt impacting their decision on whether to continue their education following a Bachelor’s degree.</w:t>
      </w:r>
      <w:r w:rsidRPr="00DB5628">
        <w:rPr>
          <w:rStyle w:val="FootnoteReference"/>
          <w:rFonts w:ascii="Calibri" w:hAnsi="Calibri"/>
          <w:lang w:val="en-CA"/>
        </w:rPr>
        <w:footnoteReference w:id="5"/>
      </w:r>
      <w:r w:rsidRPr="00DB5628">
        <w:rPr>
          <w:rFonts w:ascii="Calibri" w:hAnsi="Calibri"/>
          <w:lang w:val="en-CA"/>
        </w:rPr>
        <w:t xml:space="preserve"> </w:t>
      </w:r>
    </w:p>
    <w:p w14:paraId="73205ECF" w14:textId="77777777" w:rsidR="008D11CB" w:rsidRPr="00DB5628" w:rsidRDefault="008D11CB" w:rsidP="008D11CB">
      <w:pPr>
        <w:rPr>
          <w:rFonts w:ascii="Calibri" w:hAnsi="Calibri"/>
          <w:lang w:val="en-CA"/>
        </w:rPr>
      </w:pPr>
    </w:p>
    <w:p w14:paraId="3BE22568" w14:textId="77777777" w:rsidR="008D11CB" w:rsidRPr="00DB5628" w:rsidRDefault="008D11CB" w:rsidP="008D11CB">
      <w:pPr>
        <w:rPr>
          <w:rFonts w:ascii="Calibri" w:hAnsi="Calibri"/>
          <w:lang w:val="en-CA"/>
        </w:rPr>
      </w:pPr>
      <w:r w:rsidRPr="00DB5628">
        <w:rPr>
          <w:rFonts w:ascii="Calibri" w:hAnsi="Calibri"/>
          <w:lang w:val="en-CA"/>
        </w:rPr>
        <w:t>Additionally, while a small number of graduate students receive research scholarships from the Tri-Agencies, these awards only covered 2,500 students, or approximately 2% of master’s students, in 2012.</w:t>
      </w:r>
      <w:r w:rsidRPr="00DB5628">
        <w:rPr>
          <w:rFonts w:ascii="Calibri" w:hAnsi="Calibri"/>
          <w:vertAlign w:val="superscript"/>
          <w:lang w:val="en-CA"/>
        </w:rPr>
        <w:footnoteReference w:id="6"/>
      </w:r>
      <w:r w:rsidRPr="00DB5628">
        <w:rPr>
          <w:rFonts w:ascii="Calibri" w:hAnsi="Calibri"/>
          <w:lang w:val="en-CA"/>
        </w:rPr>
        <w:t xml:space="preserve"> Given the lack of financial support for students past the undergraduate level, it is no surprise that </w:t>
      </w:r>
      <w:r w:rsidRPr="00DB5628">
        <w:rPr>
          <w:rFonts w:ascii="Calibri" w:hAnsi="Calibri"/>
        </w:rPr>
        <w:t>Canada is falling behind peer competitor countries in producing PhD graduates.</w:t>
      </w:r>
      <w:r w:rsidRPr="00DB5628">
        <w:rPr>
          <w:rStyle w:val="FootnoteReference"/>
          <w:rFonts w:ascii="Calibri" w:hAnsi="Calibri"/>
        </w:rPr>
        <w:footnoteReference w:id="7"/>
      </w:r>
      <w:r w:rsidRPr="00DB5628">
        <w:rPr>
          <w:rFonts w:ascii="Calibri" w:hAnsi="Calibri" w:cs="Times New Roman"/>
        </w:rPr>
        <w:t xml:space="preserve"> </w:t>
      </w:r>
    </w:p>
    <w:p w14:paraId="6DC1EA82" w14:textId="77777777" w:rsidR="008D11CB" w:rsidRPr="00DB5628" w:rsidRDefault="008D11CB" w:rsidP="008D11CB">
      <w:pPr>
        <w:rPr>
          <w:rFonts w:ascii="Calibri" w:hAnsi="Calibri"/>
          <w:lang w:val="en-CA"/>
        </w:rPr>
      </w:pPr>
    </w:p>
    <w:p w14:paraId="434E745D" w14:textId="04567167" w:rsidR="008D11CB" w:rsidRPr="00DB5628" w:rsidRDefault="008D11CB" w:rsidP="008D11CB">
      <w:pPr>
        <w:rPr>
          <w:rFonts w:ascii="Calibri" w:hAnsi="Calibri"/>
          <w:lang w:val="en-CA"/>
        </w:rPr>
      </w:pPr>
      <w:r w:rsidRPr="00DB5628">
        <w:rPr>
          <w:rFonts w:ascii="Calibri" w:hAnsi="Calibri"/>
          <w:lang w:val="en-CA"/>
        </w:rPr>
        <w:t>By expanding eligibility to Canada Student Grants, the government will ensure that all those with the desire and drive to pursue graduate degrees can afford to do so.</w:t>
      </w:r>
      <w:r w:rsidRPr="00DB5628" w:rsidDel="0062178C">
        <w:rPr>
          <w:rFonts w:ascii="Calibri" w:hAnsi="Calibri"/>
          <w:lang w:val="en-CA"/>
        </w:rPr>
        <w:t xml:space="preserve"> </w:t>
      </w:r>
    </w:p>
    <w:p w14:paraId="33D2E66F" w14:textId="77777777" w:rsidR="008D11CB" w:rsidRPr="00DB5628" w:rsidRDefault="008D11CB" w:rsidP="008D11CB">
      <w:pPr>
        <w:rPr>
          <w:rFonts w:ascii="Calibri" w:hAnsi="Calibri"/>
          <w:lang w:val="en-CA"/>
        </w:rPr>
      </w:pPr>
    </w:p>
    <w:p w14:paraId="3CDEF136" w14:textId="7BDC3EBA" w:rsidR="008D11CB" w:rsidRPr="00DB5628" w:rsidRDefault="008D11CB" w:rsidP="008D11CB">
      <w:pPr>
        <w:rPr>
          <w:rFonts w:ascii="Calibri" w:hAnsi="Calibri"/>
          <w:b/>
          <w:lang w:val="en-CA"/>
        </w:rPr>
      </w:pPr>
      <w:r w:rsidRPr="00DB5628">
        <w:rPr>
          <w:rFonts w:ascii="Calibri" w:hAnsi="Calibri"/>
          <w:b/>
          <w:lang w:val="en-CA"/>
        </w:rPr>
        <w:t>R</w:t>
      </w:r>
      <w:r w:rsidR="00EF2A4F" w:rsidRPr="00DB5628">
        <w:rPr>
          <w:rFonts w:ascii="Calibri" w:hAnsi="Calibri"/>
          <w:b/>
          <w:lang w:val="en-CA"/>
        </w:rPr>
        <w:t>ecommendation</w:t>
      </w:r>
      <w:r w:rsidRPr="00DB5628">
        <w:rPr>
          <w:rFonts w:ascii="Calibri" w:hAnsi="Calibri"/>
          <w:b/>
          <w:lang w:val="en-CA"/>
        </w:rPr>
        <w:t>:</w:t>
      </w:r>
    </w:p>
    <w:p w14:paraId="4FD889FF" w14:textId="1F0A8BB8" w:rsidR="008D11CB" w:rsidRPr="00DB5628" w:rsidRDefault="008D11CB" w:rsidP="008D11CB">
      <w:pPr>
        <w:rPr>
          <w:rFonts w:ascii="Calibri" w:hAnsi="Calibri"/>
          <w:lang w:val="en-CA"/>
        </w:rPr>
      </w:pPr>
      <w:r w:rsidRPr="00DB5628">
        <w:rPr>
          <w:rFonts w:ascii="Calibri" w:hAnsi="Calibri"/>
          <w:b/>
          <w:lang w:val="en-CA"/>
        </w:rPr>
        <w:t>CASA recommends the federal government create an up-front, non-repayable Canada Student Grant for graduate students with financial need at an estimated cost of $58 million per year</w:t>
      </w:r>
      <w:r w:rsidR="009D7116" w:rsidRPr="00DB5628">
        <w:rPr>
          <w:rFonts w:ascii="Calibri" w:hAnsi="Calibri"/>
          <w:b/>
          <w:lang w:val="en-CA"/>
        </w:rPr>
        <w:t>.</w:t>
      </w:r>
    </w:p>
    <w:p w14:paraId="4132CC43" w14:textId="77777777" w:rsidR="008D11CB" w:rsidRDefault="008D11CB" w:rsidP="008D11CB">
      <w:pPr>
        <w:rPr>
          <w:rFonts w:ascii="Calibri" w:hAnsi="Calibri"/>
          <w:lang w:val="en-CA"/>
        </w:rPr>
      </w:pPr>
    </w:p>
    <w:p w14:paraId="7C7F9C1E" w14:textId="77777777" w:rsidR="00DB5628" w:rsidRDefault="00DB5628" w:rsidP="008D11CB">
      <w:pPr>
        <w:rPr>
          <w:rFonts w:ascii="Calibri" w:hAnsi="Calibri"/>
          <w:lang w:val="en-CA"/>
        </w:rPr>
      </w:pPr>
    </w:p>
    <w:p w14:paraId="0349343E" w14:textId="77777777" w:rsidR="00FC79FC" w:rsidRDefault="00FC79FC" w:rsidP="008D11CB">
      <w:pPr>
        <w:rPr>
          <w:rFonts w:ascii="Calibri" w:hAnsi="Calibri"/>
          <w:lang w:val="en-CA"/>
        </w:rPr>
      </w:pPr>
    </w:p>
    <w:p w14:paraId="46952136" w14:textId="77777777" w:rsidR="00DB5628" w:rsidRDefault="00DB5628" w:rsidP="008D11CB">
      <w:pPr>
        <w:rPr>
          <w:rFonts w:ascii="Calibri" w:hAnsi="Calibri"/>
          <w:lang w:val="en-CA"/>
        </w:rPr>
      </w:pPr>
    </w:p>
    <w:p w14:paraId="6227E743" w14:textId="77777777" w:rsidR="00DB5628" w:rsidRPr="00DB5628" w:rsidRDefault="00DB5628" w:rsidP="008D11CB">
      <w:pPr>
        <w:rPr>
          <w:rFonts w:ascii="Calibri" w:hAnsi="Calibri"/>
          <w:lang w:val="en-CA"/>
        </w:rPr>
      </w:pPr>
    </w:p>
    <w:p w14:paraId="57FB0975" w14:textId="77777777" w:rsidR="008D11CB" w:rsidRPr="00DB5628" w:rsidRDefault="008D11CB">
      <w:pPr>
        <w:rPr>
          <w:rFonts w:ascii="Calibri" w:hAnsi="Calibri"/>
          <w:lang w:val="en-CA"/>
        </w:rPr>
      </w:pPr>
    </w:p>
    <w:p w14:paraId="54A6AE3C" w14:textId="030EC8CF" w:rsidR="008D11CB" w:rsidRPr="00DB5628" w:rsidRDefault="00EF2A4F" w:rsidP="009A0280">
      <w:pPr>
        <w:pStyle w:val="Heading3"/>
        <w:rPr>
          <w:lang w:val="en-CA"/>
        </w:rPr>
      </w:pPr>
      <w:r w:rsidRPr="00DB5628">
        <w:rPr>
          <w:lang w:val="en-CA"/>
        </w:rPr>
        <w:t>International Student Study Permit</w:t>
      </w:r>
      <w:r w:rsidR="004A03CC" w:rsidRPr="00DB5628">
        <w:rPr>
          <w:lang w:val="en-CA"/>
        </w:rPr>
        <w:t>s</w:t>
      </w:r>
      <w:r w:rsidRPr="00DB5628">
        <w:rPr>
          <w:lang w:val="en-CA"/>
        </w:rPr>
        <w:t xml:space="preserve"> and Co-ops</w:t>
      </w:r>
    </w:p>
    <w:p w14:paraId="197720BF" w14:textId="77777777" w:rsidR="008D11CB" w:rsidRPr="00DB5628" w:rsidRDefault="008D11CB" w:rsidP="008D11CB">
      <w:pPr>
        <w:rPr>
          <w:rFonts w:ascii="Calibri" w:hAnsi="Calibri"/>
          <w:b/>
          <w:u w:val="single"/>
          <w:lang w:val="en-CA"/>
        </w:rPr>
      </w:pPr>
    </w:p>
    <w:p w14:paraId="0A2FF6EA" w14:textId="77777777" w:rsidR="008D11CB" w:rsidRPr="00DB5628" w:rsidRDefault="008D11CB" w:rsidP="008D11CB">
      <w:pPr>
        <w:jc w:val="both"/>
        <w:rPr>
          <w:rFonts w:ascii="Calibri" w:hAnsi="Calibri"/>
          <w:lang w:val="en-CA"/>
        </w:rPr>
      </w:pPr>
      <w:r w:rsidRPr="00DB5628">
        <w:rPr>
          <w:rFonts w:ascii="Calibri" w:hAnsi="Calibri"/>
          <w:lang w:val="en-CA"/>
        </w:rPr>
        <w:t>International students add immeasurable value to the quality of post-secondary education and to Canadian society. The diverse perspectives they bring to our classrooms, social groups and workplaces have helped us build the inclusive and innovative Canada we are today. International students and their families also invest significant sums to come study here, contributing $11 billion annually to the economy and supporting an estimated 122,000 jobs.</w:t>
      </w:r>
      <w:r w:rsidRPr="00DB5628">
        <w:rPr>
          <w:rStyle w:val="FootnoteReference"/>
          <w:rFonts w:ascii="Calibri" w:hAnsi="Calibri"/>
          <w:lang w:val="en-CA"/>
        </w:rPr>
        <w:footnoteReference w:id="8"/>
      </w:r>
      <w:r w:rsidRPr="00DB5628">
        <w:rPr>
          <w:rFonts w:ascii="Calibri" w:hAnsi="Calibri"/>
          <w:lang w:val="en-CA"/>
        </w:rPr>
        <w:t xml:space="preserve"> </w:t>
      </w:r>
    </w:p>
    <w:p w14:paraId="6D2012F9" w14:textId="77777777" w:rsidR="008D11CB" w:rsidRPr="00DB5628" w:rsidRDefault="008D11CB" w:rsidP="008D11CB">
      <w:pPr>
        <w:jc w:val="both"/>
        <w:rPr>
          <w:rFonts w:ascii="Calibri" w:hAnsi="Calibri"/>
          <w:lang w:val="en-CA"/>
        </w:rPr>
      </w:pPr>
      <w:r w:rsidRPr="00DB5628">
        <w:rPr>
          <w:rFonts w:ascii="Calibri" w:hAnsi="Calibri"/>
          <w:lang w:val="en-CA"/>
        </w:rPr>
        <w:br/>
        <w:t>Considering these facts, it is in Canada’s best interest to provide the very best education possible for international students, part of which involves offering co-op and internship opportunities. Unfortunately, while a student study permit allows international students to work up to 20 hours a week, it does not permit them to participate in co-ops or internships. Instead, international students must apply for a separate work permit, which stays valid for only one year. This makes it difficult for international students to benefit from the complete post-secondary experience.</w:t>
      </w:r>
    </w:p>
    <w:p w14:paraId="0284BB7E" w14:textId="77777777" w:rsidR="008D11CB" w:rsidRPr="00DB5628" w:rsidRDefault="008D11CB" w:rsidP="008D11CB">
      <w:pPr>
        <w:jc w:val="both"/>
        <w:rPr>
          <w:rFonts w:ascii="Calibri" w:hAnsi="Calibri"/>
          <w:lang w:val="en-CA"/>
        </w:rPr>
      </w:pPr>
    </w:p>
    <w:p w14:paraId="39198CF1" w14:textId="77777777" w:rsidR="008D11CB" w:rsidRPr="00DB5628" w:rsidRDefault="008D11CB" w:rsidP="008D11CB">
      <w:pPr>
        <w:jc w:val="both"/>
        <w:rPr>
          <w:rFonts w:ascii="Calibri" w:hAnsi="Calibri" w:cs="Times New Roman"/>
          <w:color w:val="000000"/>
        </w:rPr>
      </w:pPr>
      <w:r w:rsidRPr="00DB5628">
        <w:rPr>
          <w:rFonts w:ascii="Calibri" w:hAnsi="Calibri" w:cs="Times New Roman"/>
          <w:color w:val="000000"/>
        </w:rPr>
        <w:t>On top of this, these restrictions hinder Canada’s ability to keep these diverse and highly educated individuals in the Canadian workforce after graduation. One of the clearest pathways to employment for new graduates is to have practical work experience in their field. When faced with a disappointing lack of work opportunities, international students often opt to leave the country while Canadian companies starve for talent. Allowing international students to more easily access co-op and internship opportunities will help Canada to both foster and retain their talent.</w:t>
      </w:r>
    </w:p>
    <w:p w14:paraId="6528B571" w14:textId="77777777" w:rsidR="008D11CB" w:rsidRPr="00DB5628" w:rsidRDefault="008D11CB" w:rsidP="008D11CB">
      <w:pPr>
        <w:jc w:val="both"/>
        <w:rPr>
          <w:rFonts w:ascii="Calibri" w:hAnsi="Calibri"/>
        </w:rPr>
      </w:pPr>
    </w:p>
    <w:p w14:paraId="69B19A2F" w14:textId="2FDFDC98" w:rsidR="008D11CB" w:rsidRPr="00DB5628" w:rsidRDefault="008D11CB" w:rsidP="008D11CB">
      <w:pPr>
        <w:jc w:val="both"/>
        <w:rPr>
          <w:rFonts w:ascii="Calibri" w:hAnsi="Calibri"/>
          <w:lang w:val="en-CA"/>
        </w:rPr>
      </w:pPr>
      <w:r w:rsidRPr="00DB5628">
        <w:rPr>
          <w:rFonts w:ascii="Calibri" w:hAnsi="Calibri"/>
          <w:b/>
          <w:lang w:val="en-CA"/>
        </w:rPr>
        <w:t>R</w:t>
      </w:r>
      <w:r w:rsidR="00EF2A4F" w:rsidRPr="00DB5628">
        <w:rPr>
          <w:rFonts w:ascii="Calibri" w:hAnsi="Calibri"/>
          <w:b/>
          <w:lang w:val="en-CA"/>
        </w:rPr>
        <w:t>ecommendation</w:t>
      </w:r>
      <w:r w:rsidRPr="00DB5628">
        <w:rPr>
          <w:rFonts w:ascii="Calibri" w:hAnsi="Calibri"/>
          <w:b/>
          <w:lang w:val="en-CA"/>
        </w:rPr>
        <w:t>:</w:t>
      </w:r>
      <w:r w:rsidRPr="00DB5628">
        <w:rPr>
          <w:rFonts w:ascii="Calibri" w:hAnsi="Calibri"/>
          <w:lang w:val="en-CA"/>
        </w:rPr>
        <w:t xml:space="preserve"> </w:t>
      </w:r>
    </w:p>
    <w:p w14:paraId="5D74E3A6" w14:textId="77777777" w:rsidR="008D11CB" w:rsidRPr="00DB5628" w:rsidRDefault="008D11CB" w:rsidP="008D11CB">
      <w:pPr>
        <w:jc w:val="both"/>
        <w:rPr>
          <w:rFonts w:ascii="Calibri" w:hAnsi="Calibri"/>
          <w:b/>
          <w:lang w:val="en-CA"/>
        </w:rPr>
      </w:pPr>
      <w:r w:rsidRPr="00DB5628">
        <w:rPr>
          <w:rFonts w:ascii="Calibri" w:hAnsi="Calibri"/>
          <w:b/>
          <w:lang w:val="en-CA"/>
        </w:rPr>
        <w:t xml:space="preserve">CASA recommends the federal government allow international students to do an internship or co-op under their study permit rather than requiring them to get a separate co-op or intern work permit. </w:t>
      </w:r>
    </w:p>
    <w:p w14:paraId="684E4AB1" w14:textId="77777777" w:rsidR="008D11CB" w:rsidRPr="00DB5628" w:rsidRDefault="008D11CB" w:rsidP="008D11CB">
      <w:pPr>
        <w:jc w:val="both"/>
        <w:rPr>
          <w:rFonts w:ascii="Calibri" w:hAnsi="Calibri"/>
          <w:lang w:val="en-CA"/>
        </w:rPr>
      </w:pPr>
    </w:p>
    <w:p w14:paraId="04E5F739" w14:textId="77777777" w:rsidR="008D11CB" w:rsidRDefault="008D11CB">
      <w:pPr>
        <w:rPr>
          <w:rFonts w:ascii="Calibri" w:hAnsi="Calibri"/>
          <w:lang w:val="en-CA"/>
        </w:rPr>
      </w:pPr>
    </w:p>
    <w:p w14:paraId="3A1E723C" w14:textId="77777777" w:rsidR="00DB5628" w:rsidRDefault="00DB5628">
      <w:pPr>
        <w:rPr>
          <w:rFonts w:ascii="Calibri" w:hAnsi="Calibri"/>
          <w:lang w:val="en-CA"/>
        </w:rPr>
      </w:pPr>
    </w:p>
    <w:p w14:paraId="3D11386C" w14:textId="77777777" w:rsidR="00DB5628" w:rsidRDefault="00DB5628">
      <w:pPr>
        <w:rPr>
          <w:rFonts w:ascii="Calibri" w:hAnsi="Calibri"/>
          <w:lang w:val="en-CA"/>
        </w:rPr>
      </w:pPr>
    </w:p>
    <w:p w14:paraId="58AE4BCB" w14:textId="77777777" w:rsidR="00DB5628" w:rsidRDefault="00DB5628">
      <w:pPr>
        <w:rPr>
          <w:rFonts w:ascii="Calibri" w:hAnsi="Calibri"/>
          <w:lang w:val="en-CA"/>
        </w:rPr>
      </w:pPr>
    </w:p>
    <w:p w14:paraId="319E8C4E" w14:textId="77777777" w:rsidR="00DB5628" w:rsidRDefault="00DB5628">
      <w:pPr>
        <w:rPr>
          <w:rFonts w:ascii="Calibri" w:hAnsi="Calibri"/>
          <w:lang w:val="en-CA"/>
        </w:rPr>
      </w:pPr>
    </w:p>
    <w:p w14:paraId="2A7952D8" w14:textId="77777777" w:rsidR="00DB5628" w:rsidRDefault="00DB5628">
      <w:pPr>
        <w:rPr>
          <w:rFonts w:ascii="Calibri" w:hAnsi="Calibri"/>
          <w:lang w:val="en-CA"/>
        </w:rPr>
      </w:pPr>
    </w:p>
    <w:p w14:paraId="0B6BFF64" w14:textId="77777777" w:rsidR="00DB5628" w:rsidRDefault="00DB5628">
      <w:pPr>
        <w:rPr>
          <w:rFonts w:ascii="Calibri" w:hAnsi="Calibri"/>
          <w:lang w:val="en-CA"/>
        </w:rPr>
      </w:pPr>
    </w:p>
    <w:p w14:paraId="4931476A" w14:textId="77777777" w:rsidR="00DB5628" w:rsidRDefault="00DB5628">
      <w:pPr>
        <w:rPr>
          <w:rFonts w:ascii="Calibri" w:hAnsi="Calibri"/>
          <w:lang w:val="en-CA"/>
        </w:rPr>
      </w:pPr>
    </w:p>
    <w:p w14:paraId="028D8E2B" w14:textId="77777777" w:rsidR="00DB5628" w:rsidRDefault="00DB5628">
      <w:pPr>
        <w:rPr>
          <w:rFonts w:ascii="Calibri" w:hAnsi="Calibri"/>
          <w:lang w:val="en-CA"/>
        </w:rPr>
      </w:pPr>
    </w:p>
    <w:p w14:paraId="0B93C73D" w14:textId="77777777" w:rsidR="00DB5628" w:rsidRDefault="00DB5628">
      <w:pPr>
        <w:rPr>
          <w:rFonts w:ascii="Calibri" w:hAnsi="Calibri"/>
          <w:lang w:val="en-CA"/>
        </w:rPr>
      </w:pPr>
    </w:p>
    <w:p w14:paraId="4D4FAAC0" w14:textId="77777777" w:rsidR="00FC79FC" w:rsidRPr="00DB5628" w:rsidRDefault="00FC79FC">
      <w:pPr>
        <w:rPr>
          <w:rFonts w:ascii="Calibri" w:hAnsi="Calibri"/>
          <w:lang w:val="en-CA"/>
        </w:rPr>
      </w:pPr>
    </w:p>
    <w:p w14:paraId="0549FDC2" w14:textId="77777777" w:rsidR="008D11CB" w:rsidRPr="00DB5628" w:rsidRDefault="008D11CB" w:rsidP="00AA50E2">
      <w:pPr>
        <w:pStyle w:val="Heading3"/>
        <w:rPr>
          <w:lang w:val="en-CA"/>
        </w:rPr>
      </w:pPr>
      <w:r w:rsidRPr="00DB5628">
        <w:rPr>
          <w:lang w:val="en-CA"/>
        </w:rPr>
        <w:t>Meeting Canada’s Obligations to Indigenous Learners</w:t>
      </w:r>
    </w:p>
    <w:p w14:paraId="0298A9DC" w14:textId="77777777" w:rsidR="008D11CB" w:rsidRPr="00DB5628" w:rsidRDefault="008D11CB" w:rsidP="008D11CB">
      <w:pPr>
        <w:pStyle w:val="p1"/>
        <w:rPr>
          <w:rFonts w:ascii="Calibri" w:hAnsi="Calibri"/>
          <w:sz w:val="24"/>
          <w:szCs w:val="24"/>
          <w:lang w:val="en-CA"/>
        </w:rPr>
      </w:pPr>
    </w:p>
    <w:p w14:paraId="35B9211C" w14:textId="77777777" w:rsidR="008D11CB" w:rsidRPr="00DB5628" w:rsidRDefault="008D11CB" w:rsidP="008D11CB">
      <w:pPr>
        <w:pStyle w:val="p1"/>
        <w:rPr>
          <w:rFonts w:ascii="Calibri" w:hAnsi="Calibri"/>
          <w:sz w:val="24"/>
          <w:szCs w:val="24"/>
          <w:lang w:val="en-CA"/>
        </w:rPr>
      </w:pPr>
      <w:r w:rsidRPr="00DB5628">
        <w:rPr>
          <w:rFonts w:ascii="Calibri" w:hAnsi="Calibri"/>
          <w:sz w:val="24"/>
          <w:szCs w:val="24"/>
          <w:lang w:val="en-CA"/>
        </w:rPr>
        <w:t>While Budget 2017’s $90 million in new funding for the post-secondary student support program (PSSSP) was encouraging, additional investments are needed to better support First Nations and Inuit learners. Years of a 2% cap on the program have left too many eligible students without funding and many more whose funding is insufficient to support the costs of their education. CASA believes the federal government must continue to enhance its support of PSSSP by investing more money per eligible student.</w:t>
      </w:r>
    </w:p>
    <w:p w14:paraId="1A37EDE4" w14:textId="77777777" w:rsidR="008D11CB" w:rsidRPr="00DB5628" w:rsidRDefault="008D11CB" w:rsidP="008D11CB">
      <w:pPr>
        <w:rPr>
          <w:rFonts w:ascii="Calibri" w:hAnsi="Calibri"/>
          <w:lang w:val="en-CA"/>
        </w:rPr>
      </w:pPr>
    </w:p>
    <w:p w14:paraId="6EAE0F94" w14:textId="77777777" w:rsidR="008D11CB" w:rsidRPr="00DB5628" w:rsidRDefault="008D11CB" w:rsidP="008D11CB">
      <w:pPr>
        <w:rPr>
          <w:rFonts w:ascii="Calibri" w:hAnsi="Calibri"/>
          <w:lang w:val="en-CA"/>
        </w:rPr>
      </w:pPr>
      <w:r w:rsidRPr="00DB5628">
        <w:rPr>
          <w:rFonts w:ascii="Calibri" w:hAnsi="Calibri"/>
          <w:lang w:val="en-CA"/>
        </w:rPr>
        <w:t>The per-student expenditure must be raised to keep pace with significant overall increases in the cost of post-secondary. From 2004-05 to 2013-14, during which time the 2% cap on PSSSP was in effect, tuition grew by 1.7% above inflation.</w:t>
      </w:r>
      <w:r w:rsidRPr="00DB5628">
        <w:rPr>
          <w:rFonts w:ascii="Calibri" w:hAnsi="Calibri"/>
          <w:vertAlign w:val="superscript"/>
          <w:lang w:val="en-CA"/>
        </w:rPr>
        <w:footnoteReference w:id="9"/>
      </w:r>
      <w:r w:rsidRPr="00DB5628">
        <w:rPr>
          <w:rFonts w:ascii="Calibri" w:hAnsi="Calibri"/>
          <w:lang w:val="en-CA"/>
        </w:rPr>
        <w:t xml:space="preserve"> During that same period, the overall number of students supported by PSSSP declined, while the Indigenous youth population grew by 30%.</w:t>
      </w:r>
      <w:r w:rsidRPr="00DB5628">
        <w:rPr>
          <w:rStyle w:val="FootnoteReference"/>
          <w:rFonts w:ascii="Calibri" w:hAnsi="Calibri"/>
          <w:lang w:val="en-CA"/>
        </w:rPr>
        <w:footnoteReference w:id="10"/>
      </w:r>
      <w:r w:rsidRPr="00DB5628">
        <w:rPr>
          <w:rFonts w:ascii="Calibri" w:hAnsi="Calibri"/>
          <w:lang w:val="en-CA"/>
        </w:rPr>
        <w:t xml:space="preserve"> Years of underfunding has left a backlog of eligible students without access to PSSSP. Per the Assembly of First Nations, there are 18,261 students who use PSSSP and an additional 36,901 who are eligible for the program.</w:t>
      </w:r>
      <w:r w:rsidRPr="00DB5628">
        <w:rPr>
          <w:rStyle w:val="FootnoteReference"/>
          <w:rFonts w:ascii="Calibri" w:hAnsi="Calibri"/>
          <w:lang w:val="en-CA"/>
        </w:rPr>
        <w:footnoteReference w:id="11"/>
      </w:r>
      <w:r w:rsidRPr="00DB5628">
        <w:rPr>
          <w:rFonts w:ascii="Calibri" w:hAnsi="Calibri"/>
          <w:lang w:val="en-CA"/>
        </w:rPr>
        <w:t xml:space="preserve"> </w:t>
      </w:r>
    </w:p>
    <w:p w14:paraId="2698931C" w14:textId="77777777" w:rsidR="008D11CB" w:rsidRPr="00DB5628" w:rsidRDefault="008D11CB" w:rsidP="008D11CB">
      <w:pPr>
        <w:rPr>
          <w:rFonts w:ascii="Calibri" w:hAnsi="Calibri"/>
          <w:lang w:val="en-CA"/>
        </w:rPr>
      </w:pPr>
      <w:r w:rsidRPr="00DB5628">
        <w:rPr>
          <w:rFonts w:ascii="Calibri" w:hAnsi="Calibri"/>
          <w:lang w:val="en-CA"/>
        </w:rPr>
        <w:t xml:space="preserve"> </w:t>
      </w:r>
    </w:p>
    <w:p w14:paraId="465053D7" w14:textId="77777777" w:rsidR="008D11CB" w:rsidRPr="00DB5628" w:rsidRDefault="008D11CB" w:rsidP="008D11CB">
      <w:pPr>
        <w:pStyle w:val="p1"/>
        <w:rPr>
          <w:rFonts w:ascii="Calibri" w:hAnsi="Calibri"/>
          <w:sz w:val="24"/>
          <w:szCs w:val="24"/>
        </w:rPr>
      </w:pPr>
      <w:r w:rsidRPr="00DB5628">
        <w:rPr>
          <w:rFonts w:ascii="Calibri" w:hAnsi="Calibri"/>
          <w:sz w:val="24"/>
          <w:szCs w:val="24"/>
          <w:lang w:val="en-CA"/>
        </w:rPr>
        <w:t xml:space="preserve">Canada </w:t>
      </w:r>
      <w:r w:rsidRPr="00DB5628">
        <w:rPr>
          <w:rFonts w:ascii="Calibri" w:hAnsi="Calibri"/>
          <w:sz w:val="24"/>
          <w:szCs w:val="24"/>
        </w:rPr>
        <w:t>needs to take steps, with a sense of urgency, to adequately address the institutional inequalities Indigenous peoples face. Investing in Indigenous student access to post-secondary is a sound investment, and it is the right thing to do.</w:t>
      </w:r>
    </w:p>
    <w:p w14:paraId="12AD4190" w14:textId="77777777" w:rsidR="008D11CB" w:rsidRPr="00DB5628" w:rsidRDefault="008D11CB" w:rsidP="008D11CB">
      <w:pPr>
        <w:rPr>
          <w:rFonts w:ascii="Calibri" w:hAnsi="Calibri"/>
          <w:lang w:val="en-CA"/>
        </w:rPr>
      </w:pPr>
    </w:p>
    <w:p w14:paraId="23107E4F" w14:textId="3F4F2ACE" w:rsidR="008D11CB" w:rsidRPr="00DB5628" w:rsidRDefault="008D11CB" w:rsidP="008D11CB">
      <w:pPr>
        <w:rPr>
          <w:rFonts w:ascii="Calibri" w:hAnsi="Calibri"/>
          <w:lang w:val="en-CA"/>
        </w:rPr>
      </w:pPr>
      <w:r w:rsidRPr="00DB5628">
        <w:rPr>
          <w:rFonts w:ascii="Calibri" w:hAnsi="Calibri"/>
          <w:b/>
          <w:lang w:val="en-CA"/>
        </w:rPr>
        <w:t>R</w:t>
      </w:r>
      <w:r w:rsidR="007E562F" w:rsidRPr="00DB5628">
        <w:rPr>
          <w:rFonts w:ascii="Calibri" w:hAnsi="Calibri"/>
          <w:b/>
          <w:lang w:val="en-CA"/>
        </w:rPr>
        <w:t>ecommendation</w:t>
      </w:r>
      <w:r w:rsidRPr="00DB5628">
        <w:rPr>
          <w:rFonts w:ascii="Calibri" w:hAnsi="Calibri"/>
          <w:b/>
          <w:lang w:val="en-CA"/>
        </w:rPr>
        <w:t>:</w:t>
      </w:r>
    </w:p>
    <w:p w14:paraId="4ACA6FA5" w14:textId="2D7E2C1F" w:rsidR="008D11CB" w:rsidRPr="00DB5628" w:rsidRDefault="008D11CB" w:rsidP="008D11CB">
      <w:pPr>
        <w:rPr>
          <w:rFonts w:ascii="Calibri" w:hAnsi="Calibri"/>
          <w:lang w:val="en-CA"/>
        </w:rPr>
      </w:pPr>
      <w:r w:rsidRPr="00DB5628">
        <w:rPr>
          <w:rFonts w:ascii="Calibri" w:hAnsi="Calibri"/>
          <w:b/>
          <w:lang w:val="en-CA"/>
        </w:rPr>
        <w:t xml:space="preserve">CASA </w:t>
      </w:r>
      <w:r w:rsidR="004A03CC" w:rsidRPr="00DB5628">
        <w:rPr>
          <w:rFonts w:ascii="Calibri" w:hAnsi="Calibri"/>
          <w:b/>
          <w:lang w:val="en-CA"/>
        </w:rPr>
        <w:t>supports the Assembly of First Nations’ recommendation</w:t>
      </w:r>
      <w:r w:rsidRPr="00DB5628">
        <w:rPr>
          <w:rFonts w:ascii="Calibri" w:hAnsi="Calibri"/>
          <w:b/>
          <w:lang w:val="en-CA"/>
        </w:rPr>
        <w:t xml:space="preserve"> that the per-student expenditure for PSSSP be increased from $13,407 to $17,307 for 18,261 current and 36,901 eligible students, for a total PSSSP budget increase of $2.1 billion over three years.</w:t>
      </w:r>
    </w:p>
    <w:p w14:paraId="5329E9B4" w14:textId="77777777" w:rsidR="008D11CB" w:rsidRPr="00DB5628" w:rsidRDefault="008D11CB" w:rsidP="008D11CB">
      <w:pPr>
        <w:rPr>
          <w:rFonts w:ascii="Calibri" w:hAnsi="Calibri"/>
          <w:b/>
          <w:lang w:val="en-CA"/>
        </w:rPr>
      </w:pPr>
    </w:p>
    <w:p w14:paraId="09F7734A" w14:textId="77777777" w:rsidR="008D11CB" w:rsidRPr="00DB5628" w:rsidRDefault="008D11CB" w:rsidP="008D11CB">
      <w:pPr>
        <w:rPr>
          <w:rFonts w:ascii="Calibri" w:hAnsi="Calibri"/>
          <w:lang w:val="en-CA"/>
        </w:rPr>
      </w:pPr>
    </w:p>
    <w:p w14:paraId="57E21329" w14:textId="77777777" w:rsidR="001F458C" w:rsidRDefault="001F458C" w:rsidP="008D11CB">
      <w:pPr>
        <w:rPr>
          <w:rFonts w:ascii="Calibri" w:hAnsi="Calibri"/>
          <w:lang w:val="en-CA"/>
        </w:rPr>
      </w:pPr>
    </w:p>
    <w:p w14:paraId="5B2A01C8" w14:textId="77777777" w:rsidR="00DB5628" w:rsidRPr="00DB5628" w:rsidRDefault="00DB5628" w:rsidP="008D11CB">
      <w:pPr>
        <w:rPr>
          <w:rFonts w:ascii="Calibri" w:hAnsi="Calibri"/>
          <w:lang w:val="en-CA"/>
        </w:rPr>
      </w:pPr>
    </w:p>
    <w:p w14:paraId="1705FB51" w14:textId="77777777" w:rsidR="001F458C" w:rsidRPr="00DB5628" w:rsidRDefault="001F458C" w:rsidP="008D11CB">
      <w:pPr>
        <w:rPr>
          <w:rFonts w:ascii="Calibri" w:hAnsi="Calibri"/>
          <w:lang w:val="en-CA"/>
        </w:rPr>
      </w:pPr>
    </w:p>
    <w:p w14:paraId="5B8709B9" w14:textId="77777777" w:rsidR="001F458C" w:rsidRPr="00DB5628" w:rsidRDefault="001F458C" w:rsidP="008D11CB">
      <w:pPr>
        <w:rPr>
          <w:rFonts w:ascii="Calibri" w:hAnsi="Calibri"/>
          <w:lang w:val="en-CA"/>
        </w:rPr>
      </w:pPr>
    </w:p>
    <w:p w14:paraId="668CD9FE" w14:textId="77777777" w:rsidR="001F458C" w:rsidRDefault="001F458C" w:rsidP="008D11CB">
      <w:pPr>
        <w:rPr>
          <w:rFonts w:ascii="Calibri" w:hAnsi="Calibri"/>
          <w:lang w:val="en-CA"/>
        </w:rPr>
      </w:pPr>
    </w:p>
    <w:p w14:paraId="46BE623C" w14:textId="77777777" w:rsidR="00AA50E2" w:rsidRPr="00DB5628" w:rsidRDefault="00AA50E2" w:rsidP="008D11CB">
      <w:pPr>
        <w:rPr>
          <w:rFonts w:ascii="Calibri" w:hAnsi="Calibri"/>
          <w:lang w:val="en-CA"/>
        </w:rPr>
      </w:pPr>
    </w:p>
    <w:p w14:paraId="750E89A3" w14:textId="77777777" w:rsidR="008D11CB" w:rsidRDefault="008D11CB">
      <w:pPr>
        <w:rPr>
          <w:rFonts w:ascii="Calibri" w:hAnsi="Calibri"/>
          <w:lang w:val="en-CA"/>
        </w:rPr>
      </w:pPr>
    </w:p>
    <w:p w14:paraId="10CB6EB8" w14:textId="77777777" w:rsidR="00AA50E2" w:rsidRPr="00DB5628" w:rsidRDefault="00AA50E2">
      <w:pPr>
        <w:rPr>
          <w:rFonts w:ascii="Calibri" w:hAnsi="Calibri"/>
          <w:lang w:val="en-CA"/>
        </w:rPr>
      </w:pPr>
    </w:p>
    <w:p w14:paraId="72152DDA" w14:textId="77777777" w:rsidR="008D11CB" w:rsidRPr="00DB5628" w:rsidRDefault="008D11CB">
      <w:pPr>
        <w:rPr>
          <w:rFonts w:ascii="Calibri" w:hAnsi="Calibri"/>
          <w:lang w:val="en-CA"/>
        </w:rPr>
      </w:pPr>
    </w:p>
    <w:p w14:paraId="318CFA22" w14:textId="2695EA62" w:rsidR="008D11CB" w:rsidRPr="00DB5628" w:rsidRDefault="007E562F" w:rsidP="00AA50E2">
      <w:pPr>
        <w:pStyle w:val="Heading3"/>
        <w:rPr>
          <w:color w:val="00B0F0"/>
        </w:rPr>
      </w:pPr>
      <w:r w:rsidRPr="00DB5628">
        <w:t>The Importance of Fair Dealing for Students</w:t>
      </w:r>
    </w:p>
    <w:p w14:paraId="0864C099" w14:textId="77777777" w:rsidR="008D11CB" w:rsidRPr="00DB5628" w:rsidRDefault="008D11CB" w:rsidP="008D11CB">
      <w:pPr>
        <w:rPr>
          <w:rFonts w:ascii="Calibri" w:hAnsi="Calibri"/>
        </w:rPr>
      </w:pPr>
    </w:p>
    <w:p w14:paraId="1C3D63AF" w14:textId="77777777" w:rsidR="008D11CB" w:rsidRPr="00DB5628" w:rsidRDefault="008D11CB" w:rsidP="008D11CB">
      <w:pPr>
        <w:rPr>
          <w:rFonts w:ascii="Calibri" w:hAnsi="Calibri"/>
        </w:rPr>
      </w:pPr>
      <w:r w:rsidRPr="00DB5628">
        <w:rPr>
          <w:rFonts w:ascii="Calibri" w:hAnsi="Calibri"/>
        </w:rPr>
        <w:t xml:space="preserve">As the review of the </w:t>
      </w:r>
      <w:r w:rsidRPr="00DB5628">
        <w:rPr>
          <w:rFonts w:ascii="Calibri" w:hAnsi="Calibri"/>
          <w:i/>
        </w:rPr>
        <w:t>Copyright Act</w:t>
      </w:r>
      <w:r w:rsidRPr="00DB5628">
        <w:rPr>
          <w:rFonts w:ascii="Calibri" w:hAnsi="Calibri"/>
        </w:rPr>
        <w:t xml:space="preserve"> approaches, CASA and the Quebec Student Union (QSU) strongly believe that fair dealing has proven crucial to making post-secondary education more affordable and accessible. In an era where </w:t>
      </w:r>
      <w:r w:rsidRPr="00DB5628">
        <w:rPr>
          <w:rFonts w:ascii="Calibri" w:hAnsi="Calibri"/>
          <w:lang w:val="en-CA"/>
        </w:rPr>
        <w:t>information is changing rapidly, the ability to fairly use and distribute the most up-to-date content for educational purposes is vital.</w:t>
      </w:r>
    </w:p>
    <w:p w14:paraId="7A25E997" w14:textId="77777777" w:rsidR="008D11CB" w:rsidRPr="00DB5628" w:rsidRDefault="008D11CB" w:rsidP="008D11CB">
      <w:pPr>
        <w:rPr>
          <w:rFonts w:ascii="Calibri" w:hAnsi="Calibri"/>
          <w:lang w:val="en-CA"/>
        </w:rPr>
      </w:pPr>
    </w:p>
    <w:p w14:paraId="1B7F4ED4" w14:textId="77777777" w:rsidR="008D11CB" w:rsidRPr="00DB5628" w:rsidRDefault="008D11CB" w:rsidP="008D11CB">
      <w:pPr>
        <w:rPr>
          <w:rFonts w:ascii="Calibri" w:hAnsi="Calibri"/>
          <w:lang w:val="en-CA"/>
        </w:rPr>
      </w:pPr>
      <w:r w:rsidRPr="00DB5628">
        <w:rPr>
          <w:rFonts w:ascii="Calibri" w:hAnsi="Calibri"/>
          <w:lang w:val="en-CA"/>
        </w:rPr>
        <w:t xml:space="preserve">Fair dealing is an exception to copyright infringement set out in the </w:t>
      </w:r>
      <w:r w:rsidRPr="00DB5628">
        <w:rPr>
          <w:rFonts w:ascii="Calibri" w:hAnsi="Calibri"/>
          <w:i/>
          <w:lang w:val="en-CA"/>
        </w:rPr>
        <w:t>Copyright Act,</w:t>
      </w:r>
      <w:r w:rsidRPr="00DB5628">
        <w:rPr>
          <w:rFonts w:ascii="Calibri" w:hAnsi="Calibri"/>
          <w:vertAlign w:val="superscript"/>
          <w:lang w:val="en-CA"/>
        </w:rPr>
        <w:footnoteReference w:id="12"/>
      </w:r>
      <w:r w:rsidRPr="00DB5628">
        <w:rPr>
          <w:rFonts w:ascii="Calibri" w:hAnsi="Calibri"/>
          <w:lang w:val="en-CA"/>
        </w:rPr>
        <w:t xml:space="preserve"> which allows the use of a copyrighted work without explicit permission from or payment to the copyright owner, in specific circumstances. In an educational context, fair dealing grants post-secondary institutions, educators and students the flexibility to fairly access and use copyrighted work to enhance their education. Such works may include photos or videos shown in class, book excerpts, and other valuable learning materials. </w:t>
      </w:r>
    </w:p>
    <w:p w14:paraId="7DFFCFFD" w14:textId="77777777" w:rsidR="008D11CB" w:rsidRPr="00DB5628" w:rsidRDefault="008D11CB" w:rsidP="008D11CB">
      <w:pPr>
        <w:rPr>
          <w:rFonts w:ascii="Calibri" w:hAnsi="Calibri"/>
          <w:lang w:val="en-CA"/>
        </w:rPr>
      </w:pPr>
    </w:p>
    <w:p w14:paraId="59DB06DC" w14:textId="386E4D2D" w:rsidR="008D11CB" w:rsidRPr="00DB5628" w:rsidRDefault="008D11CB" w:rsidP="008D11CB">
      <w:pPr>
        <w:rPr>
          <w:rFonts w:ascii="Calibri" w:hAnsi="Calibri"/>
          <w:lang w:val="en-CA"/>
        </w:rPr>
      </w:pPr>
      <w:r w:rsidRPr="00DB5628">
        <w:rPr>
          <w:rFonts w:ascii="Calibri" w:hAnsi="Calibri"/>
          <w:lang w:val="en-CA"/>
        </w:rPr>
        <w:t xml:space="preserve">Unfortunately, some have accused fair dealing protections of decreasing revenue for publishers of textbooks and course packs. Available data does not support this assertion. In fact, </w:t>
      </w:r>
      <w:r w:rsidRPr="00DB5628">
        <w:rPr>
          <w:rFonts w:ascii="Calibri" w:hAnsi="Calibri"/>
        </w:rPr>
        <w:t>educational titles were one of “the top two contributing commercial categories” in domestic book sales in 2014</w:t>
      </w:r>
      <w:r w:rsidR="004A03CC" w:rsidRPr="00DB5628">
        <w:rPr>
          <w:rFonts w:ascii="Calibri" w:hAnsi="Calibri"/>
        </w:rPr>
        <w:t>.</w:t>
      </w:r>
      <w:r w:rsidRPr="00DB5628">
        <w:rPr>
          <w:rStyle w:val="FootnoteReference"/>
          <w:rFonts w:ascii="Calibri" w:hAnsi="Calibri"/>
        </w:rPr>
        <w:footnoteReference w:id="13"/>
      </w:r>
      <w:r w:rsidRPr="00DB5628">
        <w:rPr>
          <w:rFonts w:ascii="Calibri" w:hAnsi="Calibri"/>
        </w:rPr>
        <w:t xml:space="preserve"> Additionally, average household spending across all types of books has been in decline since 2005, well before educational fair dealing was added to the </w:t>
      </w:r>
      <w:r w:rsidRPr="00DB5628">
        <w:rPr>
          <w:rFonts w:ascii="Calibri" w:hAnsi="Calibri"/>
          <w:i/>
        </w:rPr>
        <w:t xml:space="preserve">Copyright Act </w:t>
      </w:r>
      <w:r w:rsidRPr="00DB5628">
        <w:rPr>
          <w:rFonts w:ascii="Calibri" w:hAnsi="Calibri"/>
        </w:rPr>
        <w:t>in 2012.</w:t>
      </w:r>
      <w:r w:rsidRPr="00DB5628">
        <w:rPr>
          <w:rStyle w:val="FootnoteReference"/>
          <w:rFonts w:ascii="Calibri" w:hAnsi="Calibri"/>
        </w:rPr>
        <w:footnoteReference w:id="14"/>
      </w:r>
      <w:r w:rsidRPr="00DB5628">
        <w:rPr>
          <w:rFonts w:ascii="Calibri" w:hAnsi="Calibri"/>
        </w:rPr>
        <w:t xml:space="preserve"> </w:t>
      </w:r>
    </w:p>
    <w:p w14:paraId="42A2F9C4" w14:textId="77777777" w:rsidR="008D11CB" w:rsidRPr="00DB5628" w:rsidRDefault="008D11CB" w:rsidP="008D11CB">
      <w:pPr>
        <w:rPr>
          <w:rFonts w:ascii="Calibri" w:hAnsi="Calibri"/>
        </w:rPr>
      </w:pPr>
    </w:p>
    <w:p w14:paraId="0154B7DD" w14:textId="77777777" w:rsidR="008D11CB" w:rsidRDefault="008D11CB" w:rsidP="008D11CB">
      <w:pPr>
        <w:rPr>
          <w:rFonts w:ascii="Calibri" w:hAnsi="Calibri"/>
          <w:lang w:val="en-CA"/>
        </w:rPr>
      </w:pPr>
      <w:r w:rsidRPr="00DB5628">
        <w:rPr>
          <w:rFonts w:ascii="Calibri" w:hAnsi="Calibri"/>
        </w:rPr>
        <w:t xml:space="preserve">In short, students understand that respecting copyright and paying for educational content is important, but they also deserve fair access to content. </w:t>
      </w:r>
      <w:r w:rsidRPr="00DB5628">
        <w:rPr>
          <w:rFonts w:ascii="Calibri" w:hAnsi="Calibri"/>
          <w:lang w:val="en-CA"/>
        </w:rPr>
        <w:t xml:space="preserve">As both users and creators, students recognize that Canada needs a balanced copyright system that encourages content creation while also protecting the rights of those who access it. </w:t>
      </w:r>
    </w:p>
    <w:p w14:paraId="676330EE" w14:textId="77777777" w:rsidR="00AA50E2" w:rsidRPr="00DB5628" w:rsidRDefault="00AA50E2" w:rsidP="008D11CB">
      <w:pPr>
        <w:rPr>
          <w:rFonts w:ascii="Calibri" w:hAnsi="Calibri"/>
          <w:lang w:val="en-CA"/>
        </w:rPr>
      </w:pPr>
    </w:p>
    <w:p w14:paraId="650C8230" w14:textId="58BF88CE" w:rsidR="008D11CB" w:rsidRPr="00AA50E2" w:rsidRDefault="00DB5628" w:rsidP="00AA50E2">
      <w:pPr>
        <w:rPr>
          <w:b/>
          <w:lang w:val="en-CA"/>
        </w:rPr>
      </w:pPr>
      <w:r w:rsidRPr="00AA50E2">
        <w:rPr>
          <w:b/>
          <w:lang w:val="en-CA"/>
        </w:rPr>
        <w:t>Recommendation</w:t>
      </w:r>
      <w:r w:rsidR="00B466F7" w:rsidRPr="00AA50E2">
        <w:rPr>
          <w:b/>
          <w:lang w:val="en-CA"/>
        </w:rPr>
        <w:t>s</w:t>
      </w:r>
      <w:r w:rsidR="008D11CB" w:rsidRPr="00AA50E2">
        <w:rPr>
          <w:b/>
          <w:lang w:val="en-CA"/>
        </w:rPr>
        <w:t>:</w:t>
      </w:r>
    </w:p>
    <w:p w14:paraId="7D644433" w14:textId="50B58377" w:rsidR="008D11CB" w:rsidRPr="00DB5628" w:rsidRDefault="00DB5628" w:rsidP="00DB5628">
      <w:pPr>
        <w:rPr>
          <w:rFonts w:ascii="Calibri" w:hAnsi="Calibri"/>
          <w:b/>
          <w:lang w:val="en-CA"/>
        </w:rPr>
      </w:pPr>
      <w:r>
        <w:rPr>
          <w:rFonts w:ascii="Calibri" w:hAnsi="Calibri"/>
          <w:b/>
          <w:lang w:val="en-CA"/>
        </w:rPr>
        <w:t xml:space="preserve">CASA and the Quebec Student Union recommend preserving </w:t>
      </w:r>
      <w:r w:rsidR="008D11CB" w:rsidRPr="00DB5628">
        <w:rPr>
          <w:rFonts w:ascii="Calibri" w:hAnsi="Calibri"/>
          <w:b/>
          <w:lang w:val="en-CA"/>
        </w:rPr>
        <w:t xml:space="preserve">education as a component of fair dealing under the </w:t>
      </w:r>
      <w:r w:rsidR="008D11CB" w:rsidRPr="00DB5628">
        <w:rPr>
          <w:rFonts w:ascii="Calibri" w:hAnsi="Calibri"/>
          <w:b/>
          <w:i/>
          <w:lang w:val="en-CA"/>
        </w:rPr>
        <w:t>Copyright Act</w:t>
      </w:r>
      <w:r>
        <w:rPr>
          <w:rFonts w:ascii="Calibri" w:hAnsi="Calibri"/>
          <w:b/>
          <w:lang w:val="en-CA"/>
        </w:rPr>
        <w:t xml:space="preserve"> and preserving</w:t>
      </w:r>
      <w:r w:rsidR="008D11CB" w:rsidRPr="00DB5628">
        <w:rPr>
          <w:rFonts w:ascii="Calibri" w:hAnsi="Calibri"/>
          <w:b/>
          <w:lang w:val="en-CA"/>
        </w:rPr>
        <w:t xml:space="preserve"> the existing exceptions to copyright infringement for educational institutions</w:t>
      </w:r>
      <w:r>
        <w:rPr>
          <w:rFonts w:ascii="Calibri" w:hAnsi="Calibri"/>
          <w:b/>
          <w:lang w:val="en-CA"/>
        </w:rPr>
        <w:t>.</w:t>
      </w:r>
    </w:p>
    <w:p w14:paraId="0A995416" w14:textId="77777777" w:rsidR="008D11CB" w:rsidRPr="00DB5628" w:rsidRDefault="008D11CB">
      <w:pPr>
        <w:rPr>
          <w:rFonts w:ascii="Calibri" w:hAnsi="Calibri"/>
          <w:lang w:val="en-CA"/>
        </w:rPr>
      </w:pPr>
    </w:p>
    <w:p w14:paraId="373B97B3" w14:textId="77777777" w:rsidR="008D11CB" w:rsidRPr="00DB5628" w:rsidRDefault="008D11CB">
      <w:pPr>
        <w:rPr>
          <w:rFonts w:ascii="Calibri" w:hAnsi="Calibri"/>
          <w:lang w:val="en-CA"/>
        </w:rPr>
      </w:pPr>
    </w:p>
    <w:p w14:paraId="0437815A" w14:textId="77777777" w:rsidR="008D11CB" w:rsidRPr="00DB5628" w:rsidRDefault="008D11CB">
      <w:pPr>
        <w:rPr>
          <w:rFonts w:ascii="Calibri" w:hAnsi="Calibri"/>
          <w:lang w:val="en-CA"/>
        </w:rPr>
      </w:pPr>
    </w:p>
    <w:p w14:paraId="606A0C92" w14:textId="77777777" w:rsidR="008D11CB" w:rsidRPr="00DB5628" w:rsidRDefault="008D11CB">
      <w:pPr>
        <w:rPr>
          <w:rFonts w:ascii="Calibri" w:hAnsi="Calibri"/>
          <w:lang w:val="en-CA"/>
        </w:rPr>
      </w:pPr>
    </w:p>
    <w:p w14:paraId="5F7123B0" w14:textId="77777777" w:rsidR="008D11CB" w:rsidRPr="00DB5628" w:rsidRDefault="008D11CB">
      <w:pPr>
        <w:rPr>
          <w:rFonts w:ascii="Calibri" w:hAnsi="Calibri"/>
          <w:lang w:val="en-CA"/>
        </w:rPr>
      </w:pPr>
    </w:p>
    <w:p w14:paraId="15F76D40" w14:textId="77777777" w:rsidR="007E562F" w:rsidRPr="00DB5628" w:rsidRDefault="007E562F">
      <w:pPr>
        <w:rPr>
          <w:rFonts w:ascii="Calibri" w:hAnsi="Calibri"/>
          <w:lang w:val="en-CA"/>
        </w:rPr>
      </w:pPr>
    </w:p>
    <w:p w14:paraId="636B5BD6" w14:textId="77777777" w:rsidR="008D11CB" w:rsidRPr="00DB5628" w:rsidRDefault="008D11CB" w:rsidP="00B466F7">
      <w:pPr>
        <w:rPr>
          <w:rFonts w:ascii="Calibri" w:hAnsi="Calibri"/>
          <w:lang w:val="en-CA"/>
        </w:rPr>
      </w:pPr>
    </w:p>
    <w:p w14:paraId="28AF08AB" w14:textId="006133A4" w:rsidR="008D11CB" w:rsidRPr="00B466F7" w:rsidRDefault="007E562F" w:rsidP="00AA50E2">
      <w:pPr>
        <w:pStyle w:val="Heading3"/>
        <w:rPr>
          <w:lang w:val="en-CA"/>
        </w:rPr>
      </w:pPr>
      <w:r w:rsidRPr="00B466F7">
        <w:rPr>
          <w:lang w:val="en-CA"/>
        </w:rPr>
        <w:t xml:space="preserve">Developing </w:t>
      </w:r>
      <w:r w:rsidR="004A03CC" w:rsidRPr="00B466F7">
        <w:rPr>
          <w:lang w:val="en-CA"/>
        </w:rPr>
        <w:t>Open Educational Resources (OERs</w:t>
      </w:r>
      <w:r w:rsidRPr="00B466F7">
        <w:rPr>
          <w:lang w:val="en-CA"/>
        </w:rPr>
        <w:t>)</w:t>
      </w:r>
    </w:p>
    <w:p w14:paraId="5DEC5F7C" w14:textId="77777777" w:rsidR="008D11CB" w:rsidRPr="00DB5628" w:rsidRDefault="008D11CB" w:rsidP="00B466F7">
      <w:pPr>
        <w:rPr>
          <w:rFonts w:ascii="Calibri" w:hAnsi="Calibri"/>
          <w:lang w:val="en-CA"/>
        </w:rPr>
      </w:pPr>
    </w:p>
    <w:p w14:paraId="5018104E" w14:textId="77777777" w:rsidR="008D11CB" w:rsidRPr="00DB5628" w:rsidRDefault="008D11CB" w:rsidP="00B466F7">
      <w:pPr>
        <w:rPr>
          <w:rFonts w:ascii="Calibri" w:hAnsi="Calibri"/>
          <w:lang w:val="en-CA"/>
        </w:rPr>
      </w:pPr>
      <w:r w:rsidRPr="00DB5628">
        <w:rPr>
          <w:rFonts w:ascii="Calibri" w:hAnsi="Calibri"/>
          <w:lang w:val="en-CA"/>
        </w:rPr>
        <w:t>Part of a good quality education involves students being able to access high quality educational materials that complement their courses. As it stands, students are struggling to afford these materials, with 54% of students in BC reporting having not purchased a required textbook at least once.</w:t>
      </w:r>
      <w:r w:rsidRPr="00DB5628">
        <w:rPr>
          <w:rStyle w:val="FootnoteReference"/>
          <w:rFonts w:ascii="Calibri" w:hAnsi="Calibri"/>
          <w:lang w:val="en-CA"/>
        </w:rPr>
        <w:footnoteReference w:id="15"/>
      </w:r>
      <w:r w:rsidRPr="00DB5628">
        <w:rPr>
          <w:rFonts w:ascii="Calibri" w:hAnsi="Calibri"/>
          <w:lang w:val="en-CA"/>
        </w:rPr>
        <w:t xml:space="preserve"> Open educational resources (OERs) offer a solution to this problem.</w:t>
      </w:r>
    </w:p>
    <w:p w14:paraId="46366EA1" w14:textId="77777777" w:rsidR="008D11CB" w:rsidRPr="00DB5628" w:rsidRDefault="008D11CB" w:rsidP="00B466F7">
      <w:pPr>
        <w:rPr>
          <w:rFonts w:ascii="Calibri" w:hAnsi="Calibri"/>
          <w:b/>
          <w:lang w:val="en-CA"/>
        </w:rPr>
      </w:pPr>
    </w:p>
    <w:p w14:paraId="313EFEB7" w14:textId="77777777" w:rsidR="008D11CB" w:rsidRPr="00DB5628" w:rsidRDefault="008D11CB" w:rsidP="00B466F7">
      <w:pPr>
        <w:rPr>
          <w:rFonts w:ascii="Calibri" w:hAnsi="Calibri"/>
        </w:rPr>
      </w:pPr>
      <w:r w:rsidRPr="00DB5628">
        <w:rPr>
          <w:rFonts w:ascii="Calibri" w:hAnsi="Calibri"/>
          <w:lang w:val="en-CA"/>
        </w:rPr>
        <w:t>OERs are “teaching, learning and research materials in any medium that reside in the public domain or have been released under an open license that permits their free use and re-purposing by others.”</w:t>
      </w:r>
      <w:r w:rsidRPr="00DB5628">
        <w:rPr>
          <w:rFonts w:ascii="Calibri" w:hAnsi="Calibri"/>
          <w:vertAlign w:val="superscript"/>
          <w:lang w:val="en-CA"/>
        </w:rPr>
        <w:footnoteReference w:id="16"/>
      </w:r>
      <w:r w:rsidRPr="00DB5628">
        <w:rPr>
          <w:rFonts w:ascii="Calibri" w:hAnsi="Calibri"/>
          <w:lang w:val="en-CA"/>
        </w:rPr>
        <w:t xml:space="preserve"> For example, OERs could be textbooks, tests, lesson plans, lecture notes, videos, case studies, software or other course tools. Because they are affordable and highly adaptable, this innovative learning tool greatly benefits both students and educators.</w:t>
      </w:r>
    </w:p>
    <w:p w14:paraId="58BE7F5B" w14:textId="77777777" w:rsidR="008D11CB" w:rsidRPr="00DB5628" w:rsidRDefault="008D11CB" w:rsidP="00B466F7">
      <w:pPr>
        <w:rPr>
          <w:rFonts w:ascii="Calibri" w:hAnsi="Calibri"/>
          <w:lang w:val="en-CA"/>
        </w:rPr>
      </w:pPr>
    </w:p>
    <w:p w14:paraId="1F28ADD6" w14:textId="77777777" w:rsidR="008D11CB" w:rsidRPr="00DB5628" w:rsidRDefault="008D11CB" w:rsidP="00B466F7">
      <w:pPr>
        <w:rPr>
          <w:rFonts w:ascii="Calibri" w:hAnsi="Calibri"/>
          <w:lang w:val="en-CA"/>
        </w:rPr>
      </w:pPr>
      <w:r w:rsidRPr="00DB5628">
        <w:rPr>
          <w:rFonts w:ascii="Calibri" w:hAnsi="Calibri"/>
          <w:lang w:val="en-CA"/>
        </w:rPr>
        <w:t>Notably, OERs save students money while supporting student success. In British Columbia (BC), a provincial grant program supporting OERs has helped over 40,000 students save more than $4 million since 2012.</w:t>
      </w:r>
      <w:r w:rsidRPr="00DB5628">
        <w:rPr>
          <w:rFonts w:ascii="Calibri" w:hAnsi="Calibri"/>
          <w:vertAlign w:val="superscript"/>
          <w:lang w:val="en-CA"/>
        </w:rPr>
        <w:footnoteReference w:id="17"/>
      </w:r>
      <w:r w:rsidRPr="00DB5628">
        <w:rPr>
          <w:rFonts w:ascii="Calibri" w:hAnsi="Calibri"/>
          <w:lang w:val="en-CA"/>
        </w:rPr>
        <w:t xml:space="preserve"> This is significant, especially considering that 30% of respondents in a BC survey reported earning a poorer grade in a course because of textbook costs.</w:t>
      </w:r>
      <w:r w:rsidRPr="00DB5628">
        <w:rPr>
          <w:rStyle w:val="FootnoteReference"/>
          <w:rFonts w:ascii="Calibri" w:hAnsi="Calibri"/>
          <w:lang w:val="en-CA"/>
        </w:rPr>
        <w:footnoteReference w:id="18"/>
      </w:r>
      <w:r w:rsidRPr="00DB5628">
        <w:rPr>
          <w:rFonts w:ascii="Calibri" w:hAnsi="Calibri"/>
          <w:lang w:val="en-CA"/>
        </w:rPr>
        <w:t xml:space="preserve"> Therefore, CASA recommends federal action to support the development of OERs which, in turn, will empower producers of Canadian educational content.</w:t>
      </w:r>
    </w:p>
    <w:p w14:paraId="76A1B42B" w14:textId="77777777" w:rsidR="008D11CB" w:rsidRPr="00DB5628" w:rsidRDefault="008D11CB" w:rsidP="00B466F7">
      <w:pPr>
        <w:rPr>
          <w:rFonts w:ascii="Calibri" w:hAnsi="Calibri"/>
          <w:lang w:val="en-CA"/>
        </w:rPr>
      </w:pPr>
    </w:p>
    <w:p w14:paraId="3489D620" w14:textId="23763656" w:rsidR="008D11CB" w:rsidRPr="00DB5628" w:rsidRDefault="008D11CB" w:rsidP="00B466F7">
      <w:pPr>
        <w:rPr>
          <w:rFonts w:ascii="Calibri" w:hAnsi="Calibri"/>
          <w:b/>
          <w:lang w:val="en-CA"/>
        </w:rPr>
      </w:pPr>
      <w:r w:rsidRPr="00DB5628">
        <w:rPr>
          <w:rFonts w:ascii="Calibri" w:hAnsi="Calibri"/>
        </w:rPr>
        <w:t>The federal government should play a role in supporting the development of OERs, as increasing access to varied information sources and learning materials helps more Canadians to obtain a high quality and well-rounded post-secondary education.</w:t>
      </w:r>
      <w:r w:rsidR="00FC79FC">
        <w:rPr>
          <w:rFonts w:ascii="Calibri" w:hAnsi="Calibri"/>
          <w:b/>
          <w:lang w:val="en-CA"/>
        </w:rPr>
        <w:br/>
      </w:r>
    </w:p>
    <w:p w14:paraId="3973BDFA" w14:textId="46F01D01" w:rsidR="008D11CB" w:rsidRPr="00DB5628" w:rsidRDefault="008D11CB" w:rsidP="00B466F7">
      <w:pPr>
        <w:rPr>
          <w:rFonts w:ascii="Calibri" w:hAnsi="Calibri"/>
          <w:b/>
          <w:lang w:val="en-CA"/>
        </w:rPr>
      </w:pPr>
      <w:r w:rsidRPr="00DB5628">
        <w:rPr>
          <w:rFonts w:ascii="Calibri" w:hAnsi="Calibri"/>
          <w:b/>
          <w:lang w:val="en-CA"/>
        </w:rPr>
        <w:t>R</w:t>
      </w:r>
      <w:r w:rsidR="007E562F" w:rsidRPr="00DB5628">
        <w:rPr>
          <w:rFonts w:ascii="Calibri" w:hAnsi="Calibri"/>
          <w:b/>
          <w:lang w:val="en-CA"/>
        </w:rPr>
        <w:t>ecommendation</w:t>
      </w:r>
      <w:r w:rsidR="00B466F7">
        <w:rPr>
          <w:rFonts w:ascii="Calibri" w:hAnsi="Calibri"/>
          <w:b/>
          <w:lang w:val="en-CA"/>
        </w:rPr>
        <w:t>s</w:t>
      </w:r>
      <w:r w:rsidRPr="00DB5628">
        <w:rPr>
          <w:rFonts w:ascii="Calibri" w:hAnsi="Calibri"/>
          <w:b/>
          <w:lang w:val="en-CA"/>
        </w:rPr>
        <w:t>:</w:t>
      </w:r>
      <w:r w:rsidRPr="00DB5628">
        <w:rPr>
          <w:rFonts w:ascii="Calibri" w:hAnsi="Calibri"/>
          <w:b/>
          <w:lang w:val="en-CA"/>
        </w:rPr>
        <w:tab/>
      </w:r>
    </w:p>
    <w:p w14:paraId="284BEB6D" w14:textId="77777777" w:rsidR="008D11CB" w:rsidRPr="00DB5628" w:rsidRDefault="008D11CB" w:rsidP="00B466F7">
      <w:pPr>
        <w:rPr>
          <w:rFonts w:ascii="Calibri" w:hAnsi="Calibri"/>
          <w:b/>
          <w:lang w:val="en-CA"/>
        </w:rPr>
      </w:pPr>
      <w:r w:rsidRPr="00DB5628">
        <w:rPr>
          <w:rFonts w:ascii="Calibri" w:hAnsi="Calibri"/>
          <w:b/>
          <w:lang w:val="en-CA"/>
        </w:rPr>
        <w:t>CASA recommends that the Tri-Agencies create a pilot grant, at an estimated cost of $8 million annually, that provides funding for graduate students and faculty to develop OERs. CASA is also recommending the Tri-Agencies explore creating an online repository of OERs developed with support from their grant.</w:t>
      </w:r>
    </w:p>
    <w:p w14:paraId="7D45D840" w14:textId="77777777" w:rsidR="00E40D29" w:rsidRPr="00DB5628" w:rsidRDefault="00E40D29" w:rsidP="00B466F7">
      <w:pPr>
        <w:rPr>
          <w:rFonts w:ascii="Calibri" w:hAnsi="Calibri"/>
          <w:b/>
          <w:lang w:val="en-CA"/>
        </w:rPr>
      </w:pPr>
    </w:p>
    <w:p w14:paraId="7B85FA65" w14:textId="77777777" w:rsidR="00E40D29" w:rsidRDefault="00E40D29" w:rsidP="008D11CB">
      <w:pPr>
        <w:jc w:val="both"/>
        <w:rPr>
          <w:rFonts w:ascii="Calibri" w:hAnsi="Calibri"/>
          <w:b/>
          <w:lang w:val="en-CA"/>
        </w:rPr>
      </w:pPr>
    </w:p>
    <w:p w14:paraId="28AF529F" w14:textId="77777777" w:rsidR="00B466F7" w:rsidRPr="00DB5628" w:rsidRDefault="00B466F7" w:rsidP="008D11CB">
      <w:pPr>
        <w:jc w:val="both"/>
        <w:rPr>
          <w:rFonts w:ascii="Calibri" w:hAnsi="Calibri"/>
          <w:b/>
          <w:lang w:val="en-CA"/>
        </w:rPr>
      </w:pPr>
    </w:p>
    <w:p w14:paraId="5DE3EB4D" w14:textId="77777777" w:rsidR="00E40D29" w:rsidRPr="00DB5628" w:rsidRDefault="00E40D29" w:rsidP="008D11CB">
      <w:pPr>
        <w:jc w:val="both"/>
        <w:rPr>
          <w:rFonts w:ascii="Calibri" w:hAnsi="Calibri"/>
          <w:b/>
          <w:lang w:val="en-CA"/>
        </w:rPr>
      </w:pPr>
    </w:p>
    <w:p w14:paraId="0F528B4D" w14:textId="77777777" w:rsidR="00EB75FD" w:rsidRDefault="00EB75FD" w:rsidP="008D11CB">
      <w:pPr>
        <w:jc w:val="both"/>
        <w:rPr>
          <w:rFonts w:ascii="Calibri" w:hAnsi="Calibri"/>
          <w:b/>
          <w:lang w:val="en-CA"/>
        </w:rPr>
      </w:pPr>
    </w:p>
    <w:p w14:paraId="090F55D7" w14:textId="77777777" w:rsidR="00FC79FC" w:rsidRPr="00DB5628" w:rsidRDefault="00FC79FC" w:rsidP="008D11CB">
      <w:pPr>
        <w:jc w:val="both"/>
        <w:rPr>
          <w:rFonts w:ascii="Calibri" w:hAnsi="Calibri"/>
          <w:b/>
          <w:lang w:val="en-CA"/>
        </w:rPr>
      </w:pPr>
    </w:p>
    <w:p w14:paraId="6CB6C79C" w14:textId="022AEC6D" w:rsidR="00EB75FD" w:rsidRPr="00B466F7" w:rsidRDefault="00F236EA" w:rsidP="00AA50E2">
      <w:pPr>
        <w:pStyle w:val="Heading3"/>
        <w:rPr>
          <w:lang w:val="en-CA"/>
        </w:rPr>
      </w:pPr>
      <w:r w:rsidRPr="00B466F7">
        <w:rPr>
          <w:lang w:val="en-CA"/>
        </w:rPr>
        <w:t>Summary of Recommendations</w:t>
      </w:r>
    </w:p>
    <w:p w14:paraId="3E4820D6" w14:textId="77777777" w:rsidR="00B466F7" w:rsidRDefault="00B466F7" w:rsidP="00B466F7">
      <w:pPr>
        <w:pStyle w:val="ListParagraph"/>
        <w:ind w:left="360"/>
        <w:rPr>
          <w:rFonts w:ascii="Calibri" w:hAnsi="Calibri"/>
          <w:b/>
          <w:lang w:val="en-CA"/>
        </w:rPr>
      </w:pPr>
    </w:p>
    <w:p w14:paraId="6A337AFA" w14:textId="77777777" w:rsidR="0015005F" w:rsidRDefault="0015005F" w:rsidP="0015005F">
      <w:pPr>
        <w:pStyle w:val="ListParagraph"/>
        <w:numPr>
          <w:ilvl w:val="0"/>
          <w:numId w:val="3"/>
        </w:numPr>
        <w:rPr>
          <w:rFonts w:ascii="Calibri" w:hAnsi="Calibri"/>
          <w:b/>
          <w:lang w:val="en-CA"/>
        </w:rPr>
      </w:pPr>
      <w:r w:rsidRPr="00DB5628">
        <w:rPr>
          <w:rFonts w:ascii="Calibri" w:hAnsi="Calibri"/>
          <w:b/>
          <w:lang w:val="en-CA"/>
        </w:rPr>
        <w:t>CASA recommends the federal government increase the Canada Student Grant for Students with Permanent Disabilities by 50%, at an estimated additional cost of $43 million. CASA further recommends the CSLP undertake an official review of its definition of “permanent disabilities,” to ensure that it meets the diverse needs of students.</w:t>
      </w:r>
    </w:p>
    <w:p w14:paraId="47CB500B" w14:textId="77777777" w:rsidR="006A7F31" w:rsidRPr="006A7F31" w:rsidRDefault="006A7F31" w:rsidP="006A7F31">
      <w:pPr>
        <w:rPr>
          <w:rFonts w:ascii="Calibri" w:hAnsi="Calibri"/>
          <w:b/>
          <w:lang w:val="en-CA"/>
        </w:rPr>
      </w:pPr>
    </w:p>
    <w:p w14:paraId="49B4074C" w14:textId="057F38F6" w:rsidR="006A7F31" w:rsidRPr="006A7F31" w:rsidRDefault="00F236EA" w:rsidP="006A7F31">
      <w:pPr>
        <w:pStyle w:val="ListParagraph"/>
        <w:numPr>
          <w:ilvl w:val="0"/>
          <w:numId w:val="3"/>
        </w:numPr>
        <w:rPr>
          <w:rFonts w:ascii="Calibri" w:hAnsi="Calibri"/>
          <w:lang w:val="en-CA"/>
        </w:rPr>
      </w:pPr>
      <w:r w:rsidRPr="00DB5628">
        <w:rPr>
          <w:rFonts w:ascii="Calibri" w:hAnsi="Calibri"/>
          <w:b/>
          <w:lang w:val="en-CA"/>
        </w:rPr>
        <w:t>CASA recommends the federal government create an up-front, non-repayable Canada Student Grant for graduate students with financial need at an estimated cost of $58 million per year.</w:t>
      </w:r>
    </w:p>
    <w:p w14:paraId="1E80AE86" w14:textId="77777777" w:rsidR="006A7F31" w:rsidRPr="006A7F31" w:rsidRDefault="006A7F31" w:rsidP="006A7F31">
      <w:pPr>
        <w:rPr>
          <w:rFonts w:ascii="Calibri" w:hAnsi="Calibri"/>
          <w:lang w:val="en-CA"/>
        </w:rPr>
      </w:pPr>
    </w:p>
    <w:p w14:paraId="11204818" w14:textId="77777777" w:rsidR="00F236EA" w:rsidRDefault="00F236EA" w:rsidP="00F236EA">
      <w:pPr>
        <w:pStyle w:val="ListParagraph"/>
        <w:numPr>
          <w:ilvl w:val="0"/>
          <w:numId w:val="3"/>
        </w:numPr>
        <w:jc w:val="both"/>
        <w:rPr>
          <w:rFonts w:ascii="Calibri" w:hAnsi="Calibri"/>
          <w:b/>
          <w:lang w:val="en-CA"/>
        </w:rPr>
      </w:pPr>
      <w:r w:rsidRPr="00DB5628">
        <w:rPr>
          <w:rFonts w:ascii="Calibri" w:hAnsi="Calibri"/>
          <w:b/>
          <w:lang w:val="en-CA"/>
        </w:rPr>
        <w:t xml:space="preserve">CASA recommends the federal government allow international students to do an internship or co-op under their study permit rather than requiring them to get a separate co-op or intern work permit. </w:t>
      </w:r>
    </w:p>
    <w:p w14:paraId="2BE047D7" w14:textId="77777777" w:rsidR="006A7F31" w:rsidRPr="006A7F31" w:rsidRDefault="006A7F31" w:rsidP="006A7F31">
      <w:pPr>
        <w:jc w:val="both"/>
        <w:rPr>
          <w:rFonts w:ascii="Calibri" w:hAnsi="Calibri"/>
          <w:b/>
          <w:lang w:val="en-CA"/>
        </w:rPr>
      </w:pPr>
    </w:p>
    <w:p w14:paraId="615BA417" w14:textId="38EC1CE7" w:rsidR="006A7F31" w:rsidRPr="006A7F31" w:rsidRDefault="00F236EA" w:rsidP="006A7F31">
      <w:pPr>
        <w:pStyle w:val="ListParagraph"/>
        <w:numPr>
          <w:ilvl w:val="0"/>
          <w:numId w:val="3"/>
        </w:numPr>
        <w:rPr>
          <w:rFonts w:ascii="Calibri" w:hAnsi="Calibri"/>
          <w:lang w:val="en-CA"/>
        </w:rPr>
      </w:pPr>
      <w:r w:rsidRPr="00DB5628">
        <w:rPr>
          <w:rFonts w:ascii="Calibri" w:hAnsi="Calibri"/>
          <w:b/>
          <w:lang w:val="en-CA"/>
        </w:rPr>
        <w:t>CASA recommends that the per-student expenditure for PSSSP be increased from $13,407 to $17,307 for 18,261 current and 36,901 eligible students, for a total PSSSP budget increase of $2.1 billion over three years.</w:t>
      </w:r>
    </w:p>
    <w:p w14:paraId="1BD1F974" w14:textId="77777777" w:rsidR="006A7F31" w:rsidRPr="006A7F31" w:rsidRDefault="006A7F31" w:rsidP="006A7F31">
      <w:pPr>
        <w:rPr>
          <w:rFonts w:ascii="Calibri" w:hAnsi="Calibri"/>
          <w:lang w:val="en-CA"/>
        </w:rPr>
      </w:pPr>
    </w:p>
    <w:p w14:paraId="1B1894F6" w14:textId="529F2480" w:rsidR="00F236EA" w:rsidRDefault="00F236EA" w:rsidP="00F236EA">
      <w:pPr>
        <w:numPr>
          <w:ilvl w:val="0"/>
          <w:numId w:val="3"/>
        </w:numPr>
        <w:rPr>
          <w:rFonts w:ascii="Calibri" w:hAnsi="Calibri"/>
          <w:b/>
          <w:lang w:val="en-CA"/>
        </w:rPr>
      </w:pPr>
      <w:r w:rsidRPr="00DB5628">
        <w:rPr>
          <w:rFonts w:ascii="Calibri" w:hAnsi="Calibri"/>
          <w:b/>
          <w:lang w:val="en-CA"/>
        </w:rPr>
        <w:t xml:space="preserve">CASA </w:t>
      </w:r>
      <w:r w:rsidR="00B466F7">
        <w:rPr>
          <w:rFonts w:ascii="Calibri" w:hAnsi="Calibri"/>
          <w:b/>
          <w:lang w:val="en-CA"/>
        </w:rPr>
        <w:t>and the Quebec Student Union recommend</w:t>
      </w:r>
      <w:r w:rsidRPr="00DB5628">
        <w:rPr>
          <w:rFonts w:ascii="Calibri" w:hAnsi="Calibri"/>
          <w:b/>
          <w:lang w:val="en-CA"/>
        </w:rPr>
        <w:t xml:space="preserve"> preserving education as a component of fair dealing under the </w:t>
      </w:r>
      <w:r w:rsidRPr="00DB5628">
        <w:rPr>
          <w:rFonts w:ascii="Calibri" w:hAnsi="Calibri"/>
          <w:b/>
          <w:i/>
          <w:lang w:val="en-CA"/>
        </w:rPr>
        <w:t>Copyright Act,</w:t>
      </w:r>
      <w:r w:rsidRPr="00DB5628">
        <w:rPr>
          <w:rFonts w:ascii="Calibri" w:hAnsi="Calibri"/>
          <w:b/>
          <w:lang w:val="en-CA"/>
        </w:rPr>
        <w:t xml:space="preserve"> and preserving the existing exceptions to copyright infringement for educational institutions.</w:t>
      </w:r>
    </w:p>
    <w:p w14:paraId="5076B60F" w14:textId="77777777" w:rsidR="006A7F31" w:rsidRPr="00DB5628" w:rsidRDefault="006A7F31" w:rsidP="006A7F31">
      <w:pPr>
        <w:rPr>
          <w:rFonts w:ascii="Calibri" w:hAnsi="Calibri"/>
          <w:b/>
          <w:lang w:val="en-CA"/>
        </w:rPr>
      </w:pPr>
    </w:p>
    <w:p w14:paraId="411A3175" w14:textId="0E1A1D06" w:rsidR="00EB75FD" w:rsidRPr="00DB5628" w:rsidRDefault="00F236EA" w:rsidP="00F236EA">
      <w:pPr>
        <w:pStyle w:val="ListParagraph"/>
        <w:numPr>
          <w:ilvl w:val="0"/>
          <w:numId w:val="3"/>
        </w:numPr>
        <w:jc w:val="both"/>
        <w:rPr>
          <w:rFonts w:ascii="Calibri" w:hAnsi="Calibri"/>
          <w:b/>
          <w:lang w:val="en-CA"/>
        </w:rPr>
      </w:pPr>
      <w:r w:rsidRPr="00DB5628">
        <w:rPr>
          <w:rFonts w:ascii="Calibri" w:hAnsi="Calibri"/>
          <w:b/>
          <w:lang w:val="en-CA"/>
        </w:rPr>
        <w:t>CASA recommends that the Tri-Agencies create a pilot grant, at an estimated cost of $8 million annually, that provides funding for graduate students and faculty to develop OERs. CASA is also recommending the Tri-Agencies explore creating an online repository of OERs developed with support from their grant.</w:t>
      </w:r>
    </w:p>
    <w:p w14:paraId="039372A4" w14:textId="77777777" w:rsidR="008D11CB" w:rsidRPr="00DB5628" w:rsidRDefault="008D11CB">
      <w:pPr>
        <w:rPr>
          <w:rFonts w:ascii="Calibri" w:hAnsi="Calibri"/>
          <w:lang w:val="en-CA"/>
        </w:rPr>
      </w:pPr>
    </w:p>
    <w:p w14:paraId="5C1133BD" w14:textId="77777777" w:rsidR="00EF2A4F" w:rsidRPr="00DB5628" w:rsidRDefault="00EF2A4F">
      <w:pPr>
        <w:rPr>
          <w:rFonts w:ascii="Calibri" w:hAnsi="Calibri"/>
          <w:lang w:val="en-CA"/>
        </w:rPr>
      </w:pPr>
    </w:p>
    <w:p w14:paraId="1AFAC436" w14:textId="77777777" w:rsidR="00EF2A4F" w:rsidRPr="00DB5628" w:rsidRDefault="00EF2A4F">
      <w:pPr>
        <w:rPr>
          <w:rFonts w:ascii="Calibri" w:hAnsi="Calibri"/>
          <w:lang w:val="en-CA"/>
        </w:rPr>
      </w:pPr>
    </w:p>
    <w:p w14:paraId="170739FF" w14:textId="77777777" w:rsidR="00EF2A4F" w:rsidRPr="00DB5628" w:rsidRDefault="00EF2A4F">
      <w:pPr>
        <w:rPr>
          <w:rFonts w:ascii="Calibri" w:hAnsi="Calibri"/>
          <w:lang w:val="en-CA"/>
        </w:rPr>
      </w:pPr>
    </w:p>
    <w:p w14:paraId="0BC6D77F" w14:textId="77777777" w:rsidR="00E40D29" w:rsidRPr="00DB5628" w:rsidRDefault="00E40D29">
      <w:pPr>
        <w:rPr>
          <w:rFonts w:ascii="Calibri" w:hAnsi="Calibri"/>
          <w:lang w:val="en-CA"/>
        </w:rPr>
      </w:pPr>
    </w:p>
    <w:p w14:paraId="6645D38A" w14:textId="77777777" w:rsidR="00E40D29" w:rsidRPr="00DB5628" w:rsidRDefault="00E40D29">
      <w:pPr>
        <w:rPr>
          <w:rFonts w:ascii="Calibri" w:hAnsi="Calibri"/>
          <w:lang w:val="en-CA"/>
        </w:rPr>
      </w:pPr>
    </w:p>
    <w:p w14:paraId="1FD13C03" w14:textId="77777777" w:rsidR="00E40D29" w:rsidRPr="00DB5628" w:rsidRDefault="00E40D29">
      <w:pPr>
        <w:rPr>
          <w:rFonts w:ascii="Calibri" w:hAnsi="Calibri"/>
          <w:lang w:val="en-CA"/>
        </w:rPr>
      </w:pPr>
    </w:p>
    <w:p w14:paraId="38F801A0" w14:textId="77777777" w:rsidR="00E40D29" w:rsidRPr="00DB5628" w:rsidRDefault="00E40D29">
      <w:pPr>
        <w:rPr>
          <w:rFonts w:ascii="Calibri" w:hAnsi="Calibri"/>
          <w:lang w:val="en-CA"/>
        </w:rPr>
      </w:pPr>
    </w:p>
    <w:p w14:paraId="1D633C5B" w14:textId="77777777" w:rsidR="00E40D29" w:rsidRPr="00DB5628" w:rsidRDefault="00E40D29">
      <w:pPr>
        <w:rPr>
          <w:rFonts w:ascii="Calibri" w:hAnsi="Calibri"/>
          <w:lang w:val="en-CA"/>
        </w:rPr>
      </w:pPr>
    </w:p>
    <w:p w14:paraId="030F31C0" w14:textId="77777777" w:rsidR="00E40D29" w:rsidRPr="00DB5628" w:rsidRDefault="00E40D29">
      <w:pPr>
        <w:rPr>
          <w:rFonts w:ascii="Calibri" w:hAnsi="Calibri"/>
          <w:lang w:val="en-CA"/>
        </w:rPr>
      </w:pPr>
    </w:p>
    <w:p w14:paraId="78F4392F" w14:textId="77777777" w:rsidR="00E40D29" w:rsidRPr="00DB5628" w:rsidRDefault="00E40D29">
      <w:pPr>
        <w:rPr>
          <w:rFonts w:ascii="Calibri" w:hAnsi="Calibri"/>
          <w:lang w:val="en-CA"/>
        </w:rPr>
      </w:pPr>
    </w:p>
    <w:p w14:paraId="4C42C73F" w14:textId="77777777" w:rsidR="00E40D29" w:rsidRPr="00DB5628" w:rsidRDefault="00E40D29">
      <w:pPr>
        <w:rPr>
          <w:rFonts w:ascii="Calibri" w:hAnsi="Calibri"/>
          <w:lang w:val="en-CA"/>
        </w:rPr>
      </w:pPr>
    </w:p>
    <w:p w14:paraId="38E2A084" w14:textId="77777777" w:rsidR="00E40D29" w:rsidRPr="00DB5628" w:rsidRDefault="00E40D29">
      <w:pPr>
        <w:rPr>
          <w:rFonts w:ascii="Calibri" w:hAnsi="Calibri"/>
          <w:lang w:val="en-CA"/>
        </w:rPr>
      </w:pPr>
    </w:p>
    <w:p w14:paraId="6934BF9E" w14:textId="77777777" w:rsidR="00E40D29" w:rsidRPr="00DB5628" w:rsidRDefault="00E40D29">
      <w:pPr>
        <w:rPr>
          <w:rFonts w:ascii="Calibri" w:hAnsi="Calibri"/>
          <w:lang w:val="en-CA"/>
        </w:rPr>
      </w:pPr>
    </w:p>
    <w:p w14:paraId="27A7FE2C" w14:textId="77777777" w:rsidR="00E40D29" w:rsidRPr="00DB5628" w:rsidRDefault="00E40D29">
      <w:pPr>
        <w:rPr>
          <w:rFonts w:ascii="Calibri" w:hAnsi="Calibri"/>
          <w:lang w:val="en-CA"/>
        </w:rPr>
      </w:pPr>
    </w:p>
    <w:p w14:paraId="4AB08D55" w14:textId="77777777" w:rsidR="00892FC9" w:rsidRPr="00DB5628" w:rsidRDefault="00892FC9">
      <w:pPr>
        <w:rPr>
          <w:rFonts w:ascii="Calibri" w:hAnsi="Calibri"/>
          <w:lang w:val="en-CA"/>
        </w:rPr>
      </w:pPr>
    </w:p>
    <w:p w14:paraId="722AC36D" w14:textId="22BD7FD6" w:rsidR="00892FC9" w:rsidRPr="00B466F7" w:rsidRDefault="00B466F7" w:rsidP="00AA50E2">
      <w:pPr>
        <w:pStyle w:val="Heading3"/>
        <w:rPr>
          <w:lang w:val="en-CA"/>
        </w:rPr>
      </w:pPr>
      <w:r w:rsidRPr="00B466F7">
        <w:rPr>
          <w:lang w:val="en-CA"/>
        </w:rPr>
        <w:t>CASA’s</w:t>
      </w:r>
      <w:r w:rsidR="00892FC9" w:rsidRPr="00B466F7">
        <w:rPr>
          <w:lang w:val="en-CA"/>
        </w:rPr>
        <w:t xml:space="preserve"> Mem</w:t>
      </w:r>
      <w:bookmarkStart w:id="0" w:name="_GoBack"/>
      <w:bookmarkEnd w:id="0"/>
      <w:r w:rsidR="00892FC9" w:rsidRPr="00B466F7">
        <w:rPr>
          <w:lang w:val="en-CA"/>
        </w:rPr>
        <w:t>bers</w:t>
      </w:r>
    </w:p>
    <w:p w14:paraId="5ADE08CF" w14:textId="77777777" w:rsidR="00B466F7" w:rsidRDefault="00B466F7">
      <w:pPr>
        <w:rPr>
          <w:rFonts w:ascii="Calibri" w:hAnsi="Calibri"/>
          <w:lang w:val="en-CA"/>
        </w:rPr>
      </w:pPr>
    </w:p>
    <w:p w14:paraId="1304E5C3" w14:textId="29C18E92" w:rsidR="00B466F7" w:rsidRDefault="00B466F7">
      <w:pPr>
        <w:rPr>
          <w:rFonts w:ascii="Calibri" w:hAnsi="Calibri"/>
          <w:lang w:val="en-CA"/>
        </w:rPr>
      </w:pPr>
      <w:r>
        <w:rPr>
          <w:rFonts w:ascii="Calibri" w:hAnsi="Calibri"/>
          <w:lang w:val="en-CA"/>
        </w:rPr>
        <w:t>Acadia Students' Union</w:t>
      </w:r>
    </w:p>
    <w:p w14:paraId="0F64D163" w14:textId="5C978BB4" w:rsidR="00B466F7" w:rsidRDefault="00B466F7">
      <w:pPr>
        <w:rPr>
          <w:rFonts w:ascii="Calibri" w:hAnsi="Calibri"/>
          <w:lang w:val="en-CA"/>
        </w:rPr>
      </w:pPr>
      <w:r>
        <w:rPr>
          <w:rFonts w:ascii="Calibri" w:hAnsi="Calibri"/>
          <w:lang w:val="en-CA"/>
        </w:rPr>
        <w:t>Athabasca University Graduate Students’ Association</w:t>
      </w:r>
    </w:p>
    <w:p w14:paraId="02DC683D" w14:textId="4B57AC5C" w:rsidR="00B466F7" w:rsidRDefault="00B466F7">
      <w:pPr>
        <w:rPr>
          <w:rFonts w:ascii="Calibri" w:hAnsi="Calibri"/>
          <w:lang w:val="en-CA"/>
        </w:rPr>
      </w:pPr>
      <w:r>
        <w:rPr>
          <w:rFonts w:ascii="Calibri" w:hAnsi="Calibri"/>
          <w:lang w:val="en-CA"/>
        </w:rPr>
        <w:t>Athabasca University Students’ Union</w:t>
      </w:r>
    </w:p>
    <w:p w14:paraId="0D031C0C" w14:textId="1BF70678" w:rsidR="00B466F7" w:rsidRDefault="00B466F7">
      <w:pPr>
        <w:rPr>
          <w:rFonts w:ascii="Calibri" w:hAnsi="Calibri"/>
          <w:lang w:val="en-CA"/>
        </w:rPr>
      </w:pPr>
      <w:r>
        <w:rPr>
          <w:rFonts w:ascii="Calibri" w:hAnsi="Calibri"/>
          <w:lang w:val="en-CA"/>
        </w:rPr>
        <w:t>Brock University Students’ Union</w:t>
      </w:r>
    </w:p>
    <w:p w14:paraId="0D3095FF" w14:textId="6DF6FFEB" w:rsidR="00B466F7" w:rsidRDefault="00B466F7">
      <w:pPr>
        <w:rPr>
          <w:rFonts w:ascii="Calibri" w:hAnsi="Calibri"/>
          <w:lang w:val="en-CA"/>
        </w:rPr>
      </w:pPr>
      <w:proofErr w:type="spellStart"/>
      <w:r>
        <w:rPr>
          <w:rFonts w:ascii="Calibri" w:hAnsi="Calibri"/>
          <w:lang w:val="en-CA"/>
        </w:rPr>
        <w:t>Capilano</w:t>
      </w:r>
      <w:proofErr w:type="spellEnd"/>
      <w:r>
        <w:rPr>
          <w:rFonts w:ascii="Calibri" w:hAnsi="Calibri"/>
          <w:lang w:val="en-CA"/>
        </w:rPr>
        <w:t xml:space="preserve"> Students’ Union</w:t>
      </w:r>
    </w:p>
    <w:p w14:paraId="365174B4" w14:textId="153034AB" w:rsidR="00B466F7" w:rsidRDefault="00B466F7">
      <w:pPr>
        <w:rPr>
          <w:rFonts w:ascii="Calibri" w:hAnsi="Calibri"/>
          <w:lang w:val="en-CA"/>
        </w:rPr>
      </w:pPr>
      <w:r>
        <w:rPr>
          <w:rFonts w:ascii="Calibri" w:hAnsi="Calibri"/>
          <w:lang w:val="en-CA"/>
        </w:rPr>
        <w:t>Graduate Student Association, University of Waterloo</w:t>
      </w:r>
    </w:p>
    <w:p w14:paraId="37C4D51B" w14:textId="62971C40" w:rsidR="00B466F7" w:rsidRDefault="00B466F7">
      <w:pPr>
        <w:rPr>
          <w:rFonts w:ascii="Calibri" w:hAnsi="Calibri"/>
          <w:lang w:val="en-CA"/>
        </w:rPr>
      </w:pPr>
      <w:r>
        <w:rPr>
          <w:rFonts w:ascii="Calibri" w:hAnsi="Calibri"/>
          <w:lang w:val="en-CA"/>
        </w:rPr>
        <w:t>Graduate Student Society, UBC Vancouver</w:t>
      </w:r>
    </w:p>
    <w:p w14:paraId="2EBB4D74" w14:textId="18081641" w:rsidR="00B466F7" w:rsidRDefault="00B466F7">
      <w:pPr>
        <w:rPr>
          <w:rFonts w:ascii="Calibri" w:hAnsi="Calibri"/>
          <w:lang w:val="en-CA"/>
        </w:rPr>
      </w:pPr>
      <w:r>
        <w:rPr>
          <w:rFonts w:ascii="Calibri" w:hAnsi="Calibri"/>
          <w:lang w:val="en-CA"/>
        </w:rPr>
        <w:t>Mount Allison Students’ Union</w:t>
      </w:r>
    </w:p>
    <w:p w14:paraId="0DA1ECDA" w14:textId="27DD19EE" w:rsidR="00B466F7" w:rsidRDefault="00B466F7">
      <w:pPr>
        <w:rPr>
          <w:rFonts w:ascii="Calibri" w:hAnsi="Calibri"/>
          <w:lang w:val="en-CA"/>
        </w:rPr>
      </w:pPr>
      <w:r>
        <w:rPr>
          <w:rFonts w:ascii="Calibri" w:hAnsi="Calibri"/>
          <w:lang w:val="en-CA"/>
        </w:rPr>
        <w:t>Red River College Students’ Association</w:t>
      </w:r>
    </w:p>
    <w:p w14:paraId="2DC98AC3" w14:textId="0D8D4008" w:rsidR="00B466F7" w:rsidRDefault="00B466F7">
      <w:pPr>
        <w:rPr>
          <w:rFonts w:ascii="Calibri" w:hAnsi="Calibri"/>
          <w:lang w:val="en-CA"/>
        </w:rPr>
      </w:pPr>
      <w:r>
        <w:rPr>
          <w:rFonts w:ascii="Calibri" w:hAnsi="Calibri"/>
          <w:lang w:val="en-CA"/>
        </w:rPr>
        <w:t>Saint Mary’s University Students’ Association</w:t>
      </w:r>
    </w:p>
    <w:p w14:paraId="6A7B0C21" w14:textId="1B4A9DD7" w:rsidR="00B466F7" w:rsidRDefault="00B466F7">
      <w:pPr>
        <w:rPr>
          <w:rFonts w:ascii="Calibri" w:hAnsi="Calibri"/>
          <w:lang w:val="en-CA"/>
        </w:rPr>
      </w:pPr>
      <w:r>
        <w:rPr>
          <w:rFonts w:ascii="Calibri" w:hAnsi="Calibri"/>
          <w:lang w:val="en-CA"/>
        </w:rPr>
        <w:t>Southern Alberta Institute of Technology Students’ Association</w:t>
      </w:r>
    </w:p>
    <w:p w14:paraId="5167EF0D" w14:textId="12300E2B" w:rsidR="00B466F7" w:rsidRDefault="00B466F7">
      <w:pPr>
        <w:rPr>
          <w:rFonts w:ascii="Calibri" w:hAnsi="Calibri"/>
          <w:lang w:val="en-CA"/>
        </w:rPr>
      </w:pPr>
      <w:proofErr w:type="spellStart"/>
      <w:r>
        <w:rPr>
          <w:rFonts w:ascii="Calibri" w:hAnsi="Calibri"/>
          <w:lang w:val="en-CA"/>
        </w:rPr>
        <w:t>StFX</w:t>
      </w:r>
      <w:proofErr w:type="spellEnd"/>
      <w:r>
        <w:rPr>
          <w:rFonts w:ascii="Calibri" w:hAnsi="Calibri"/>
          <w:lang w:val="en-CA"/>
        </w:rPr>
        <w:t xml:space="preserve"> Students’ Union</w:t>
      </w:r>
    </w:p>
    <w:p w14:paraId="0B4932D7" w14:textId="50F68645" w:rsidR="00B466F7" w:rsidRDefault="00B466F7">
      <w:pPr>
        <w:rPr>
          <w:rFonts w:ascii="Calibri" w:hAnsi="Calibri"/>
          <w:lang w:val="en-CA"/>
        </w:rPr>
      </w:pPr>
      <w:r>
        <w:rPr>
          <w:rFonts w:ascii="Calibri" w:hAnsi="Calibri"/>
          <w:lang w:val="en-CA"/>
        </w:rPr>
        <w:t>St. Thomas University Students’ Union</w:t>
      </w:r>
    </w:p>
    <w:p w14:paraId="16FF0885" w14:textId="25F15866" w:rsidR="00B466F7" w:rsidRDefault="00B466F7">
      <w:pPr>
        <w:rPr>
          <w:rFonts w:ascii="Calibri" w:hAnsi="Calibri"/>
          <w:lang w:val="en-CA"/>
        </w:rPr>
      </w:pPr>
      <w:r>
        <w:rPr>
          <w:rFonts w:ascii="Calibri" w:hAnsi="Calibri"/>
          <w:lang w:val="en-CA"/>
        </w:rPr>
        <w:t>Students’ Association of Mount Royal University</w:t>
      </w:r>
    </w:p>
    <w:p w14:paraId="3A0D292C" w14:textId="4F42B618" w:rsidR="00B466F7" w:rsidRDefault="00B466F7">
      <w:pPr>
        <w:rPr>
          <w:rFonts w:ascii="Calibri" w:hAnsi="Calibri"/>
          <w:lang w:val="en-CA"/>
        </w:rPr>
      </w:pPr>
      <w:r>
        <w:rPr>
          <w:rFonts w:ascii="Calibri" w:hAnsi="Calibri"/>
          <w:lang w:val="en-CA"/>
        </w:rPr>
        <w:t xml:space="preserve">Students’ Association of </w:t>
      </w:r>
      <w:proofErr w:type="spellStart"/>
      <w:r>
        <w:rPr>
          <w:rFonts w:ascii="Calibri" w:hAnsi="Calibri"/>
          <w:lang w:val="en-CA"/>
        </w:rPr>
        <w:t>MacEwan</w:t>
      </w:r>
      <w:proofErr w:type="spellEnd"/>
      <w:r>
        <w:rPr>
          <w:rFonts w:ascii="Calibri" w:hAnsi="Calibri"/>
          <w:lang w:val="en-CA"/>
        </w:rPr>
        <w:t xml:space="preserve"> University</w:t>
      </w:r>
    </w:p>
    <w:p w14:paraId="4059C761" w14:textId="73C3AB4F" w:rsidR="00B466F7" w:rsidRDefault="00B466F7">
      <w:pPr>
        <w:rPr>
          <w:rFonts w:ascii="Calibri" w:hAnsi="Calibri"/>
          <w:lang w:val="en-CA"/>
        </w:rPr>
      </w:pPr>
      <w:r>
        <w:rPr>
          <w:rFonts w:ascii="Calibri" w:hAnsi="Calibri"/>
          <w:lang w:val="en-CA"/>
        </w:rPr>
        <w:t>University of Alberta Students’ Union</w:t>
      </w:r>
    </w:p>
    <w:p w14:paraId="29A32B5F" w14:textId="00312936" w:rsidR="00B466F7" w:rsidRDefault="00B466F7">
      <w:pPr>
        <w:rPr>
          <w:rFonts w:ascii="Calibri" w:hAnsi="Calibri"/>
          <w:lang w:val="en-CA"/>
        </w:rPr>
      </w:pPr>
      <w:r>
        <w:rPr>
          <w:rFonts w:ascii="Calibri" w:hAnsi="Calibri"/>
          <w:lang w:val="en-CA"/>
        </w:rPr>
        <w:t>Students’ Union, University of Calgary</w:t>
      </w:r>
    </w:p>
    <w:p w14:paraId="7A5DEBEF" w14:textId="0E623203" w:rsidR="00B466F7" w:rsidRDefault="00B466F7">
      <w:pPr>
        <w:rPr>
          <w:rFonts w:ascii="Calibri" w:hAnsi="Calibri"/>
          <w:lang w:val="en-CA"/>
        </w:rPr>
      </w:pPr>
      <w:r>
        <w:rPr>
          <w:rFonts w:ascii="Calibri" w:hAnsi="Calibri"/>
          <w:lang w:val="en-CA"/>
        </w:rPr>
        <w:t>University of Lethbridge Students’ Union</w:t>
      </w:r>
    </w:p>
    <w:p w14:paraId="662AAE00" w14:textId="4CDA10B6" w:rsidR="00B466F7" w:rsidRDefault="00B466F7">
      <w:pPr>
        <w:rPr>
          <w:rFonts w:ascii="Calibri" w:hAnsi="Calibri"/>
          <w:lang w:val="en-CA"/>
        </w:rPr>
      </w:pPr>
      <w:r>
        <w:rPr>
          <w:rFonts w:ascii="Calibri" w:hAnsi="Calibri"/>
          <w:lang w:val="en-CA"/>
        </w:rPr>
        <w:t>UNB Saint John Students’ Representative Council</w:t>
      </w:r>
    </w:p>
    <w:p w14:paraId="75F4D69C" w14:textId="1E647370" w:rsidR="00B466F7" w:rsidRDefault="00B466F7">
      <w:pPr>
        <w:rPr>
          <w:rFonts w:ascii="Calibri" w:hAnsi="Calibri"/>
          <w:lang w:val="en-CA"/>
        </w:rPr>
      </w:pPr>
      <w:r>
        <w:rPr>
          <w:rFonts w:ascii="Calibri" w:hAnsi="Calibri"/>
          <w:lang w:val="en-CA"/>
        </w:rPr>
        <w:t>University of New Brunswick Student Union</w:t>
      </w:r>
    </w:p>
    <w:p w14:paraId="350BBD28" w14:textId="2310B4BE" w:rsidR="00B466F7" w:rsidRDefault="00B466F7">
      <w:pPr>
        <w:rPr>
          <w:rFonts w:ascii="Calibri" w:hAnsi="Calibri"/>
          <w:lang w:val="en-CA"/>
        </w:rPr>
      </w:pPr>
      <w:r>
        <w:rPr>
          <w:rFonts w:ascii="Calibri" w:hAnsi="Calibri"/>
          <w:lang w:val="en-CA"/>
        </w:rPr>
        <w:t>University of Prince Edward Island Student Union</w:t>
      </w:r>
    </w:p>
    <w:p w14:paraId="02D7DE19" w14:textId="39377781" w:rsidR="00B466F7" w:rsidRPr="00DB5628" w:rsidRDefault="00B466F7">
      <w:pPr>
        <w:rPr>
          <w:rFonts w:ascii="Calibri" w:hAnsi="Calibri"/>
          <w:lang w:val="en-CA"/>
        </w:rPr>
      </w:pPr>
      <w:r>
        <w:rPr>
          <w:rFonts w:ascii="Calibri" w:hAnsi="Calibri"/>
          <w:lang w:val="en-CA"/>
        </w:rPr>
        <w:t>University of the Fraser Valley Student Union Society</w:t>
      </w:r>
    </w:p>
    <w:p w14:paraId="6D982CB9" w14:textId="77777777" w:rsidR="00892FC9" w:rsidRDefault="00892FC9">
      <w:pPr>
        <w:rPr>
          <w:rFonts w:ascii="Calibri" w:hAnsi="Calibri"/>
          <w:lang w:val="en-CA"/>
        </w:rPr>
      </w:pPr>
    </w:p>
    <w:p w14:paraId="1FF052C7" w14:textId="77777777" w:rsidR="00B466F7" w:rsidRPr="00DB5628" w:rsidRDefault="00B466F7">
      <w:pPr>
        <w:rPr>
          <w:rFonts w:ascii="Calibri" w:hAnsi="Calibri"/>
          <w:lang w:val="en-CA"/>
        </w:rPr>
      </w:pPr>
    </w:p>
    <w:p w14:paraId="3B1568C2" w14:textId="79F5A6FD" w:rsidR="00892FC9" w:rsidRPr="00B466F7" w:rsidRDefault="00892FC9" w:rsidP="00AA50E2">
      <w:pPr>
        <w:pStyle w:val="Heading3"/>
        <w:rPr>
          <w:lang w:val="en-CA"/>
        </w:rPr>
      </w:pPr>
      <w:r w:rsidRPr="00B466F7">
        <w:rPr>
          <w:lang w:val="en-CA"/>
        </w:rPr>
        <w:t>About CASA</w:t>
      </w:r>
    </w:p>
    <w:p w14:paraId="3F60A70E" w14:textId="77777777" w:rsidR="00892FC9" w:rsidRPr="00DB5628" w:rsidRDefault="00892FC9">
      <w:pPr>
        <w:rPr>
          <w:rFonts w:ascii="Calibri" w:hAnsi="Calibri"/>
          <w:lang w:val="en-CA"/>
        </w:rPr>
      </w:pPr>
    </w:p>
    <w:p w14:paraId="19C36BF8" w14:textId="77777777" w:rsidR="00892FC9" w:rsidRPr="00DB5628" w:rsidRDefault="00892FC9" w:rsidP="00892FC9">
      <w:pPr>
        <w:rPr>
          <w:rFonts w:ascii="Calibri" w:eastAsia="Times New Roman" w:hAnsi="Calibri" w:cs="Times New Roman"/>
        </w:rPr>
      </w:pPr>
      <w:r w:rsidRPr="00DB5628">
        <w:rPr>
          <w:rFonts w:ascii="Calibri" w:eastAsia="Times New Roman" w:hAnsi="Calibri" w:cs="Times New Roman"/>
          <w:color w:val="333333"/>
          <w:shd w:val="clear" w:color="auto" w:fill="FFFFFF"/>
        </w:rPr>
        <w:t>Established in 1995, the Canadian Alliance of Student Associations (CASA) is a non-partisan, not-for-profit, national student organization composed of 22 student associations representing 255,000 post-secondary students from coast to coast. Through its partnership with the Quebec Student Union (QSU) and its 8 members representing 77,000 students, CASA presents a national student voice to the federal government. CASA advocates for a Canadian post-secondary education system that is accessible, affordable, innovative, and of the highest quality.</w:t>
      </w:r>
    </w:p>
    <w:p w14:paraId="60142F1F" w14:textId="77777777" w:rsidR="00892FC9" w:rsidRPr="00DB5628" w:rsidRDefault="00892FC9">
      <w:pPr>
        <w:rPr>
          <w:rFonts w:ascii="Calibri" w:hAnsi="Calibri"/>
        </w:rPr>
      </w:pPr>
    </w:p>
    <w:p w14:paraId="7911C7CE" w14:textId="2529711C" w:rsidR="00892FC9" w:rsidRPr="00DB5628" w:rsidRDefault="00892FC9">
      <w:pPr>
        <w:rPr>
          <w:rFonts w:ascii="Calibri" w:hAnsi="Calibri"/>
        </w:rPr>
      </w:pPr>
      <w:r w:rsidRPr="00DB5628">
        <w:rPr>
          <w:rFonts w:ascii="Calibri" w:hAnsi="Calibri"/>
        </w:rPr>
        <w:t>130 Slater Street, Suite 410, Ottawa ON, K1P 6E2</w:t>
      </w:r>
    </w:p>
    <w:p w14:paraId="3A2B2B50" w14:textId="2269F423" w:rsidR="00892FC9" w:rsidRPr="00DB5628" w:rsidRDefault="00892FC9">
      <w:pPr>
        <w:rPr>
          <w:rFonts w:ascii="Calibri" w:hAnsi="Calibri"/>
        </w:rPr>
      </w:pPr>
      <w:r w:rsidRPr="00DB5628">
        <w:rPr>
          <w:rFonts w:ascii="Calibri" w:hAnsi="Calibri"/>
        </w:rPr>
        <w:t>casa-acae.com</w:t>
      </w:r>
    </w:p>
    <w:p w14:paraId="082C313F" w14:textId="67C505D9" w:rsidR="00892FC9" w:rsidRPr="00DB5628" w:rsidRDefault="00892FC9">
      <w:pPr>
        <w:rPr>
          <w:rFonts w:ascii="Calibri" w:hAnsi="Calibri"/>
        </w:rPr>
      </w:pPr>
      <w:r w:rsidRPr="00DB5628">
        <w:rPr>
          <w:rFonts w:ascii="Calibri" w:hAnsi="Calibri"/>
        </w:rPr>
        <w:t>613-236-3457</w:t>
      </w:r>
    </w:p>
    <w:p w14:paraId="55C7A9AC" w14:textId="47E9885A" w:rsidR="00892FC9" w:rsidRPr="00DB5628" w:rsidRDefault="00CB4B1C">
      <w:pPr>
        <w:rPr>
          <w:rFonts w:ascii="Calibri" w:hAnsi="Calibri"/>
        </w:rPr>
      </w:pPr>
      <w:hyperlink r:id="rId8" w:history="1">
        <w:r w:rsidR="00892FC9" w:rsidRPr="00DB5628">
          <w:rPr>
            <w:rStyle w:val="Hyperlink"/>
            <w:rFonts w:ascii="Calibri" w:hAnsi="Calibri"/>
          </w:rPr>
          <w:t>info@casa.ca</w:t>
        </w:r>
      </w:hyperlink>
    </w:p>
    <w:p w14:paraId="0C7E31EC" w14:textId="414F7932" w:rsidR="00892FC9" w:rsidRDefault="006A7F31">
      <w:pPr>
        <w:rPr>
          <w:rFonts w:ascii="Calibri" w:hAnsi="Calibri"/>
        </w:rPr>
      </w:pPr>
      <w:r>
        <w:rPr>
          <w:rFonts w:ascii="Calibri" w:hAnsi="Calibri"/>
        </w:rPr>
        <w:t xml:space="preserve">Twitter </w:t>
      </w:r>
      <w:r w:rsidR="00892FC9" w:rsidRPr="00DB5628">
        <w:rPr>
          <w:rFonts w:ascii="Calibri" w:hAnsi="Calibri"/>
        </w:rPr>
        <w:t>@CASAACAE</w:t>
      </w:r>
    </w:p>
    <w:p w14:paraId="7CB8EC36" w14:textId="588FE3A8" w:rsidR="006A7F31" w:rsidRDefault="006A7F31">
      <w:pPr>
        <w:rPr>
          <w:rFonts w:ascii="Calibri" w:hAnsi="Calibri"/>
        </w:rPr>
      </w:pPr>
      <w:r>
        <w:rPr>
          <w:rFonts w:ascii="Calibri" w:hAnsi="Calibri"/>
        </w:rPr>
        <w:t>Facebook /CASAACAE</w:t>
      </w:r>
    </w:p>
    <w:p w14:paraId="5D4AD252" w14:textId="3885948A" w:rsidR="006A7F31" w:rsidRDefault="006A7F31">
      <w:pPr>
        <w:rPr>
          <w:rFonts w:ascii="Calibri" w:hAnsi="Calibri"/>
        </w:rPr>
      </w:pPr>
      <w:r>
        <w:rPr>
          <w:rFonts w:ascii="Calibri" w:hAnsi="Calibri"/>
        </w:rPr>
        <w:t>Instagram @CASAACAE</w:t>
      </w:r>
    </w:p>
    <w:p w14:paraId="61A457A2" w14:textId="77D79667" w:rsidR="00B466F7" w:rsidRPr="008A0555" w:rsidRDefault="008A0555" w:rsidP="00AA50E2">
      <w:pPr>
        <w:pStyle w:val="Heading3"/>
      </w:pPr>
      <w:r w:rsidRPr="008A0555">
        <w:t>About QSU</w:t>
      </w:r>
    </w:p>
    <w:p w14:paraId="687BFE4C" w14:textId="77777777" w:rsidR="008A0555" w:rsidRDefault="008A0555">
      <w:pPr>
        <w:rPr>
          <w:rFonts w:ascii="Calibri" w:hAnsi="Calibri"/>
        </w:rPr>
      </w:pPr>
    </w:p>
    <w:p w14:paraId="24B1E3BB" w14:textId="138E0CED" w:rsidR="008A0555" w:rsidRDefault="008A0555">
      <w:pPr>
        <w:rPr>
          <w:rFonts w:ascii="Calibri" w:hAnsi="Calibri"/>
        </w:rPr>
      </w:pPr>
      <w:r>
        <w:rPr>
          <w:rFonts w:ascii="Calibri" w:hAnsi="Calibri"/>
        </w:rPr>
        <w:t>The Quebec Student Union’s mission is to defend the rights and interests of the student community, of its member associations, and of their members, by promoting, protecting, and ameliorating the conditions of students and of those of local and international communities.</w:t>
      </w:r>
    </w:p>
    <w:p w14:paraId="2FEF8A01" w14:textId="77777777" w:rsidR="008A0555" w:rsidRDefault="008A0555">
      <w:pPr>
        <w:rPr>
          <w:rFonts w:ascii="Calibri" w:hAnsi="Calibri"/>
        </w:rPr>
      </w:pPr>
    </w:p>
    <w:p w14:paraId="4B929B4A" w14:textId="5052186A" w:rsidR="008A0555" w:rsidRDefault="008A0555">
      <w:pPr>
        <w:rPr>
          <w:rFonts w:ascii="Calibri" w:hAnsi="Calibri"/>
        </w:rPr>
      </w:pPr>
      <w:r>
        <w:rPr>
          <w:rFonts w:ascii="Calibri" w:hAnsi="Calibri"/>
        </w:rPr>
        <w:t>6217 St. André Street, Montréal QC, H2S 2K6</w:t>
      </w:r>
    </w:p>
    <w:p w14:paraId="79C33195" w14:textId="7E680247" w:rsidR="008A0555" w:rsidRDefault="008A0555">
      <w:pPr>
        <w:rPr>
          <w:rFonts w:ascii="Calibri" w:hAnsi="Calibri"/>
        </w:rPr>
      </w:pPr>
      <w:r>
        <w:rPr>
          <w:rFonts w:ascii="Calibri" w:hAnsi="Calibri"/>
        </w:rPr>
        <w:t>unionetudiante.ca</w:t>
      </w:r>
    </w:p>
    <w:p w14:paraId="4D9C409F" w14:textId="1C0F6764" w:rsidR="008A0555" w:rsidRDefault="008A0555">
      <w:pPr>
        <w:rPr>
          <w:rFonts w:ascii="Calibri" w:hAnsi="Calibri"/>
        </w:rPr>
      </w:pPr>
      <w:r>
        <w:rPr>
          <w:rFonts w:ascii="Calibri" w:hAnsi="Calibri"/>
        </w:rPr>
        <w:t>1-877-213-3551</w:t>
      </w:r>
    </w:p>
    <w:p w14:paraId="7BA8F6C2" w14:textId="7672C815" w:rsidR="008A0555" w:rsidRDefault="00CB4B1C">
      <w:pPr>
        <w:rPr>
          <w:rFonts w:ascii="Calibri" w:hAnsi="Calibri"/>
        </w:rPr>
      </w:pPr>
      <w:hyperlink r:id="rId9" w:history="1">
        <w:r w:rsidR="008A0555" w:rsidRPr="003B4968">
          <w:rPr>
            <w:rStyle w:val="Hyperlink"/>
            <w:rFonts w:ascii="Calibri" w:hAnsi="Calibri"/>
          </w:rPr>
          <w:t>info@unionetudiante.ca</w:t>
        </w:r>
      </w:hyperlink>
    </w:p>
    <w:p w14:paraId="15FE24FF" w14:textId="316FAEB5" w:rsidR="008A0555" w:rsidRDefault="008A0555">
      <w:pPr>
        <w:rPr>
          <w:rFonts w:ascii="Calibri" w:hAnsi="Calibri"/>
        </w:rPr>
      </w:pPr>
      <w:r>
        <w:rPr>
          <w:rFonts w:ascii="Calibri" w:hAnsi="Calibri"/>
        </w:rPr>
        <w:t>Tw</w:t>
      </w:r>
      <w:r w:rsidR="006A7F31">
        <w:rPr>
          <w:rFonts w:ascii="Calibri" w:hAnsi="Calibri"/>
        </w:rPr>
        <w:t>itter</w:t>
      </w:r>
      <w:r>
        <w:rPr>
          <w:rFonts w:ascii="Calibri" w:hAnsi="Calibri"/>
        </w:rPr>
        <w:t xml:space="preserve"> @</w:t>
      </w:r>
      <w:proofErr w:type="spellStart"/>
      <w:r>
        <w:rPr>
          <w:rFonts w:ascii="Calibri" w:hAnsi="Calibri"/>
        </w:rPr>
        <w:t>UnionEtudiante</w:t>
      </w:r>
      <w:proofErr w:type="spellEnd"/>
    </w:p>
    <w:p w14:paraId="2C72C225" w14:textId="7E152844" w:rsidR="008A0555" w:rsidRDefault="006A7F31">
      <w:pPr>
        <w:rPr>
          <w:rFonts w:ascii="Calibri" w:hAnsi="Calibri"/>
        </w:rPr>
      </w:pPr>
      <w:r>
        <w:rPr>
          <w:rFonts w:ascii="Calibri" w:hAnsi="Calibri"/>
        </w:rPr>
        <w:t>Facebook</w:t>
      </w:r>
      <w:r w:rsidR="008A0555">
        <w:rPr>
          <w:rFonts w:ascii="Calibri" w:hAnsi="Calibri"/>
        </w:rPr>
        <w:t xml:space="preserve"> /</w:t>
      </w:r>
      <w:proofErr w:type="spellStart"/>
      <w:r w:rsidR="008A0555">
        <w:rPr>
          <w:rFonts w:ascii="Calibri" w:hAnsi="Calibri"/>
        </w:rPr>
        <w:t>ueq.qsu</w:t>
      </w:r>
      <w:proofErr w:type="spellEnd"/>
    </w:p>
    <w:p w14:paraId="738E3304" w14:textId="58C3AF52" w:rsidR="008A0555" w:rsidRPr="00DB5628" w:rsidRDefault="006A7F31">
      <w:pPr>
        <w:rPr>
          <w:rFonts w:ascii="Calibri" w:hAnsi="Calibri"/>
        </w:rPr>
      </w:pPr>
      <w:r>
        <w:rPr>
          <w:rFonts w:ascii="Calibri" w:hAnsi="Calibri"/>
        </w:rPr>
        <w:t>Instagram</w:t>
      </w:r>
      <w:r w:rsidR="008A0555">
        <w:rPr>
          <w:rFonts w:ascii="Calibri" w:hAnsi="Calibri"/>
        </w:rPr>
        <w:t xml:space="preserve"> @</w:t>
      </w:r>
      <w:proofErr w:type="spellStart"/>
      <w:r w:rsidR="008A0555">
        <w:rPr>
          <w:rFonts w:ascii="Calibri" w:hAnsi="Calibri"/>
        </w:rPr>
        <w:t>unionetudiante</w:t>
      </w:r>
      <w:proofErr w:type="spellEnd"/>
    </w:p>
    <w:sectPr w:rsidR="008A0555" w:rsidRPr="00DB5628" w:rsidSect="001A34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8B164" w14:textId="77777777" w:rsidR="00CB4B1C" w:rsidRDefault="00CB4B1C" w:rsidP="008D11CB">
      <w:r>
        <w:separator/>
      </w:r>
    </w:p>
  </w:endnote>
  <w:endnote w:type="continuationSeparator" w:id="0">
    <w:p w14:paraId="5C584D22" w14:textId="77777777" w:rsidR="00CB4B1C" w:rsidRDefault="00CB4B1C" w:rsidP="008D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rs Eaves XL Serif OT Reg">
    <w:panose1 w:val="0200060306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D78FE" w14:textId="77777777" w:rsidR="00CB4B1C" w:rsidRDefault="00CB4B1C" w:rsidP="008D11CB">
      <w:r>
        <w:separator/>
      </w:r>
    </w:p>
  </w:footnote>
  <w:footnote w:type="continuationSeparator" w:id="0">
    <w:p w14:paraId="50524C5B" w14:textId="77777777" w:rsidR="00CB4B1C" w:rsidRDefault="00CB4B1C" w:rsidP="008D11CB">
      <w:r>
        <w:continuationSeparator/>
      </w:r>
    </w:p>
  </w:footnote>
  <w:footnote w:id="1">
    <w:p w14:paraId="13A78FA8" w14:textId="77777777" w:rsidR="008D11CB" w:rsidRPr="004F0319" w:rsidRDefault="008D11CB" w:rsidP="008D11CB">
      <w:pPr>
        <w:pStyle w:val="FootnoteText"/>
      </w:pPr>
      <w:r>
        <w:rPr>
          <w:rStyle w:val="FootnoteReference"/>
        </w:rPr>
        <w:footnoteRef/>
      </w:r>
      <w:r>
        <w:t xml:space="preserve"> </w:t>
      </w:r>
      <w:r w:rsidRPr="00880D07">
        <w:rPr>
          <w:sz w:val="20"/>
          <w:szCs w:val="20"/>
        </w:rPr>
        <w:t xml:space="preserve">Matthew Till, Tim Leonard, Sebastian Yeung and </w:t>
      </w:r>
      <w:proofErr w:type="spellStart"/>
      <w:r w:rsidRPr="00880D07">
        <w:rPr>
          <w:sz w:val="20"/>
          <w:szCs w:val="20"/>
        </w:rPr>
        <w:t>Gradon</w:t>
      </w:r>
      <w:proofErr w:type="spellEnd"/>
      <w:r w:rsidRPr="00880D07">
        <w:rPr>
          <w:sz w:val="20"/>
          <w:szCs w:val="20"/>
        </w:rPr>
        <w:t xml:space="preserve"> Nicholls, </w:t>
      </w:r>
      <w:r w:rsidRPr="00880D07">
        <w:rPr>
          <w:i/>
          <w:sz w:val="20"/>
          <w:szCs w:val="20"/>
        </w:rPr>
        <w:t xml:space="preserve">A Profile of the </w:t>
      </w:r>
      <w:proofErr w:type="spellStart"/>
      <w:r w:rsidRPr="00880D07">
        <w:rPr>
          <w:i/>
          <w:sz w:val="20"/>
          <w:szCs w:val="20"/>
        </w:rPr>
        <w:t>Labour</w:t>
      </w:r>
      <w:proofErr w:type="spellEnd"/>
      <w:r w:rsidRPr="00880D07">
        <w:rPr>
          <w:i/>
          <w:sz w:val="20"/>
          <w:szCs w:val="20"/>
        </w:rPr>
        <w:t xml:space="preserve"> Market Experiences of Adults with Disabilities among Canadians aged 15 years and older, 2012 </w:t>
      </w:r>
      <w:r w:rsidRPr="00880D07">
        <w:rPr>
          <w:sz w:val="20"/>
          <w:szCs w:val="20"/>
        </w:rPr>
        <w:t xml:space="preserve">(Statistics Canada, December 3, 2015). Accessed online: </w:t>
      </w:r>
      <w:hyperlink r:id="rId1" w:history="1">
        <w:r w:rsidRPr="00880D07">
          <w:rPr>
            <w:rStyle w:val="Hyperlink"/>
            <w:sz w:val="20"/>
            <w:szCs w:val="20"/>
          </w:rPr>
          <w:t>http://www.statcan.gc.ca/pub/89-654-x/89-654-x2015005-eng.htm</w:t>
        </w:r>
      </w:hyperlink>
    </w:p>
  </w:footnote>
  <w:footnote w:id="2">
    <w:p w14:paraId="1E3EE172" w14:textId="77777777" w:rsidR="008D11CB" w:rsidRPr="00795498" w:rsidRDefault="008D11CB" w:rsidP="008D11CB">
      <w:pPr>
        <w:pStyle w:val="FootnoteText"/>
        <w:rPr>
          <w:sz w:val="20"/>
          <w:szCs w:val="20"/>
          <w:lang w:val="en-CA"/>
        </w:rPr>
      </w:pPr>
      <w:r w:rsidRPr="00795498">
        <w:rPr>
          <w:rStyle w:val="FootnoteReference"/>
          <w:sz w:val="20"/>
          <w:szCs w:val="20"/>
        </w:rPr>
        <w:footnoteRef/>
      </w:r>
      <w:r w:rsidRPr="00795498">
        <w:rPr>
          <w:sz w:val="20"/>
          <w:szCs w:val="20"/>
        </w:rPr>
        <w:t xml:space="preserve"> </w:t>
      </w:r>
      <w:r w:rsidRPr="00795498">
        <w:rPr>
          <w:i/>
          <w:sz w:val="20"/>
          <w:szCs w:val="20"/>
          <w:lang w:val="en-CA"/>
        </w:rPr>
        <w:t xml:space="preserve">Apply for Severe Permanent Disability Benefit </w:t>
      </w:r>
      <w:r w:rsidRPr="00795498">
        <w:rPr>
          <w:sz w:val="20"/>
          <w:szCs w:val="20"/>
          <w:lang w:val="en-CA"/>
        </w:rPr>
        <w:t xml:space="preserve">(Employment and Social Development Canada). Accessed online: </w:t>
      </w:r>
      <w:hyperlink r:id="rId2" w:anchor="severe" w:history="1">
        <w:r w:rsidRPr="00795498">
          <w:rPr>
            <w:rStyle w:val="Hyperlink"/>
            <w:sz w:val="20"/>
            <w:szCs w:val="20"/>
            <w:lang w:val="en-CA"/>
          </w:rPr>
          <w:t>https://www.canada.ca/en/employment-social-development/services/student-financial-aid/student-loan/student-loans/student-loans-permanent-disability-benefit.html#severe</w:t>
        </w:r>
      </w:hyperlink>
      <w:r w:rsidRPr="00795498">
        <w:rPr>
          <w:sz w:val="20"/>
          <w:szCs w:val="20"/>
          <w:lang w:val="en-CA"/>
        </w:rPr>
        <w:t xml:space="preserve"> </w:t>
      </w:r>
    </w:p>
  </w:footnote>
  <w:footnote w:id="3">
    <w:p w14:paraId="6D5B9BD7" w14:textId="77777777" w:rsidR="008D11CB" w:rsidRPr="00925AE3" w:rsidRDefault="008D11CB" w:rsidP="008D11CB">
      <w:pPr>
        <w:pStyle w:val="FootnoteText"/>
        <w:rPr>
          <w:sz w:val="20"/>
          <w:szCs w:val="20"/>
          <w:lang w:val="en-CA"/>
        </w:rPr>
      </w:pPr>
      <w:r w:rsidRPr="00D03112">
        <w:rPr>
          <w:rStyle w:val="FootnoteReference"/>
          <w:sz w:val="20"/>
          <w:szCs w:val="20"/>
        </w:rPr>
        <w:footnoteRef/>
      </w:r>
      <w:r w:rsidRPr="002D34FC">
        <w:rPr>
          <w:sz w:val="20"/>
          <w:szCs w:val="20"/>
        </w:rPr>
        <w:t xml:space="preserve"> </w:t>
      </w:r>
      <w:r w:rsidRPr="002D34FC">
        <w:rPr>
          <w:i/>
          <w:sz w:val="20"/>
          <w:szCs w:val="20"/>
          <w:lang w:val="en-CA"/>
        </w:rPr>
        <w:t xml:space="preserve">Enhancing Accessibility in Post-Secondary Education Institutions: A Guide for Disability Service Providers </w:t>
      </w:r>
      <w:r w:rsidRPr="002D34FC">
        <w:rPr>
          <w:sz w:val="20"/>
          <w:szCs w:val="20"/>
          <w:lang w:val="en-CA"/>
        </w:rPr>
        <w:t xml:space="preserve">(National Educational Association of Disabled Students, 2012). Accessed online: </w:t>
      </w:r>
      <w:hyperlink r:id="rId3" w:history="1">
        <w:r w:rsidRPr="00D03112">
          <w:rPr>
            <w:rStyle w:val="Hyperlink"/>
            <w:sz w:val="20"/>
            <w:szCs w:val="20"/>
            <w:lang w:val="en-CA"/>
          </w:rPr>
          <w:t>http://www.neads.ca/en/norc/eag/eag_en.pdf</w:t>
        </w:r>
      </w:hyperlink>
      <w:r w:rsidRPr="00925AE3">
        <w:rPr>
          <w:sz w:val="20"/>
          <w:szCs w:val="20"/>
          <w:lang w:val="en-CA"/>
        </w:rPr>
        <w:t xml:space="preserve"> </w:t>
      </w:r>
    </w:p>
  </w:footnote>
  <w:footnote w:id="4">
    <w:p w14:paraId="6E76879B" w14:textId="77777777" w:rsidR="008D11CB" w:rsidRPr="00621662" w:rsidRDefault="008D11CB" w:rsidP="008D11CB">
      <w:pPr>
        <w:pStyle w:val="FootnoteText"/>
      </w:pPr>
      <w:r>
        <w:rPr>
          <w:rStyle w:val="FootnoteReference"/>
        </w:rPr>
        <w:footnoteRef/>
      </w:r>
      <w:r>
        <w:t xml:space="preserve"> </w:t>
      </w:r>
      <w:r w:rsidRPr="00880D07">
        <w:rPr>
          <w:sz w:val="20"/>
          <w:szCs w:val="20"/>
        </w:rPr>
        <w:t xml:space="preserve">Till, Leonard, Yeung and Nicholls, </w:t>
      </w:r>
      <w:r w:rsidRPr="00880D07">
        <w:rPr>
          <w:i/>
          <w:sz w:val="20"/>
          <w:szCs w:val="20"/>
        </w:rPr>
        <w:t xml:space="preserve">A Profile of the </w:t>
      </w:r>
      <w:proofErr w:type="spellStart"/>
      <w:r w:rsidRPr="00880D07">
        <w:rPr>
          <w:i/>
          <w:sz w:val="20"/>
          <w:szCs w:val="20"/>
        </w:rPr>
        <w:t>Labour</w:t>
      </w:r>
      <w:proofErr w:type="spellEnd"/>
      <w:r w:rsidRPr="00880D07">
        <w:rPr>
          <w:i/>
          <w:sz w:val="20"/>
          <w:szCs w:val="20"/>
        </w:rPr>
        <w:t xml:space="preserve"> Market Experiences of Adults with Disabilities among Canadians aged 15 years and older, 2012</w:t>
      </w:r>
      <w:r w:rsidRPr="00880D07">
        <w:rPr>
          <w:sz w:val="20"/>
          <w:szCs w:val="20"/>
        </w:rPr>
        <w:t xml:space="preserve">. </w:t>
      </w:r>
    </w:p>
  </w:footnote>
  <w:footnote w:id="5">
    <w:p w14:paraId="543D32EE" w14:textId="77777777" w:rsidR="008D11CB" w:rsidRPr="0019704D" w:rsidRDefault="008D11CB" w:rsidP="008D11CB">
      <w:pPr>
        <w:pStyle w:val="FootnoteText"/>
        <w:rPr>
          <w:sz w:val="20"/>
          <w:szCs w:val="20"/>
        </w:rPr>
      </w:pPr>
      <w:r w:rsidRPr="0019704D">
        <w:rPr>
          <w:rStyle w:val="FootnoteReference"/>
          <w:sz w:val="20"/>
          <w:szCs w:val="20"/>
        </w:rPr>
        <w:footnoteRef/>
      </w:r>
      <w:r w:rsidRPr="0019704D">
        <w:rPr>
          <w:sz w:val="20"/>
          <w:szCs w:val="20"/>
        </w:rPr>
        <w:t xml:space="preserve"> </w:t>
      </w:r>
      <w:r w:rsidRPr="0019704D">
        <w:rPr>
          <w:i/>
          <w:sz w:val="20"/>
          <w:szCs w:val="20"/>
          <w:lang w:val="en-CA"/>
        </w:rPr>
        <w:t xml:space="preserve">2015 Graduating University Student Survey: Master Report </w:t>
      </w:r>
      <w:r w:rsidRPr="0019704D">
        <w:rPr>
          <w:sz w:val="20"/>
          <w:szCs w:val="20"/>
          <w:lang w:val="en-CA"/>
        </w:rPr>
        <w:t xml:space="preserve">(Canadian University Survey Consortium, July 2015). Accessed online: </w:t>
      </w:r>
      <w:hyperlink r:id="rId4" w:history="1">
        <w:r w:rsidRPr="0019704D">
          <w:rPr>
            <w:rStyle w:val="Hyperlink"/>
            <w:sz w:val="20"/>
            <w:szCs w:val="20"/>
            <w:lang w:val="en-CA"/>
          </w:rPr>
          <w:t>http://www.cusc-ccreu.ca/CUSC_2015_Graduating_Master%20Report_English.pdf</w:t>
        </w:r>
      </w:hyperlink>
    </w:p>
  </w:footnote>
  <w:footnote w:id="6">
    <w:p w14:paraId="4AD7A469" w14:textId="77777777" w:rsidR="008D11CB" w:rsidRPr="00A42EB4" w:rsidRDefault="008D11CB" w:rsidP="008D11CB">
      <w:pPr>
        <w:pStyle w:val="FootnoteText"/>
        <w:rPr>
          <w:sz w:val="20"/>
          <w:szCs w:val="20"/>
          <w:lang w:val="en-CA"/>
        </w:rPr>
      </w:pPr>
      <w:r w:rsidRPr="0019704D">
        <w:rPr>
          <w:rStyle w:val="FootnoteReference"/>
          <w:sz w:val="20"/>
          <w:szCs w:val="20"/>
        </w:rPr>
        <w:footnoteRef/>
      </w:r>
      <w:r w:rsidRPr="0019704D">
        <w:rPr>
          <w:sz w:val="20"/>
          <w:szCs w:val="20"/>
        </w:rPr>
        <w:t xml:space="preserve"> </w:t>
      </w:r>
      <w:r w:rsidRPr="00DE6DF7">
        <w:rPr>
          <w:i/>
          <w:sz w:val="20"/>
          <w:szCs w:val="20"/>
          <w:lang w:val="en-CA"/>
        </w:rPr>
        <w:t xml:space="preserve">Canada Graduate Scholarship – Master’s Program </w:t>
      </w:r>
      <w:r w:rsidRPr="0019704D">
        <w:rPr>
          <w:sz w:val="20"/>
          <w:szCs w:val="20"/>
          <w:lang w:val="en-CA"/>
        </w:rPr>
        <w:t xml:space="preserve">(Natural Science and Engineering Research Council, August 2016). Accessed online: </w:t>
      </w:r>
      <w:hyperlink r:id="rId5" w:history="1">
        <w:r w:rsidRPr="00A42EB4">
          <w:rPr>
            <w:rStyle w:val="Hyperlink"/>
            <w:sz w:val="20"/>
            <w:szCs w:val="20"/>
            <w:lang w:val="en-CA"/>
          </w:rPr>
          <w:t>http://www.nserc-crsng.gc.ca/Students-Etudiants/PG-CS/CGSM-BESCM_eng.asp</w:t>
        </w:r>
      </w:hyperlink>
      <w:r w:rsidRPr="00A42EB4">
        <w:rPr>
          <w:sz w:val="20"/>
          <w:szCs w:val="20"/>
          <w:lang w:val="en-CA"/>
        </w:rPr>
        <w:t xml:space="preserve"> </w:t>
      </w:r>
    </w:p>
  </w:footnote>
  <w:footnote w:id="7">
    <w:p w14:paraId="4DCB22B7" w14:textId="77777777" w:rsidR="008D11CB" w:rsidRPr="007D5C95" w:rsidRDefault="008D11CB" w:rsidP="008D11CB">
      <w:pPr>
        <w:pStyle w:val="FootnoteText"/>
        <w:rPr>
          <w:sz w:val="20"/>
          <w:szCs w:val="20"/>
        </w:rPr>
      </w:pPr>
      <w:r w:rsidRPr="007D5C95">
        <w:rPr>
          <w:rStyle w:val="FootnoteReference"/>
          <w:sz w:val="20"/>
          <w:szCs w:val="20"/>
        </w:rPr>
        <w:footnoteRef/>
      </w:r>
      <w:r w:rsidRPr="007D5C95">
        <w:rPr>
          <w:sz w:val="20"/>
          <w:szCs w:val="20"/>
        </w:rPr>
        <w:t xml:space="preserve"> </w:t>
      </w:r>
      <w:r w:rsidRPr="00DE6DF7">
        <w:rPr>
          <w:i/>
          <w:sz w:val="20"/>
          <w:szCs w:val="20"/>
        </w:rPr>
        <w:t>International Rankings: PhD Graduates</w:t>
      </w:r>
      <w:r w:rsidRPr="007D5C95">
        <w:rPr>
          <w:sz w:val="20"/>
          <w:szCs w:val="20"/>
        </w:rPr>
        <w:t xml:space="preserve"> </w:t>
      </w:r>
      <w:r>
        <w:rPr>
          <w:sz w:val="20"/>
          <w:szCs w:val="20"/>
        </w:rPr>
        <w:t>(</w:t>
      </w:r>
      <w:r w:rsidRPr="007D5C95">
        <w:rPr>
          <w:sz w:val="20"/>
          <w:szCs w:val="20"/>
        </w:rPr>
        <w:t>Conference Board of Canada</w:t>
      </w:r>
      <w:r>
        <w:rPr>
          <w:sz w:val="20"/>
          <w:szCs w:val="20"/>
        </w:rPr>
        <w:t xml:space="preserve">, </w:t>
      </w:r>
      <w:r w:rsidRPr="007D5C95">
        <w:rPr>
          <w:sz w:val="20"/>
          <w:szCs w:val="20"/>
        </w:rPr>
        <w:t>March 2013</w:t>
      </w:r>
      <w:r>
        <w:rPr>
          <w:sz w:val="20"/>
          <w:szCs w:val="20"/>
        </w:rPr>
        <w:t>).</w:t>
      </w:r>
      <w:r w:rsidRPr="007D5C95">
        <w:rPr>
          <w:sz w:val="20"/>
          <w:szCs w:val="20"/>
        </w:rPr>
        <w:t xml:space="preserve"> Accessed online: </w:t>
      </w:r>
      <w:hyperlink r:id="rId6" w:history="1">
        <w:r w:rsidRPr="00A0782E">
          <w:rPr>
            <w:rStyle w:val="Hyperlink"/>
            <w:sz w:val="20"/>
            <w:szCs w:val="20"/>
          </w:rPr>
          <w:t>http://www.conferenceboard.ca/hcp/details/education/phd-graduates.aspx</w:t>
        </w:r>
      </w:hyperlink>
      <w:r>
        <w:rPr>
          <w:sz w:val="20"/>
          <w:szCs w:val="20"/>
        </w:rPr>
        <w:t xml:space="preserve"> </w:t>
      </w:r>
    </w:p>
  </w:footnote>
  <w:footnote w:id="8">
    <w:p w14:paraId="04FFA6C4" w14:textId="77777777" w:rsidR="008D11CB" w:rsidRPr="00CE1015" w:rsidRDefault="008D11CB" w:rsidP="008D11CB">
      <w:pPr>
        <w:pStyle w:val="FootnoteText"/>
        <w:rPr>
          <w:lang w:val="en-CA"/>
        </w:rPr>
      </w:pPr>
      <w:r>
        <w:rPr>
          <w:rStyle w:val="FootnoteReference"/>
        </w:rPr>
        <w:footnoteRef/>
      </w:r>
      <w:r>
        <w:t xml:space="preserve"> </w:t>
      </w:r>
      <w:r w:rsidRPr="00B41908">
        <w:rPr>
          <w:i/>
          <w:sz w:val="20"/>
          <w:szCs w:val="20"/>
        </w:rPr>
        <w:t xml:space="preserve">Economic Impact of International Education in Canada – An Update. Final Report </w:t>
      </w:r>
      <w:r w:rsidRPr="00B41908">
        <w:rPr>
          <w:sz w:val="20"/>
          <w:szCs w:val="20"/>
        </w:rPr>
        <w:t xml:space="preserve">(Vancouver: Roslyn </w:t>
      </w:r>
      <w:proofErr w:type="spellStart"/>
      <w:r w:rsidRPr="00B41908">
        <w:rPr>
          <w:sz w:val="20"/>
          <w:szCs w:val="20"/>
        </w:rPr>
        <w:t>Kunin</w:t>
      </w:r>
      <w:proofErr w:type="spellEnd"/>
      <w:r w:rsidRPr="00B41908">
        <w:rPr>
          <w:sz w:val="20"/>
          <w:szCs w:val="20"/>
        </w:rPr>
        <w:t xml:space="preserve"> &amp; Associates, Inc., July 2016),</w:t>
      </w:r>
      <w:r w:rsidRPr="00B41908">
        <w:rPr>
          <w:i/>
          <w:sz w:val="20"/>
          <w:szCs w:val="20"/>
        </w:rPr>
        <w:t xml:space="preserve"> </w:t>
      </w:r>
      <w:r w:rsidRPr="00B41908">
        <w:rPr>
          <w:sz w:val="20"/>
          <w:szCs w:val="20"/>
        </w:rPr>
        <w:t xml:space="preserve">iii. Accessed online: </w:t>
      </w:r>
      <w:hyperlink r:id="rId7" w:history="1">
        <w:r w:rsidRPr="00DB43A1">
          <w:rPr>
            <w:rStyle w:val="Hyperlink"/>
            <w:sz w:val="20"/>
            <w:szCs w:val="20"/>
          </w:rPr>
          <w:t>http://www.international.gc.ca/education/assets/pdfs/Economic_Impact_International_Education_in_Canada_2016_Update.pdf</w:t>
        </w:r>
      </w:hyperlink>
    </w:p>
  </w:footnote>
  <w:footnote w:id="9">
    <w:p w14:paraId="3EBB89DB" w14:textId="77777777" w:rsidR="008D11CB" w:rsidRPr="00E84D44" w:rsidRDefault="008D11CB" w:rsidP="008D11CB">
      <w:pPr>
        <w:pStyle w:val="FootnoteText"/>
        <w:rPr>
          <w:lang w:val="en-CA"/>
        </w:rPr>
      </w:pPr>
      <w:r w:rsidRPr="006A7ECB">
        <w:rPr>
          <w:rStyle w:val="FootnoteReference"/>
          <w:sz w:val="20"/>
          <w:szCs w:val="20"/>
        </w:rPr>
        <w:footnoteRef/>
      </w:r>
      <w:r w:rsidRPr="006A7ECB">
        <w:rPr>
          <w:sz w:val="20"/>
          <w:szCs w:val="20"/>
        </w:rPr>
        <w:t xml:space="preserve"> </w:t>
      </w:r>
      <w:r w:rsidRPr="006A7ECB">
        <w:rPr>
          <w:i/>
          <w:sz w:val="20"/>
          <w:szCs w:val="20"/>
          <w:lang w:val="en-CA"/>
        </w:rPr>
        <w:t xml:space="preserve">Federal Spending on Postsecondary Education </w:t>
      </w:r>
      <w:r w:rsidRPr="006A7ECB">
        <w:rPr>
          <w:sz w:val="20"/>
          <w:szCs w:val="20"/>
          <w:lang w:val="en-CA"/>
        </w:rPr>
        <w:t xml:space="preserve">(Ottawa: Office of the Parliamentary Budget Officer, May 2016). Accessed online: </w:t>
      </w:r>
      <w:hyperlink r:id="rId8" w:history="1">
        <w:r w:rsidRPr="006A7ECB">
          <w:rPr>
            <w:rStyle w:val="Hyperlink"/>
            <w:sz w:val="20"/>
            <w:szCs w:val="20"/>
            <w:lang w:val="en-CA"/>
          </w:rPr>
          <w:t>http://www.pbo-dpb.gc.ca/web/default/files/Documents/Reports/2016/PSE/PSE_EN.pdf</w:t>
        </w:r>
      </w:hyperlink>
      <w:r w:rsidRPr="006A7ECB">
        <w:rPr>
          <w:sz w:val="20"/>
          <w:szCs w:val="20"/>
          <w:lang w:val="en-CA"/>
        </w:rPr>
        <w:t xml:space="preserve"> </w:t>
      </w:r>
    </w:p>
  </w:footnote>
  <w:footnote w:id="10">
    <w:p w14:paraId="3BA45EA4" w14:textId="77777777" w:rsidR="008D11CB" w:rsidRPr="00BB7E58" w:rsidRDefault="008D11CB" w:rsidP="008D11CB">
      <w:pPr>
        <w:pStyle w:val="FootnoteText"/>
      </w:pPr>
      <w:r>
        <w:rPr>
          <w:rStyle w:val="FootnoteReference"/>
        </w:rPr>
        <w:footnoteRef/>
      </w:r>
      <w:r>
        <w:t xml:space="preserve"> </w:t>
      </w:r>
      <w:r w:rsidRPr="006A7ECB">
        <w:rPr>
          <w:i/>
          <w:sz w:val="20"/>
          <w:szCs w:val="20"/>
          <w:lang w:val="en-CA"/>
        </w:rPr>
        <w:t>Federal Spending on Postsecondary Education</w:t>
      </w:r>
      <w:r>
        <w:rPr>
          <w:sz w:val="20"/>
          <w:szCs w:val="20"/>
          <w:lang w:val="en-CA"/>
        </w:rPr>
        <w:t>.</w:t>
      </w:r>
      <w:r w:rsidRPr="006A7ECB">
        <w:rPr>
          <w:i/>
          <w:sz w:val="20"/>
          <w:szCs w:val="20"/>
          <w:lang w:val="en-CA"/>
        </w:rPr>
        <w:t xml:space="preserve"> </w:t>
      </w:r>
    </w:p>
  </w:footnote>
  <w:footnote w:id="11">
    <w:p w14:paraId="2BCF8961" w14:textId="77777777" w:rsidR="008D11CB" w:rsidRPr="00BB7E58" w:rsidRDefault="008D11CB" w:rsidP="008D11CB">
      <w:pPr>
        <w:pStyle w:val="FootnoteText"/>
      </w:pPr>
      <w:r>
        <w:rPr>
          <w:rStyle w:val="FootnoteReference"/>
        </w:rPr>
        <w:footnoteRef/>
      </w:r>
      <w:r>
        <w:t xml:space="preserve"> </w:t>
      </w:r>
      <w:r w:rsidRPr="00FC6B0B">
        <w:rPr>
          <w:i/>
          <w:sz w:val="20"/>
          <w:szCs w:val="20"/>
        </w:rPr>
        <w:t xml:space="preserve">2018 Pre-Budget Submission to the House of Commons Standing Committee on Finance </w:t>
      </w:r>
      <w:r w:rsidRPr="00FC6B0B">
        <w:rPr>
          <w:sz w:val="20"/>
          <w:szCs w:val="20"/>
        </w:rPr>
        <w:t>(Assembly of First Nations</w:t>
      </w:r>
      <w:r w:rsidRPr="00FC6B0B">
        <w:rPr>
          <w:sz w:val="20"/>
          <w:szCs w:val="20"/>
          <w:lang w:val="en-CA"/>
        </w:rPr>
        <w:t xml:space="preserve">, August 4, 2017). Accessed online: </w:t>
      </w:r>
      <w:hyperlink r:id="rId9" w:history="1">
        <w:r w:rsidRPr="00FC6B0B">
          <w:rPr>
            <w:rStyle w:val="Hyperlink"/>
            <w:sz w:val="20"/>
            <w:szCs w:val="20"/>
            <w:lang w:val="en-CA"/>
          </w:rPr>
          <w:t>https://www.ourcommons.ca/Content/Committee/421/FINA/Brief/BR9081067/br-external/AssemblyOfFirstNations-e.pdf</w:t>
        </w:r>
      </w:hyperlink>
    </w:p>
  </w:footnote>
  <w:footnote w:id="12">
    <w:p w14:paraId="53D612DF" w14:textId="77777777" w:rsidR="008D11CB" w:rsidRPr="00C83CF5" w:rsidRDefault="008D11CB" w:rsidP="008D11CB">
      <w:pPr>
        <w:pStyle w:val="FootnoteText"/>
        <w:rPr>
          <w:sz w:val="20"/>
          <w:szCs w:val="20"/>
        </w:rPr>
      </w:pPr>
      <w:r w:rsidRPr="00C83CF5">
        <w:rPr>
          <w:rStyle w:val="FootnoteReference"/>
        </w:rPr>
        <w:footnoteRef/>
      </w:r>
      <w:r w:rsidRPr="00C83CF5">
        <w:rPr>
          <w:sz w:val="20"/>
          <w:szCs w:val="20"/>
        </w:rPr>
        <w:t xml:space="preserve"> </w:t>
      </w:r>
      <w:r w:rsidRPr="00D474EF">
        <w:rPr>
          <w:i/>
          <w:sz w:val="20"/>
          <w:szCs w:val="20"/>
        </w:rPr>
        <w:t>Copyright Act</w:t>
      </w:r>
      <w:r w:rsidRPr="00C83CF5">
        <w:rPr>
          <w:sz w:val="20"/>
          <w:szCs w:val="20"/>
        </w:rPr>
        <w:t xml:space="preserve">, RSC 1985, c C-42 [Copyright Act]. </w:t>
      </w:r>
      <w:proofErr w:type="spellStart"/>
      <w:r w:rsidRPr="00C83CF5">
        <w:rPr>
          <w:sz w:val="20"/>
          <w:szCs w:val="20"/>
        </w:rPr>
        <w:t>ss</w:t>
      </w:r>
      <w:proofErr w:type="spellEnd"/>
      <w:r w:rsidRPr="00C83CF5">
        <w:rPr>
          <w:sz w:val="20"/>
          <w:szCs w:val="20"/>
        </w:rPr>
        <w:t xml:space="preserve"> 29—29.2.</w:t>
      </w:r>
      <w:r>
        <w:rPr>
          <w:sz w:val="20"/>
          <w:szCs w:val="20"/>
        </w:rPr>
        <w:t xml:space="preserve"> Accessed online: </w:t>
      </w:r>
      <w:hyperlink r:id="rId10" w:anchor="h-26" w:history="1">
        <w:r w:rsidRPr="00A0782E">
          <w:rPr>
            <w:rStyle w:val="Hyperlink"/>
            <w:sz w:val="20"/>
            <w:szCs w:val="20"/>
          </w:rPr>
          <w:t>http://laws-lois.justice.gc.ca/eng/acts/c-42/page-9.html#h-26</w:t>
        </w:r>
      </w:hyperlink>
      <w:r>
        <w:rPr>
          <w:sz w:val="20"/>
          <w:szCs w:val="20"/>
        </w:rPr>
        <w:t xml:space="preserve"> </w:t>
      </w:r>
    </w:p>
  </w:footnote>
  <w:footnote w:id="13">
    <w:p w14:paraId="569EDD89" w14:textId="77777777" w:rsidR="008D11CB" w:rsidRPr="00674815" w:rsidRDefault="008D11CB" w:rsidP="008D11CB">
      <w:pPr>
        <w:pStyle w:val="FootnoteText"/>
        <w:rPr>
          <w:sz w:val="20"/>
          <w:szCs w:val="20"/>
        </w:rPr>
      </w:pPr>
      <w:r w:rsidRPr="00674815">
        <w:rPr>
          <w:rStyle w:val="FootnoteReference"/>
        </w:rPr>
        <w:footnoteRef/>
      </w:r>
      <w:r w:rsidRPr="00674815">
        <w:rPr>
          <w:sz w:val="20"/>
          <w:szCs w:val="20"/>
        </w:rPr>
        <w:t xml:space="preserve"> </w:t>
      </w:r>
      <w:r w:rsidRPr="00674815">
        <w:rPr>
          <w:i/>
          <w:sz w:val="20"/>
          <w:szCs w:val="20"/>
        </w:rPr>
        <w:t>Book Publishing Industry 2014</w:t>
      </w:r>
      <w:r w:rsidRPr="00674815">
        <w:rPr>
          <w:sz w:val="20"/>
          <w:szCs w:val="20"/>
        </w:rPr>
        <w:t xml:space="preserve"> (Statistics Canada, 2016)</w:t>
      </w:r>
      <w:r>
        <w:rPr>
          <w:sz w:val="20"/>
          <w:szCs w:val="20"/>
        </w:rPr>
        <w:t>.</w:t>
      </w:r>
      <w:r w:rsidRPr="00674815">
        <w:rPr>
          <w:sz w:val="20"/>
          <w:szCs w:val="20"/>
        </w:rPr>
        <w:t xml:space="preserve"> Accessed online: </w:t>
      </w:r>
      <w:hyperlink r:id="rId11" w:history="1">
        <w:r w:rsidRPr="00674815">
          <w:rPr>
            <w:rStyle w:val="Hyperlink"/>
            <w:sz w:val="20"/>
            <w:szCs w:val="20"/>
          </w:rPr>
          <w:t>http://www.statcan.gc.ca/daily-quotidien/160519/dq160519e-eng.htm</w:t>
        </w:r>
      </w:hyperlink>
      <w:r w:rsidRPr="00674815">
        <w:rPr>
          <w:sz w:val="20"/>
          <w:szCs w:val="20"/>
        </w:rPr>
        <w:t xml:space="preserve"> </w:t>
      </w:r>
    </w:p>
  </w:footnote>
  <w:footnote w:id="14">
    <w:p w14:paraId="27A5B985" w14:textId="77777777" w:rsidR="008D11CB" w:rsidRPr="004A03CC" w:rsidRDefault="008D11CB" w:rsidP="008D11CB">
      <w:pPr>
        <w:pStyle w:val="FootnoteText"/>
        <w:rPr>
          <w:rFonts w:ascii="Mrs Eaves XL Serif OT Reg" w:hAnsi="Mrs Eaves XL Serif OT Reg"/>
          <w:sz w:val="16"/>
          <w:szCs w:val="16"/>
        </w:rPr>
      </w:pPr>
      <w:r w:rsidRPr="004A03CC">
        <w:rPr>
          <w:rStyle w:val="FootnoteReference"/>
          <w:rFonts w:ascii="Mrs Eaves XL Serif OT Reg" w:hAnsi="Mrs Eaves XL Serif OT Reg"/>
        </w:rPr>
        <w:footnoteRef/>
      </w:r>
      <w:r w:rsidRPr="004A03CC">
        <w:rPr>
          <w:rFonts w:ascii="Mrs Eaves XL Serif OT Reg" w:hAnsi="Mrs Eaves XL Serif OT Reg"/>
          <w:sz w:val="20"/>
          <w:szCs w:val="20"/>
        </w:rPr>
        <w:t xml:space="preserve"> </w:t>
      </w:r>
      <w:r w:rsidRPr="004A03CC">
        <w:rPr>
          <w:rFonts w:ascii="Mrs Eaves XL Serif OT Reg" w:hAnsi="Mrs Eaves XL Serif OT Reg"/>
          <w:i/>
          <w:sz w:val="20"/>
          <w:szCs w:val="20"/>
        </w:rPr>
        <w:t>Book Sales are Dropping</w:t>
      </w:r>
      <w:r w:rsidRPr="004A03CC">
        <w:rPr>
          <w:rFonts w:ascii="Mrs Eaves XL Serif OT Reg" w:hAnsi="Mrs Eaves XL Serif OT Reg"/>
          <w:sz w:val="20"/>
          <w:szCs w:val="20"/>
        </w:rPr>
        <w:t xml:space="preserve"> (Statistics Canada, 2016). Accessed online: </w:t>
      </w:r>
      <w:hyperlink r:id="rId12" w:history="1">
        <w:r w:rsidRPr="004A03CC">
          <w:rPr>
            <w:rStyle w:val="Hyperlink"/>
            <w:rFonts w:ascii="Mrs Eaves XL Serif OT Reg" w:hAnsi="Mrs Eaves XL Serif OT Reg"/>
            <w:sz w:val="20"/>
            <w:szCs w:val="20"/>
          </w:rPr>
          <w:t>http://www.statcan.gc.ca/pub/11-402-x/2011000/chap/culture/culture02-eng.htm</w:t>
        </w:r>
      </w:hyperlink>
    </w:p>
  </w:footnote>
  <w:footnote w:id="15">
    <w:p w14:paraId="1BCAFA9C" w14:textId="77777777" w:rsidR="008D11CB" w:rsidRPr="004A03CC" w:rsidRDefault="008D11CB" w:rsidP="008D11CB">
      <w:pPr>
        <w:pStyle w:val="FootnoteText"/>
        <w:rPr>
          <w:rFonts w:ascii="Mrs Eaves XL Serif OT Reg" w:hAnsi="Mrs Eaves XL Serif OT Reg"/>
          <w:lang w:val="en-CA"/>
        </w:rPr>
      </w:pPr>
      <w:r w:rsidRPr="004A03CC">
        <w:rPr>
          <w:rStyle w:val="FootnoteReference"/>
          <w:rFonts w:ascii="Mrs Eaves XL Serif OT Reg" w:hAnsi="Mrs Eaves XL Serif OT Reg"/>
        </w:rPr>
        <w:footnoteRef/>
      </w:r>
      <w:r w:rsidRPr="004A03CC">
        <w:rPr>
          <w:rFonts w:ascii="Mrs Eaves XL Serif OT Reg" w:hAnsi="Mrs Eaves XL Serif OT Reg"/>
        </w:rPr>
        <w:t xml:space="preserve"> </w:t>
      </w:r>
      <w:r w:rsidRPr="004A03CC">
        <w:rPr>
          <w:rFonts w:ascii="Mrs Eaves XL Serif OT Reg" w:hAnsi="Mrs Eaves XL Serif OT Reg"/>
          <w:sz w:val="20"/>
          <w:szCs w:val="20"/>
        </w:rPr>
        <w:t xml:space="preserve">Rajiv </w:t>
      </w:r>
      <w:proofErr w:type="spellStart"/>
      <w:r w:rsidRPr="004A03CC">
        <w:rPr>
          <w:rFonts w:ascii="Mrs Eaves XL Serif OT Reg" w:hAnsi="Mrs Eaves XL Serif OT Reg"/>
          <w:sz w:val="20"/>
          <w:szCs w:val="20"/>
        </w:rPr>
        <w:t>Jhangiani</w:t>
      </w:r>
      <w:proofErr w:type="spellEnd"/>
      <w:r w:rsidRPr="004A03CC">
        <w:rPr>
          <w:rFonts w:ascii="Mrs Eaves XL Serif OT Reg" w:hAnsi="Mrs Eaves XL Serif OT Reg"/>
          <w:sz w:val="20"/>
          <w:szCs w:val="20"/>
        </w:rPr>
        <w:t xml:space="preserve"> and </w:t>
      </w:r>
      <w:proofErr w:type="spellStart"/>
      <w:r w:rsidRPr="004A03CC">
        <w:rPr>
          <w:rFonts w:ascii="Mrs Eaves XL Serif OT Reg" w:hAnsi="Mrs Eaves XL Serif OT Reg"/>
          <w:sz w:val="20"/>
          <w:szCs w:val="20"/>
        </w:rPr>
        <w:t>Surita</w:t>
      </w:r>
      <w:proofErr w:type="spellEnd"/>
      <w:r w:rsidRPr="004A03CC">
        <w:rPr>
          <w:rFonts w:ascii="Mrs Eaves XL Serif OT Reg" w:hAnsi="Mrs Eaves XL Serif OT Reg"/>
          <w:sz w:val="20"/>
          <w:szCs w:val="20"/>
        </w:rPr>
        <w:t xml:space="preserve"> </w:t>
      </w:r>
      <w:proofErr w:type="spellStart"/>
      <w:r w:rsidRPr="004A03CC">
        <w:rPr>
          <w:rFonts w:ascii="Mrs Eaves XL Serif OT Reg" w:hAnsi="Mrs Eaves XL Serif OT Reg"/>
          <w:sz w:val="20"/>
          <w:szCs w:val="20"/>
        </w:rPr>
        <w:t>Jhangiani</w:t>
      </w:r>
      <w:proofErr w:type="spellEnd"/>
      <w:r w:rsidRPr="004A03CC">
        <w:rPr>
          <w:rFonts w:ascii="Mrs Eaves XL Serif OT Reg" w:hAnsi="Mrs Eaves XL Serif OT Reg"/>
          <w:sz w:val="20"/>
          <w:szCs w:val="20"/>
        </w:rPr>
        <w:t xml:space="preserve">, “Investigating the Perceptions, Use, and Impact of Open Textbooks: A Survey of Post-Secondary Students in British Columbia,” </w:t>
      </w:r>
      <w:r w:rsidRPr="004A03CC">
        <w:rPr>
          <w:rFonts w:ascii="Mrs Eaves XL Serif OT Reg" w:hAnsi="Mrs Eaves XL Serif OT Reg"/>
          <w:i/>
          <w:sz w:val="20"/>
          <w:szCs w:val="20"/>
        </w:rPr>
        <w:t>International Review of Research in Open and Distributed Learning 18</w:t>
      </w:r>
      <w:r w:rsidRPr="004A03CC">
        <w:rPr>
          <w:rFonts w:ascii="Mrs Eaves XL Serif OT Reg" w:hAnsi="Mrs Eaves XL Serif OT Reg"/>
          <w:sz w:val="20"/>
          <w:szCs w:val="20"/>
        </w:rPr>
        <w:t xml:space="preserve">, no. 4 (June 2017): 172-192. </w:t>
      </w:r>
      <w:hyperlink r:id="rId13" w:history="1">
        <w:r w:rsidRPr="004A03CC">
          <w:rPr>
            <w:rStyle w:val="Hyperlink"/>
            <w:rFonts w:ascii="Mrs Eaves XL Serif OT Reg" w:hAnsi="Mrs Eaves XL Serif OT Reg"/>
            <w:sz w:val="20"/>
            <w:szCs w:val="20"/>
          </w:rPr>
          <w:t>http://www.irrodl.org/index.php/irrodl/article/view/3012/4214</w:t>
        </w:r>
      </w:hyperlink>
    </w:p>
  </w:footnote>
  <w:footnote w:id="16">
    <w:p w14:paraId="54FCFD99" w14:textId="77777777" w:rsidR="008D11CB" w:rsidRPr="00DB5628" w:rsidRDefault="008D11CB" w:rsidP="008D11CB">
      <w:pPr>
        <w:pStyle w:val="FootnoteText"/>
        <w:rPr>
          <w:rFonts w:ascii="Calibri" w:hAnsi="Calibri"/>
          <w:sz w:val="20"/>
          <w:szCs w:val="20"/>
          <w:lang w:val="en-CA"/>
        </w:rPr>
      </w:pPr>
      <w:r w:rsidRPr="00DB5628">
        <w:rPr>
          <w:rStyle w:val="FootnoteReference"/>
          <w:rFonts w:ascii="Calibri" w:hAnsi="Calibri"/>
          <w:sz w:val="20"/>
          <w:szCs w:val="20"/>
        </w:rPr>
        <w:footnoteRef/>
      </w:r>
      <w:r w:rsidRPr="00DB5628">
        <w:rPr>
          <w:rFonts w:ascii="Calibri" w:hAnsi="Calibri"/>
          <w:sz w:val="20"/>
          <w:szCs w:val="20"/>
        </w:rPr>
        <w:t xml:space="preserve"> </w:t>
      </w:r>
      <w:r w:rsidRPr="00DB5628">
        <w:rPr>
          <w:rFonts w:ascii="Calibri" w:hAnsi="Calibri"/>
          <w:i/>
          <w:sz w:val="20"/>
          <w:szCs w:val="20"/>
          <w:lang w:val="en-CA"/>
        </w:rPr>
        <w:t xml:space="preserve">Education/OER </w:t>
      </w:r>
      <w:r w:rsidRPr="00DB5628">
        <w:rPr>
          <w:rFonts w:ascii="Calibri" w:hAnsi="Calibri"/>
          <w:sz w:val="20"/>
          <w:szCs w:val="20"/>
          <w:lang w:val="en-CA"/>
        </w:rPr>
        <w:t xml:space="preserve">(Creative Commons). Accessed online: </w:t>
      </w:r>
      <w:hyperlink r:id="rId14" w:history="1">
        <w:r w:rsidRPr="00DB5628">
          <w:rPr>
            <w:rStyle w:val="Hyperlink"/>
            <w:rFonts w:ascii="Calibri" w:hAnsi="Calibri"/>
            <w:sz w:val="20"/>
            <w:szCs w:val="20"/>
            <w:lang w:val="en-CA"/>
          </w:rPr>
          <w:t>https://creativecommons.org/about/program-areas/education-oer/</w:t>
        </w:r>
      </w:hyperlink>
      <w:r w:rsidRPr="00DB5628">
        <w:rPr>
          <w:rFonts w:ascii="Calibri" w:hAnsi="Calibri"/>
          <w:sz w:val="20"/>
          <w:szCs w:val="20"/>
          <w:lang w:val="en-CA"/>
        </w:rPr>
        <w:t xml:space="preserve"> </w:t>
      </w:r>
    </w:p>
  </w:footnote>
  <w:footnote w:id="17">
    <w:p w14:paraId="0899C900" w14:textId="77777777" w:rsidR="008D11CB" w:rsidRPr="00DB5628" w:rsidRDefault="008D11CB" w:rsidP="008D11CB">
      <w:pPr>
        <w:pStyle w:val="FootnoteText"/>
        <w:rPr>
          <w:rFonts w:ascii="Calibri" w:hAnsi="Calibri"/>
          <w:sz w:val="20"/>
          <w:szCs w:val="20"/>
        </w:rPr>
      </w:pPr>
      <w:r w:rsidRPr="00DB5628">
        <w:rPr>
          <w:rStyle w:val="FootnoteReference"/>
          <w:rFonts w:ascii="Calibri" w:hAnsi="Calibri"/>
          <w:sz w:val="20"/>
          <w:szCs w:val="20"/>
        </w:rPr>
        <w:footnoteRef/>
      </w:r>
      <w:r w:rsidRPr="00DB5628">
        <w:rPr>
          <w:rFonts w:ascii="Calibri" w:hAnsi="Calibri"/>
          <w:sz w:val="20"/>
          <w:szCs w:val="20"/>
        </w:rPr>
        <w:t xml:space="preserve"> </w:t>
      </w:r>
      <w:r w:rsidRPr="00DB5628">
        <w:rPr>
          <w:rFonts w:ascii="Calibri" w:hAnsi="Calibri"/>
          <w:i/>
          <w:sz w:val="20"/>
          <w:szCs w:val="20"/>
        </w:rPr>
        <w:t>Open Textbook Stats, Known adoptions in B.C.</w:t>
      </w:r>
      <w:r w:rsidRPr="00DB5628">
        <w:rPr>
          <w:rFonts w:ascii="Calibri" w:hAnsi="Calibri"/>
          <w:sz w:val="20"/>
          <w:szCs w:val="20"/>
        </w:rPr>
        <w:t xml:space="preserve"> (BC Campus </w:t>
      </w:r>
      <w:proofErr w:type="spellStart"/>
      <w:r w:rsidRPr="00DB5628">
        <w:rPr>
          <w:rFonts w:ascii="Calibri" w:hAnsi="Calibri"/>
          <w:sz w:val="20"/>
          <w:szCs w:val="20"/>
        </w:rPr>
        <w:t>OpenED</w:t>
      </w:r>
      <w:proofErr w:type="spellEnd"/>
      <w:r w:rsidRPr="00DB5628">
        <w:rPr>
          <w:rFonts w:ascii="Calibri" w:hAnsi="Calibri"/>
          <w:sz w:val="20"/>
          <w:szCs w:val="20"/>
        </w:rPr>
        <w:t>)</w:t>
      </w:r>
      <w:r w:rsidRPr="00DB5628">
        <w:rPr>
          <w:rFonts w:ascii="Calibri" w:hAnsi="Calibri"/>
          <w:i/>
          <w:sz w:val="20"/>
          <w:szCs w:val="20"/>
        </w:rPr>
        <w:t xml:space="preserve">. </w:t>
      </w:r>
      <w:r w:rsidRPr="00DB5628">
        <w:rPr>
          <w:rFonts w:ascii="Calibri" w:hAnsi="Calibri"/>
          <w:sz w:val="20"/>
          <w:szCs w:val="20"/>
        </w:rPr>
        <w:t xml:space="preserve">Accessed online: </w:t>
      </w:r>
      <w:hyperlink r:id="rId15" w:history="1">
        <w:r w:rsidRPr="00DB5628">
          <w:rPr>
            <w:rStyle w:val="Hyperlink"/>
            <w:rFonts w:ascii="Calibri" w:hAnsi="Calibri"/>
            <w:sz w:val="20"/>
            <w:szCs w:val="20"/>
          </w:rPr>
          <w:t>https://open.bccampus.ca/open-textbook-stats/</w:t>
        </w:r>
      </w:hyperlink>
      <w:r w:rsidRPr="00DB5628">
        <w:rPr>
          <w:rFonts w:ascii="Calibri" w:hAnsi="Calibri"/>
          <w:sz w:val="20"/>
          <w:szCs w:val="20"/>
        </w:rPr>
        <w:t xml:space="preserve"> </w:t>
      </w:r>
    </w:p>
  </w:footnote>
  <w:footnote w:id="18">
    <w:p w14:paraId="0EC0C67E" w14:textId="77777777" w:rsidR="008D11CB" w:rsidRPr="00456579" w:rsidRDefault="008D11CB" w:rsidP="008D11CB">
      <w:pPr>
        <w:pStyle w:val="FootnoteText"/>
        <w:rPr>
          <w:sz w:val="20"/>
          <w:szCs w:val="20"/>
        </w:rPr>
      </w:pPr>
      <w:r w:rsidRPr="00DB5628">
        <w:rPr>
          <w:rStyle w:val="FootnoteReference"/>
          <w:rFonts w:ascii="Calibri" w:hAnsi="Calibri"/>
        </w:rPr>
        <w:footnoteRef/>
      </w:r>
      <w:r w:rsidRPr="00DB5628">
        <w:rPr>
          <w:rFonts w:ascii="Calibri" w:hAnsi="Calibri"/>
        </w:rPr>
        <w:t xml:space="preserve"> </w:t>
      </w:r>
      <w:proofErr w:type="spellStart"/>
      <w:r w:rsidRPr="00DB5628">
        <w:rPr>
          <w:rFonts w:ascii="Calibri" w:hAnsi="Calibri"/>
          <w:sz w:val="20"/>
          <w:szCs w:val="20"/>
        </w:rPr>
        <w:t>Jhangiani</w:t>
      </w:r>
      <w:proofErr w:type="spellEnd"/>
      <w:r w:rsidRPr="00DB5628">
        <w:rPr>
          <w:rFonts w:ascii="Calibri" w:hAnsi="Calibri"/>
          <w:sz w:val="20"/>
          <w:szCs w:val="20"/>
        </w:rPr>
        <w:t xml:space="preserve"> and </w:t>
      </w:r>
      <w:proofErr w:type="spellStart"/>
      <w:r w:rsidRPr="00DB5628">
        <w:rPr>
          <w:rFonts w:ascii="Calibri" w:hAnsi="Calibri"/>
          <w:sz w:val="20"/>
          <w:szCs w:val="20"/>
        </w:rPr>
        <w:t>Jhangiani</w:t>
      </w:r>
      <w:proofErr w:type="spellEnd"/>
      <w:r w:rsidRPr="00DB5628">
        <w:rPr>
          <w:rFonts w:ascii="Calibri" w:hAnsi="Calibri"/>
          <w:sz w:val="20"/>
          <w:szCs w:val="20"/>
        </w:rPr>
        <w:t>, “Investigating the Perceptions, Use, and Impact of Open Textbooks: A Survey of Post-Secondary Students in British Columbia,” 172-192.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F1C97"/>
    <w:multiLevelType w:val="hybridMultilevel"/>
    <w:tmpl w:val="2962F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6C0078"/>
    <w:multiLevelType w:val="hybridMultilevel"/>
    <w:tmpl w:val="698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93F03"/>
    <w:multiLevelType w:val="hybridMultilevel"/>
    <w:tmpl w:val="13B6A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750B25"/>
    <w:multiLevelType w:val="hybridMultilevel"/>
    <w:tmpl w:val="49CEF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CB"/>
    <w:rsid w:val="00022EFE"/>
    <w:rsid w:val="00057074"/>
    <w:rsid w:val="0015005F"/>
    <w:rsid w:val="001C235C"/>
    <w:rsid w:val="001F458C"/>
    <w:rsid w:val="00243758"/>
    <w:rsid w:val="00301CAA"/>
    <w:rsid w:val="00351D94"/>
    <w:rsid w:val="004114AD"/>
    <w:rsid w:val="004A03CC"/>
    <w:rsid w:val="004A37F3"/>
    <w:rsid w:val="004D57EA"/>
    <w:rsid w:val="004D63D7"/>
    <w:rsid w:val="005476B8"/>
    <w:rsid w:val="00583115"/>
    <w:rsid w:val="005D51C9"/>
    <w:rsid w:val="006206F6"/>
    <w:rsid w:val="006A7F31"/>
    <w:rsid w:val="007D7336"/>
    <w:rsid w:val="007E562F"/>
    <w:rsid w:val="008046B1"/>
    <w:rsid w:val="00884135"/>
    <w:rsid w:val="00892FC9"/>
    <w:rsid w:val="008A0555"/>
    <w:rsid w:val="008D11CB"/>
    <w:rsid w:val="00915124"/>
    <w:rsid w:val="009A0280"/>
    <w:rsid w:val="009D7116"/>
    <w:rsid w:val="009E51AF"/>
    <w:rsid w:val="00A13639"/>
    <w:rsid w:val="00AA50E2"/>
    <w:rsid w:val="00AC49CD"/>
    <w:rsid w:val="00B466F7"/>
    <w:rsid w:val="00BA275A"/>
    <w:rsid w:val="00C1685D"/>
    <w:rsid w:val="00CB4B1C"/>
    <w:rsid w:val="00DB5628"/>
    <w:rsid w:val="00DC15EF"/>
    <w:rsid w:val="00E17D6F"/>
    <w:rsid w:val="00E40D29"/>
    <w:rsid w:val="00EB75FD"/>
    <w:rsid w:val="00EF2A4F"/>
    <w:rsid w:val="00F236EA"/>
    <w:rsid w:val="00FC79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2C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1CB"/>
  </w:style>
  <w:style w:type="paragraph" w:styleId="Heading1">
    <w:name w:val="heading 1"/>
    <w:basedOn w:val="Normal"/>
    <w:next w:val="Normal"/>
    <w:link w:val="Heading1Char"/>
    <w:uiPriority w:val="9"/>
    <w:qFormat/>
    <w:rsid w:val="00022EFE"/>
    <w:pPr>
      <w:outlineLvl w:val="0"/>
    </w:pPr>
    <w:rPr>
      <w:b/>
      <w:sz w:val="44"/>
    </w:rPr>
  </w:style>
  <w:style w:type="paragraph" w:styleId="Heading2">
    <w:name w:val="heading 2"/>
    <w:basedOn w:val="Normal"/>
    <w:next w:val="Normal"/>
    <w:link w:val="Heading2Char"/>
    <w:uiPriority w:val="9"/>
    <w:unhideWhenUsed/>
    <w:qFormat/>
    <w:rsid w:val="00022EFE"/>
    <w:pPr>
      <w:outlineLvl w:val="1"/>
    </w:pPr>
    <w:rPr>
      <w:sz w:val="40"/>
    </w:rPr>
  </w:style>
  <w:style w:type="paragraph" w:styleId="Heading3">
    <w:name w:val="heading 3"/>
    <w:basedOn w:val="Normal"/>
    <w:next w:val="Normal"/>
    <w:link w:val="Heading3Char"/>
    <w:uiPriority w:val="9"/>
    <w:unhideWhenUsed/>
    <w:qFormat/>
    <w:rsid w:val="00022EFE"/>
    <w:pPr>
      <w:ind w:left="720" w:hanging="720"/>
      <w:outlineLvl w:val="2"/>
    </w:pPr>
    <w:rPr>
      <w:rFonts w:ascii="Calibri" w:hAnsi="Calibr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ar, Car Car Car Car Car, Car Car Car, Car Car Car Car Car Car Car,Footnote Text Char Char Char,Footnote Text Char Char"/>
    <w:basedOn w:val="Normal"/>
    <w:link w:val="FootnoteTextChar"/>
    <w:uiPriority w:val="99"/>
    <w:unhideWhenUsed/>
    <w:rsid w:val="008D11CB"/>
  </w:style>
  <w:style w:type="character" w:customStyle="1" w:styleId="FootnoteTextChar">
    <w:name w:val="Footnote Text Char"/>
    <w:aliases w:val=" Car Char, Car Car Car Car Car Char, Car Car Car Char, Car Car Car Car Car Car Car Char,Footnote Text Char Char Char Char,Footnote Text Char Char Char1"/>
    <w:basedOn w:val="DefaultParagraphFont"/>
    <w:link w:val="FootnoteText"/>
    <w:uiPriority w:val="99"/>
    <w:rsid w:val="008D11CB"/>
  </w:style>
  <w:style w:type="character" w:styleId="FootnoteReference">
    <w:name w:val="footnote reference"/>
    <w:basedOn w:val="DefaultParagraphFont"/>
    <w:uiPriority w:val="99"/>
    <w:unhideWhenUsed/>
    <w:rsid w:val="008D11CB"/>
    <w:rPr>
      <w:vertAlign w:val="superscript"/>
    </w:rPr>
  </w:style>
  <w:style w:type="character" w:styleId="Hyperlink">
    <w:name w:val="Hyperlink"/>
    <w:basedOn w:val="DefaultParagraphFont"/>
    <w:uiPriority w:val="99"/>
    <w:unhideWhenUsed/>
    <w:rsid w:val="008D11CB"/>
    <w:rPr>
      <w:color w:val="0563C1" w:themeColor="hyperlink"/>
      <w:u w:val="single"/>
    </w:rPr>
  </w:style>
  <w:style w:type="character" w:styleId="CommentReference">
    <w:name w:val="annotation reference"/>
    <w:basedOn w:val="DefaultParagraphFont"/>
    <w:uiPriority w:val="99"/>
    <w:semiHidden/>
    <w:unhideWhenUsed/>
    <w:rsid w:val="008D11CB"/>
    <w:rPr>
      <w:sz w:val="18"/>
      <w:szCs w:val="18"/>
    </w:rPr>
  </w:style>
  <w:style w:type="paragraph" w:styleId="ListParagraph">
    <w:name w:val="List Paragraph"/>
    <w:basedOn w:val="Normal"/>
    <w:uiPriority w:val="34"/>
    <w:qFormat/>
    <w:rsid w:val="008D11CB"/>
    <w:pPr>
      <w:ind w:left="720"/>
      <w:contextualSpacing/>
    </w:pPr>
  </w:style>
  <w:style w:type="paragraph" w:styleId="CommentText">
    <w:name w:val="annotation text"/>
    <w:basedOn w:val="Normal"/>
    <w:link w:val="CommentTextChar"/>
    <w:uiPriority w:val="99"/>
    <w:semiHidden/>
    <w:unhideWhenUsed/>
    <w:rsid w:val="008D11CB"/>
  </w:style>
  <w:style w:type="character" w:customStyle="1" w:styleId="CommentTextChar">
    <w:name w:val="Comment Text Char"/>
    <w:basedOn w:val="DefaultParagraphFont"/>
    <w:link w:val="CommentText"/>
    <w:uiPriority w:val="99"/>
    <w:semiHidden/>
    <w:rsid w:val="008D11CB"/>
  </w:style>
  <w:style w:type="paragraph" w:styleId="BalloonText">
    <w:name w:val="Balloon Text"/>
    <w:basedOn w:val="Normal"/>
    <w:link w:val="BalloonTextChar"/>
    <w:uiPriority w:val="99"/>
    <w:semiHidden/>
    <w:unhideWhenUsed/>
    <w:rsid w:val="008D11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11CB"/>
    <w:rPr>
      <w:rFonts w:ascii="Times New Roman" w:hAnsi="Times New Roman" w:cs="Times New Roman"/>
      <w:sz w:val="18"/>
      <w:szCs w:val="18"/>
    </w:rPr>
  </w:style>
  <w:style w:type="paragraph" w:customStyle="1" w:styleId="p1">
    <w:name w:val="p1"/>
    <w:basedOn w:val="Normal"/>
    <w:rsid w:val="008D11CB"/>
    <w:rPr>
      <w:rFonts w:ascii="Times" w:hAnsi="Times" w:cs="Times New Roman"/>
      <w:sz w:val="18"/>
      <w:szCs w:val="18"/>
    </w:rPr>
  </w:style>
  <w:style w:type="character" w:customStyle="1" w:styleId="Heading1Char">
    <w:name w:val="Heading 1 Char"/>
    <w:basedOn w:val="DefaultParagraphFont"/>
    <w:link w:val="Heading1"/>
    <w:uiPriority w:val="9"/>
    <w:rsid w:val="00022EFE"/>
    <w:rPr>
      <w:b/>
      <w:sz w:val="44"/>
    </w:rPr>
  </w:style>
  <w:style w:type="paragraph" w:styleId="CommentSubject">
    <w:name w:val="annotation subject"/>
    <w:basedOn w:val="CommentText"/>
    <w:next w:val="CommentText"/>
    <w:link w:val="CommentSubjectChar"/>
    <w:uiPriority w:val="99"/>
    <w:semiHidden/>
    <w:unhideWhenUsed/>
    <w:rsid w:val="00351D94"/>
    <w:rPr>
      <w:b/>
      <w:bCs/>
      <w:sz w:val="20"/>
      <w:szCs w:val="20"/>
    </w:rPr>
  </w:style>
  <w:style w:type="character" w:customStyle="1" w:styleId="CommentSubjectChar">
    <w:name w:val="Comment Subject Char"/>
    <w:basedOn w:val="CommentTextChar"/>
    <w:link w:val="CommentSubject"/>
    <w:uiPriority w:val="99"/>
    <w:semiHidden/>
    <w:rsid w:val="00351D94"/>
    <w:rPr>
      <w:b/>
      <w:bCs/>
      <w:sz w:val="20"/>
      <w:szCs w:val="20"/>
    </w:rPr>
  </w:style>
  <w:style w:type="character" w:customStyle="1" w:styleId="Heading2Char">
    <w:name w:val="Heading 2 Char"/>
    <w:basedOn w:val="DefaultParagraphFont"/>
    <w:link w:val="Heading2"/>
    <w:uiPriority w:val="9"/>
    <w:rsid w:val="00022EFE"/>
    <w:rPr>
      <w:sz w:val="40"/>
    </w:rPr>
  </w:style>
  <w:style w:type="character" w:customStyle="1" w:styleId="Heading3Char">
    <w:name w:val="Heading 3 Char"/>
    <w:basedOn w:val="DefaultParagraphFont"/>
    <w:link w:val="Heading3"/>
    <w:uiPriority w:val="9"/>
    <w:rsid w:val="00022EFE"/>
    <w:rPr>
      <w:rFonts w:ascii="Calibri" w:hAnsi="Calibri"/>
      <w:b/>
      <w:sz w:val="32"/>
      <w:szCs w:val="32"/>
    </w:rPr>
  </w:style>
  <w:style w:type="character" w:styleId="FollowedHyperlink">
    <w:name w:val="FollowedHyperlink"/>
    <w:basedOn w:val="DefaultParagraphFont"/>
    <w:uiPriority w:val="99"/>
    <w:semiHidden/>
    <w:unhideWhenUsed/>
    <w:rsid w:val="007D7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457">
      <w:bodyDiv w:val="1"/>
      <w:marLeft w:val="0"/>
      <w:marRight w:val="0"/>
      <w:marTop w:val="0"/>
      <w:marBottom w:val="0"/>
      <w:divBdr>
        <w:top w:val="none" w:sz="0" w:space="0" w:color="auto"/>
        <w:left w:val="none" w:sz="0" w:space="0" w:color="auto"/>
        <w:bottom w:val="none" w:sz="0" w:space="0" w:color="auto"/>
        <w:right w:val="none" w:sz="0" w:space="0" w:color="auto"/>
      </w:divBdr>
    </w:div>
    <w:div w:id="211423469">
      <w:bodyDiv w:val="1"/>
      <w:marLeft w:val="0"/>
      <w:marRight w:val="0"/>
      <w:marTop w:val="0"/>
      <w:marBottom w:val="0"/>
      <w:divBdr>
        <w:top w:val="none" w:sz="0" w:space="0" w:color="auto"/>
        <w:left w:val="none" w:sz="0" w:space="0" w:color="auto"/>
        <w:bottom w:val="none" w:sz="0" w:space="0" w:color="auto"/>
        <w:right w:val="none" w:sz="0" w:space="0" w:color="auto"/>
      </w:divBdr>
      <w:divsChild>
        <w:div w:id="1722560784">
          <w:marLeft w:val="-225"/>
          <w:marRight w:val="-225"/>
          <w:marTop w:val="0"/>
          <w:marBottom w:val="0"/>
          <w:divBdr>
            <w:top w:val="none" w:sz="0" w:space="0" w:color="auto"/>
            <w:left w:val="none" w:sz="0" w:space="0" w:color="auto"/>
            <w:bottom w:val="none" w:sz="0" w:space="0" w:color="auto"/>
            <w:right w:val="none" w:sz="0" w:space="0" w:color="auto"/>
          </w:divBdr>
          <w:divsChild>
            <w:div w:id="1015765162">
              <w:marLeft w:val="0"/>
              <w:marRight w:val="0"/>
              <w:marTop w:val="0"/>
              <w:marBottom w:val="0"/>
              <w:divBdr>
                <w:top w:val="none" w:sz="0" w:space="0" w:color="auto"/>
                <w:left w:val="none" w:sz="0" w:space="0" w:color="auto"/>
                <w:bottom w:val="none" w:sz="0" w:space="0" w:color="auto"/>
                <w:right w:val="none" w:sz="0" w:space="0" w:color="auto"/>
              </w:divBdr>
              <w:divsChild>
                <w:div w:id="583808762">
                  <w:marLeft w:val="0"/>
                  <w:marRight w:val="0"/>
                  <w:marTop w:val="0"/>
                  <w:marBottom w:val="0"/>
                  <w:divBdr>
                    <w:top w:val="none" w:sz="0" w:space="0" w:color="auto"/>
                    <w:left w:val="none" w:sz="0" w:space="0" w:color="auto"/>
                    <w:bottom w:val="none" w:sz="0" w:space="0" w:color="auto"/>
                    <w:right w:val="none" w:sz="0" w:space="0" w:color="auto"/>
                  </w:divBdr>
                </w:div>
              </w:divsChild>
            </w:div>
            <w:div w:id="2073234603">
              <w:marLeft w:val="0"/>
              <w:marRight w:val="0"/>
              <w:marTop w:val="0"/>
              <w:marBottom w:val="0"/>
              <w:divBdr>
                <w:top w:val="none" w:sz="0" w:space="0" w:color="auto"/>
                <w:left w:val="none" w:sz="0" w:space="0" w:color="auto"/>
                <w:bottom w:val="none" w:sz="0" w:space="0" w:color="auto"/>
                <w:right w:val="none" w:sz="0" w:space="0" w:color="auto"/>
              </w:divBdr>
              <w:divsChild>
                <w:div w:id="1660032775">
                  <w:marLeft w:val="0"/>
                  <w:marRight w:val="0"/>
                  <w:marTop w:val="0"/>
                  <w:marBottom w:val="0"/>
                  <w:divBdr>
                    <w:top w:val="none" w:sz="0" w:space="0" w:color="auto"/>
                    <w:left w:val="none" w:sz="0" w:space="0" w:color="auto"/>
                    <w:bottom w:val="none" w:sz="0" w:space="0" w:color="auto"/>
                    <w:right w:val="none" w:sz="0" w:space="0" w:color="auto"/>
                  </w:divBdr>
                </w:div>
              </w:divsChild>
            </w:div>
            <w:div w:id="1812097538">
              <w:marLeft w:val="0"/>
              <w:marRight w:val="0"/>
              <w:marTop w:val="0"/>
              <w:marBottom w:val="0"/>
              <w:divBdr>
                <w:top w:val="none" w:sz="0" w:space="0" w:color="auto"/>
                <w:left w:val="none" w:sz="0" w:space="0" w:color="auto"/>
                <w:bottom w:val="none" w:sz="0" w:space="0" w:color="auto"/>
                <w:right w:val="none" w:sz="0" w:space="0" w:color="auto"/>
              </w:divBdr>
              <w:divsChild>
                <w:div w:id="2103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68537">
          <w:marLeft w:val="-225"/>
          <w:marRight w:val="-225"/>
          <w:marTop w:val="0"/>
          <w:marBottom w:val="0"/>
          <w:divBdr>
            <w:top w:val="none" w:sz="0" w:space="0" w:color="auto"/>
            <w:left w:val="none" w:sz="0" w:space="0" w:color="auto"/>
            <w:bottom w:val="none" w:sz="0" w:space="0" w:color="auto"/>
            <w:right w:val="none" w:sz="0" w:space="0" w:color="auto"/>
          </w:divBdr>
          <w:divsChild>
            <w:div w:id="1498882144">
              <w:marLeft w:val="0"/>
              <w:marRight w:val="0"/>
              <w:marTop w:val="0"/>
              <w:marBottom w:val="0"/>
              <w:divBdr>
                <w:top w:val="none" w:sz="0" w:space="0" w:color="auto"/>
                <w:left w:val="none" w:sz="0" w:space="0" w:color="auto"/>
                <w:bottom w:val="none" w:sz="0" w:space="0" w:color="auto"/>
                <w:right w:val="none" w:sz="0" w:space="0" w:color="auto"/>
              </w:divBdr>
              <w:divsChild>
                <w:div w:id="14889059">
                  <w:marLeft w:val="0"/>
                  <w:marRight w:val="0"/>
                  <w:marTop w:val="0"/>
                  <w:marBottom w:val="0"/>
                  <w:divBdr>
                    <w:top w:val="none" w:sz="0" w:space="0" w:color="auto"/>
                    <w:left w:val="none" w:sz="0" w:space="0" w:color="auto"/>
                    <w:bottom w:val="none" w:sz="0" w:space="0" w:color="auto"/>
                    <w:right w:val="none" w:sz="0" w:space="0" w:color="auto"/>
                  </w:divBdr>
                </w:div>
              </w:divsChild>
            </w:div>
            <w:div w:id="1233541214">
              <w:marLeft w:val="0"/>
              <w:marRight w:val="0"/>
              <w:marTop w:val="0"/>
              <w:marBottom w:val="0"/>
              <w:divBdr>
                <w:top w:val="none" w:sz="0" w:space="0" w:color="auto"/>
                <w:left w:val="none" w:sz="0" w:space="0" w:color="auto"/>
                <w:bottom w:val="none" w:sz="0" w:space="0" w:color="auto"/>
                <w:right w:val="none" w:sz="0" w:space="0" w:color="auto"/>
              </w:divBdr>
              <w:divsChild>
                <w:div w:id="1511606759">
                  <w:marLeft w:val="0"/>
                  <w:marRight w:val="0"/>
                  <w:marTop w:val="0"/>
                  <w:marBottom w:val="0"/>
                  <w:divBdr>
                    <w:top w:val="none" w:sz="0" w:space="0" w:color="auto"/>
                    <w:left w:val="none" w:sz="0" w:space="0" w:color="auto"/>
                    <w:bottom w:val="none" w:sz="0" w:space="0" w:color="auto"/>
                    <w:right w:val="none" w:sz="0" w:space="0" w:color="auto"/>
                  </w:divBdr>
                </w:div>
              </w:divsChild>
            </w:div>
            <w:div w:id="157497661">
              <w:marLeft w:val="0"/>
              <w:marRight w:val="0"/>
              <w:marTop w:val="0"/>
              <w:marBottom w:val="0"/>
              <w:divBdr>
                <w:top w:val="none" w:sz="0" w:space="0" w:color="auto"/>
                <w:left w:val="none" w:sz="0" w:space="0" w:color="auto"/>
                <w:bottom w:val="none" w:sz="0" w:space="0" w:color="auto"/>
                <w:right w:val="none" w:sz="0" w:space="0" w:color="auto"/>
              </w:divBdr>
              <w:divsChild>
                <w:div w:id="18575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9771">
          <w:marLeft w:val="-225"/>
          <w:marRight w:val="-225"/>
          <w:marTop w:val="0"/>
          <w:marBottom w:val="0"/>
          <w:divBdr>
            <w:top w:val="none" w:sz="0" w:space="0" w:color="auto"/>
            <w:left w:val="none" w:sz="0" w:space="0" w:color="auto"/>
            <w:bottom w:val="none" w:sz="0" w:space="0" w:color="auto"/>
            <w:right w:val="none" w:sz="0" w:space="0" w:color="auto"/>
          </w:divBdr>
          <w:divsChild>
            <w:div w:id="273561219">
              <w:marLeft w:val="0"/>
              <w:marRight w:val="0"/>
              <w:marTop w:val="0"/>
              <w:marBottom w:val="0"/>
              <w:divBdr>
                <w:top w:val="none" w:sz="0" w:space="0" w:color="auto"/>
                <w:left w:val="none" w:sz="0" w:space="0" w:color="auto"/>
                <w:bottom w:val="none" w:sz="0" w:space="0" w:color="auto"/>
                <w:right w:val="none" w:sz="0" w:space="0" w:color="auto"/>
              </w:divBdr>
              <w:divsChild>
                <w:div w:id="1018893247">
                  <w:marLeft w:val="0"/>
                  <w:marRight w:val="0"/>
                  <w:marTop w:val="0"/>
                  <w:marBottom w:val="0"/>
                  <w:divBdr>
                    <w:top w:val="none" w:sz="0" w:space="0" w:color="auto"/>
                    <w:left w:val="none" w:sz="0" w:space="0" w:color="auto"/>
                    <w:bottom w:val="none" w:sz="0" w:space="0" w:color="auto"/>
                    <w:right w:val="none" w:sz="0" w:space="0" w:color="auto"/>
                  </w:divBdr>
                </w:div>
              </w:divsChild>
            </w:div>
            <w:div w:id="969431660">
              <w:marLeft w:val="0"/>
              <w:marRight w:val="0"/>
              <w:marTop w:val="0"/>
              <w:marBottom w:val="0"/>
              <w:divBdr>
                <w:top w:val="none" w:sz="0" w:space="0" w:color="auto"/>
                <w:left w:val="none" w:sz="0" w:space="0" w:color="auto"/>
                <w:bottom w:val="none" w:sz="0" w:space="0" w:color="auto"/>
                <w:right w:val="none" w:sz="0" w:space="0" w:color="auto"/>
              </w:divBdr>
              <w:divsChild>
                <w:div w:id="1213537704">
                  <w:marLeft w:val="0"/>
                  <w:marRight w:val="0"/>
                  <w:marTop w:val="0"/>
                  <w:marBottom w:val="0"/>
                  <w:divBdr>
                    <w:top w:val="none" w:sz="0" w:space="0" w:color="auto"/>
                    <w:left w:val="none" w:sz="0" w:space="0" w:color="auto"/>
                    <w:bottom w:val="none" w:sz="0" w:space="0" w:color="auto"/>
                    <w:right w:val="none" w:sz="0" w:space="0" w:color="auto"/>
                  </w:divBdr>
                </w:div>
              </w:divsChild>
            </w:div>
            <w:div w:id="1361783738">
              <w:marLeft w:val="0"/>
              <w:marRight w:val="0"/>
              <w:marTop w:val="0"/>
              <w:marBottom w:val="0"/>
              <w:divBdr>
                <w:top w:val="none" w:sz="0" w:space="0" w:color="auto"/>
                <w:left w:val="none" w:sz="0" w:space="0" w:color="auto"/>
                <w:bottom w:val="none" w:sz="0" w:space="0" w:color="auto"/>
                <w:right w:val="none" w:sz="0" w:space="0" w:color="auto"/>
              </w:divBdr>
              <w:divsChild>
                <w:div w:id="12117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1296">
          <w:marLeft w:val="-225"/>
          <w:marRight w:val="-225"/>
          <w:marTop w:val="0"/>
          <w:marBottom w:val="0"/>
          <w:divBdr>
            <w:top w:val="none" w:sz="0" w:space="0" w:color="auto"/>
            <w:left w:val="none" w:sz="0" w:space="0" w:color="auto"/>
            <w:bottom w:val="none" w:sz="0" w:space="0" w:color="auto"/>
            <w:right w:val="none" w:sz="0" w:space="0" w:color="auto"/>
          </w:divBdr>
          <w:divsChild>
            <w:div w:id="535584918">
              <w:marLeft w:val="0"/>
              <w:marRight w:val="0"/>
              <w:marTop w:val="0"/>
              <w:marBottom w:val="0"/>
              <w:divBdr>
                <w:top w:val="none" w:sz="0" w:space="0" w:color="auto"/>
                <w:left w:val="none" w:sz="0" w:space="0" w:color="auto"/>
                <w:bottom w:val="none" w:sz="0" w:space="0" w:color="auto"/>
                <w:right w:val="none" w:sz="0" w:space="0" w:color="auto"/>
              </w:divBdr>
              <w:divsChild>
                <w:div w:id="625426467">
                  <w:marLeft w:val="0"/>
                  <w:marRight w:val="0"/>
                  <w:marTop w:val="0"/>
                  <w:marBottom w:val="0"/>
                  <w:divBdr>
                    <w:top w:val="none" w:sz="0" w:space="0" w:color="auto"/>
                    <w:left w:val="none" w:sz="0" w:space="0" w:color="auto"/>
                    <w:bottom w:val="none" w:sz="0" w:space="0" w:color="auto"/>
                    <w:right w:val="none" w:sz="0" w:space="0" w:color="auto"/>
                  </w:divBdr>
                </w:div>
              </w:divsChild>
            </w:div>
            <w:div w:id="714045768">
              <w:marLeft w:val="0"/>
              <w:marRight w:val="0"/>
              <w:marTop w:val="0"/>
              <w:marBottom w:val="0"/>
              <w:divBdr>
                <w:top w:val="none" w:sz="0" w:space="0" w:color="auto"/>
                <w:left w:val="none" w:sz="0" w:space="0" w:color="auto"/>
                <w:bottom w:val="none" w:sz="0" w:space="0" w:color="auto"/>
                <w:right w:val="none" w:sz="0" w:space="0" w:color="auto"/>
              </w:divBdr>
              <w:divsChild>
                <w:div w:id="66076704">
                  <w:marLeft w:val="0"/>
                  <w:marRight w:val="0"/>
                  <w:marTop w:val="0"/>
                  <w:marBottom w:val="0"/>
                  <w:divBdr>
                    <w:top w:val="none" w:sz="0" w:space="0" w:color="auto"/>
                    <w:left w:val="none" w:sz="0" w:space="0" w:color="auto"/>
                    <w:bottom w:val="none" w:sz="0" w:space="0" w:color="auto"/>
                    <w:right w:val="none" w:sz="0" w:space="0" w:color="auto"/>
                  </w:divBdr>
                </w:div>
              </w:divsChild>
            </w:div>
            <w:div w:id="553278792">
              <w:marLeft w:val="0"/>
              <w:marRight w:val="0"/>
              <w:marTop w:val="0"/>
              <w:marBottom w:val="0"/>
              <w:divBdr>
                <w:top w:val="none" w:sz="0" w:space="0" w:color="auto"/>
                <w:left w:val="none" w:sz="0" w:space="0" w:color="auto"/>
                <w:bottom w:val="none" w:sz="0" w:space="0" w:color="auto"/>
                <w:right w:val="none" w:sz="0" w:space="0" w:color="auto"/>
              </w:divBdr>
              <w:divsChild>
                <w:div w:id="18571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5324">
          <w:marLeft w:val="-225"/>
          <w:marRight w:val="-225"/>
          <w:marTop w:val="0"/>
          <w:marBottom w:val="0"/>
          <w:divBdr>
            <w:top w:val="none" w:sz="0" w:space="0" w:color="auto"/>
            <w:left w:val="none" w:sz="0" w:space="0" w:color="auto"/>
            <w:bottom w:val="none" w:sz="0" w:space="0" w:color="auto"/>
            <w:right w:val="none" w:sz="0" w:space="0" w:color="auto"/>
          </w:divBdr>
          <w:divsChild>
            <w:div w:id="1058437365">
              <w:marLeft w:val="0"/>
              <w:marRight w:val="0"/>
              <w:marTop w:val="0"/>
              <w:marBottom w:val="0"/>
              <w:divBdr>
                <w:top w:val="none" w:sz="0" w:space="0" w:color="auto"/>
                <w:left w:val="none" w:sz="0" w:space="0" w:color="auto"/>
                <w:bottom w:val="none" w:sz="0" w:space="0" w:color="auto"/>
                <w:right w:val="none" w:sz="0" w:space="0" w:color="auto"/>
              </w:divBdr>
              <w:divsChild>
                <w:div w:id="152917480">
                  <w:marLeft w:val="0"/>
                  <w:marRight w:val="0"/>
                  <w:marTop w:val="0"/>
                  <w:marBottom w:val="0"/>
                  <w:divBdr>
                    <w:top w:val="none" w:sz="0" w:space="0" w:color="auto"/>
                    <w:left w:val="none" w:sz="0" w:space="0" w:color="auto"/>
                    <w:bottom w:val="none" w:sz="0" w:space="0" w:color="auto"/>
                    <w:right w:val="none" w:sz="0" w:space="0" w:color="auto"/>
                  </w:divBdr>
                </w:div>
              </w:divsChild>
            </w:div>
            <w:div w:id="866065080">
              <w:marLeft w:val="0"/>
              <w:marRight w:val="0"/>
              <w:marTop w:val="0"/>
              <w:marBottom w:val="0"/>
              <w:divBdr>
                <w:top w:val="none" w:sz="0" w:space="0" w:color="auto"/>
                <w:left w:val="none" w:sz="0" w:space="0" w:color="auto"/>
                <w:bottom w:val="none" w:sz="0" w:space="0" w:color="auto"/>
                <w:right w:val="none" w:sz="0" w:space="0" w:color="auto"/>
              </w:divBdr>
              <w:divsChild>
                <w:div w:id="710425048">
                  <w:marLeft w:val="0"/>
                  <w:marRight w:val="0"/>
                  <w:marTop w:val="0"/>
                  <w:marBottom w:val="0"/>
                  <w:divBdr>
                    <w:top w:val="none" w:sz="0" w:space="0" w:color="auto"/>
                    <w:left w:val="none" w:sz="0" w:space="0" w:color="auto"/>
                    <w:bottom w:val="none" w:sz="0" w:space="0" w:color="auto"/>
                    <w:right w:val="none" w:sz="0" w:space="0" w:color="auto"/>
                  </w:divBdr>
                </w:div>
              </w:divsChild>
            </w:div>
            <w:div w:id="188104424">
              <w:marLeft w:val="0"/>
              <w:marRight w:val="0"/>
              <w:marTop w:val="0"/>
              <w:marBottom w:val="0"/>
              <w:divBdr>
                <w:top w:val="none" w:sz="0" w:space="0" w:color="auto"/>
                <w:left w:val="none" w:sz="0" w:space="0" w:color="auto"/>
                <w:bottom w:val="none" w:sz="0" w:space="0" w:color="auto"/>
                <w:right w:val="none" w:sz="0" w:space="0" w:color="auto"/>
              </w:divBdr>
              <w:divsChild>
                <w:div w:id="7614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2672">
          <w:marLeft w:val="-225"/>
          <w:marRight w:val="-225"/>
          <w:marTop w:val="0"/>
          <w:marBottom w:val="0"/>
          <w:divBdr>
            <w:top w:val="none" w:sz="0" w:space="0" w:color="auto"/>
            <w:left w:val="none" w:sz="0" w:space="0" w:color="auto"/>
            <w:bottom w:val="none" w:sz="0" w:space="0" w:color="auto"/>
            <w:right w:val="none" w:sz="0" w:space="0" w:color="auto"/>
          </w:divBdr>
          <w:divsChild>
            <w:div w:id="1007560584">
              <w:marLeft w:val="0"/>
              <w:marRight w:val="0"/>
              <w:marTop w:val="0"/>
              <w:marBottom w:val="0"/>
              <w:divBdr>
                <w:top w:val="none" w:sz="0" w:space="0" w:color="auto"/>
                <w:left w:val="none" w:sz="0" w:space="0" w:color="auto"/>
                <w:bottom w:val="none" w:sz="0" w:space="0" w:color="auto"/>
                <w:right w:val="none" w:sz="0" w:space="0" w:color="auto"/>
              </w:divBdr>
              <w:divsChild>
                <w:div w:id="1803112098">
                  <w:marLeft w:val="0"/>
                  <w:marRight w:val="0"/>
                  <w:marTop w:val="0"/>
                  <w:marBottom w:val="0"/>
                  <w:divBdr>
                    <w:top w:val="none" w:sz="0" w:space="0" w:color="auto"/>
                    <w:left w:val="none" w:sz="0" w:space="0" w:color="auto"/>
                    <w:bottom w:val="none" w:sz="0" w:space="0" w:color="auto"/>
                    <w:right w:val="none" w:sz="0" w:space="0" w:color="auto"/>
                  </w:divBdr>
                </w:div>
              </w:divsChild>
            </w:div>
            <w:div w:id="1937057373">
              <w:marLeft w:val="0"/>
              <w:marRight w:val="0"/>
              <w:marTop w:val="0"/>
              <w:marBottom w:val="0"/>
              <w:divBdr>
                <w:top w:val="none" w:sz="0" w:space="0" w:color="auto"/>
                <w:left w:val="none" w:sz="0" w:space="0" w:color="auto"/>
                <w:bottom w:val="none" w:sz="0" w:space="0" w:color="auto"/>
                <w:right w:val="none" w:sz="0" w:space="0" w:color="auto"/>
              </w:divBdr>
              <w:divsChild>
                <w:div w:id="1329554852">
                  <w:marLeft w:val="0"/>
                  <w:marRight w:val="0"/>
                  <w:marTop w:val="0"/>
                  <w:marBottom w:val="0"/>
                  <w:divBdr>
                    <w:top w:val="none" w:sz="0" w:space="0" w:color="auto"/>
                    <w:left w:val="none" w:sz="0" w:space="0" w:color="auto"/>
                    <w:bottom w:val="none" w:sz="0" w:space="0" w:color="auto"/>
                    <w:right w:val="none" w:sz="0" w:space="0" w:color="auto"/>
                  </w:divBdr>
                </w:div>
              </w:divsChild>
            </w:div>
            <w:div w:id="1709644434">
              <w:marLeft w:val="0"/>
              <w:marRight w:val="0"/>
              <w:marTop w:val="0"/>
              <w:marBottom w:val="0"/>
              <w:divBdr>
                <w:top w:val="none" w:sz="0" w:space="0" w:color="auto"/>
                <w:left w:val="none" w:sz="0" w:space="0" w:color="auto"/>
                <w:bottom w:val="none" w:sz="0" w:space="0" w:color="auto"/>
                <w:right w:val="none" w:sz="0" w:space="0" w:color="auto"/>
              </w:divBdr>
              <w:divsChild>
                <w:div w:id="1455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3361">
          <w:marLeft w:val="-225"/>
          <w:marRight w:val="-225"/>
          <w:marTop w:val="0"/>
          <w:marBottom w:val="0"/>
          <w:divBdr>
            <w:top w:val="none" w:sz="0" w:space="0" w:color="auto"/>
            <w:left w:val="none" w:sz="0" w:space="0" w:color="auto"/>
            <w:bottom w:val="none" w:sz="0" w:space="0" w:color="auto"/>
            <w:right w:val="none" w:sz="0" w:space="0" w:color="auto"/>
          </w:divBdr>
          <w:divsChild>
            <w:div w:id="889610586">
              <w:marLeft w:val="0"/>
              <w:marRight w:val="0"/>
              <w:marTop w:val="0"/>
              <w:marBottom w:val="0"/>
              <w:divBdr>
                <w:top w:val="none" w:sz="0" w:space="0" w:color="auto"/>
                <w:left w:val="none" w:sz="0" w:space="0" w:color="auto"/>
                <w:bottom w:val="none" w:sz="0" w:space="0" w:color="auto"/>
                <w:right w:val="none" w:sz="0" w:space="0" w:color="auto"/>
              </w:divBdr>
              <w:divsChild>
                <w:div w:id="829758357">
                  <w:marLeft w:val="0"/>
                  <w:marRight w:val="0"/>
                  <w:marTop w:val="0"/>
                  <w:marBottom w:val="0"/>
                  <w:divBdr>
                    <w:top w:val="none" w:sz="0" w:space="0" w:color="auto"/>
                    <w:left w:val="none" w:sz="0" w:space="0" w:color="auto"/>
                    <w:bottom w:val="none" w:sz="0" w:space="0" w:color="auto"/>
                    <w:right w:val="none" w:sz="0" w:space="0" w:color="auto"/>
                  </w:divBdr>
                </w:div>
              </w:divsChild>
            </w:div>
            <w:div w:id="1380089343">
              <w:marLeft w:val="0"/>
              <w:marRight w:val="0"/>
              <w:marTop w:val="0"/>
              <w:marBottom w:val="0"/>
              <w:divBdr>
                <w:top w:val="none" w:sz="0" w:space="0" w:color="auto"/>
                <w:left w:val="none" w:sz="0" w:space="0" w:color="auto"/>
                <w:bottom w:val="none" w:sz="0" w:space="0" w:color="auto"/>
                <w:right w:val="none" w:sz="0" w:space="0" w:color="auto"/>
              </w:divBdr>
              <w:divsChild>
                <w:div w:id="1219433595">
                  <w:marLeft w:val="0"/>
                  <w:marRight w:val="0"/>
                  <w:marTop w:val="0"/>
                  <w:marBottom w:val="0"/>
                  <w:divBdr>
                    <w:top w:val="none" w:sz="0" w:space="0" w:color="auto"/>
                    <w:left w:val="none" w:sz="0" w:space="0" w:color="auto"/>
                    <w:bottom w:val="none" w:sz="0" w:space="0" w:color="auto"/>
                    <w:right w:val="none" w:sz="0" w:space="0" w:color="auto"/>
                  </w:divBdr>
                </w:div>
              </w:divsChild>
            </w:div>
            <w:div w:id="1305619297">
              <w:marLeft w:val="0"/>
              <w:marRight w:val="0"/>
              <w:marTop w:val="0"/>
              <w:marBottom w:val="0"/>
              <w:divBdr>
                <w:top w:val="none" w:sz="0" w:space="0" w:color="auto"/>
                <w:left w:val="none" w:sz="0" w:space="0" w:color="auto"/>
                <w:bottom w:val="none" w:sz="0" w:space="0" w:color="auto"/>
                <w:right w:val="none" w:sz="0" w:space="0" w:color="auto"/>
              </w:divBdr>
              <w:divsChild>
                <w:div w:id="4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5826">
          <w:marLeft w:val="-225"/>
          <w:marRight w:val="-225"/>
          <w:marTop w:val="0"/>
          <w:marBottom w:val="0"/>
          <w:divBdr>
            <w:top w:val="none" w:sz="0" w:space="0" w:color="auto"/>
            <w:left w:val="none" w:sz="0" w:space="0" w:color="auto"/>
            <w:bottom w:val="none" w:sz="0" w:space="0" w:color="auto"/>
            <w:right w:val="none" w:sz="0" w:space="0" w:color="auto"/>
          </w:divBdr>
          <w:divsChild>
            <w:div w:id="2707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asa.ca" TargetMode="External"/><Relationship Id="rId9" Type="http://schemas.openxmlformats.org/officeDocument/2006/relationships/hyperlink" Target="mailto:info@unionetudiante.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1" Type="http://schemas.openxmlformats.org/officeDocument/2006/relationships/hyperlink" Target="http://www.statcan.gc.ca/daily-quotidien/160519/dq160519e-eng.htm" TargetMode="External"/><Relationship Id="rId12" Type="http://schemas.openxmlformats.org/officeDocument/2006/relationships/hyperlink" Target="http://www.statcan.gc.ca/pub/11-402-x/2011000/chap/culture/culture02-eng.htm" TargetMode="External"/><Relationship Id="rId13" Type="http://schemas.openxmlformats.org/officeDocument/2006/relationships/hyperlink" Target="http://www.irrodl.org/index.php/irrodl/article/view/3012/4214" TargetMode="External"/><Relationship Id="rId14" Type="http://schemas.openxmlformats.org/officeDocument/2006/relationships/hyperlink" Target="https://creativecommons.org/about/program-areas/education-oer/" TargetMode="External"/><Relationship Id="rId15" Type="http://schemas.openxmlformats.org/officeDocument/2006/relationships/hyperlink" Target="https://open.bccampus.ca/open-textbook-stats/" TargetMode="External"/><Relationship Id="rId1" Type="http://schemas.openxmlformats.org/officeDocument/2006/relationships/hyperlink" Target="http://www.statcan.gc.ca/pub/89-654-x/89-654-x2015005-eng.htm" TargetMode="External"/><Relationship Id="rId2" Type="http://schemas.openxmlformats.org/officeDocument/2006/relationships/hyperlink" Target="https://www.canada.ca/en/employment-social-development/services/student-financial-aid/student-loan/student-loans/student-loans-permanent-disability-benefit.html" TargetMode="External"/><Relationship Id="rId3" Type="http://schemas.openxmlformats.org/officeDocument/2006/relationships/hyperlink" Target="http://www.neads.ca/en/norc/eag/eag_en.pdf" TargetMode="External"/><Relationship Id="rId4" Type="http://schemas.openxmlformats.org/officeDocument/2006/relationships/hyperlink" Target="http://www.cusc-ccreu.ca/CUSC_2015_Graduating_Master%20Report_English.pdf" TargetMode="External"/><Relationship Id="rId5" Type="http://schemas.openxmlformats.org/officeDocument/2006/relationships/hyperlink" Target="http://www.nserc-crsng.gc.ca/Students-Etudiants/PG-CS/CGSM-BESCM_eng.asp" TargetMode="External"/><Relationship Id="rId6" Type="http://schemas.openxmlformats.org/officeDocument/2006/relationships/hyperlink" Target="http://www.conferenceboard.ca/hcp/details/education/phd-graduates.aspx" TargetMode="External"/><Relationship Id="rId7" Type="http://schemas.openxmlformats.org/officeDocument/2006/relationships/hyperlink" Target="http://www.international.gc.ca/education/assets/pdfs/Economic_Impact_International_Education_in_Canada_2016_Update.pdf" TargetMode="External"/><Relationship Id="rId8" Type="http://schemas.openxmlformats.org/officeDocument/2006/relationships/hyperlink" Target="http://www.pbo-dpb.gc.ca/web/default/files/Documents/Reports/2016/PSE/PSE_EN.pdf" TargetMode="External"/><Relationship Id="rId9" Type="http://schemas.openxmlformats.org/officeDocument/2006/relationships/hyperlink" Target="https://www.ourcommons.ca/Content/Committee/421/FINA/Brief/BR9081067/br-external/AssemblyOfFirstNations-e.pdf" TargetMode="External"/><Relationship Id="rId10" Type="http://schemas.openxmlformats.org/officeDocument/2006/relationships/hyperlink" Target="http://laws-lois.justice.gc.ca/eng/acts/c-42/page-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46F54F-8A88-8442-836C-5857A56E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2545</Words>
  <Characters>14509</Characters>
  <Application>Microsoft Macintosh Word</Application>
  <DocSecurity>0</DocSecurity>
  <Lines>120</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Building Access, Building Canada</vt:lpstr>
      <vt:lpstr>    A Strategy for the Federal Government’s Role in Post-Secondary Education</vt:lpstr>
      <vt:lpstr>        Executive Summary</vt:lpstr>
      <vt:lpstr>        Better Supporting Students with Disabilities </vt:lpstr>
      <vt:lpstr>        Creating a Canada Student Grant for Graduate Students</vt:lpstr>
      <vt:lpstr>        International Student Study Permits and Co-ops</vt:lpstr>
      <vt:lpstr>        Meeting Canada’s Obligations to Indigenous Learners</vt:lpstr>
      <vt:lpstr>        The Importance of Fair Dealing for Students</vt:lpstr>
      <vt:lpstr>        Developing Open Educational Resources (OERs)</vt:lpstr>
      <vt:lpstr>        Summary of Recommendations</vt:lpstr>
      <vt:lpstr>        CASA’s Members</vt:lpstr>
      <vt:lpstr>        About CASA</vt:lpstr>
      <vt:lpstr>        About QSU</vt:lpstr>
    </vt:vector>
  </TitlesOfParts>
  <LinksUpToDate>false</LinksUpToDate>
  <CharactersWithSpaces>17020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Boyd</dc:creator>
  <cp:keywords/>
  <dc:description/>
  <cp:lastModifiedBy>Lindsay Boyd</cp:lastModifiedBy>
  <cp:revision>25</cp:revision>
  <dcterms:created xsi:type="dcterms:W3CDTF">2017-10-20T19:23:00Z</dcterms:created>
  <dcterms:modified xsi:type="dcterms:W3CDTF">2017-11-22T16:05:00Z</dcterms:modified>
</cp:coreProperties>
</file>