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8F1AF" w14:textId="14DA1BC6" w:rsidR="0000001B" w:rsidRPr="009B4616" w:rsidRDefault="009B4616" w:rsidP="00AD69A7">
      <w:pPr>
        <w:pStyle w:val="Title"/>
        <w:rPr>
          <w:lang w:val="fr-CA"/>
        </w:rPr>
      </w:pPr>
      <w:r w:rsidRPr="009B4616">
        <w:rPr>
          <w:lang w:val="fr-CA"/>
        </w:rPr>
        <w:t xml:space="preserve">Accès pour tous </w:t>
      </w:r>
    </w:p>
    <w:p w14:paraId="232531FD" w14:textId="122B790D" w:rsidR="008E0E63" w:rsidRPr="009B4616" w:rsidRDefault="009B4616" w:rsidP="003E062E">
      <w:pPr>
        <w:pStyle w:val="Subtitle"/>
        <w:rPr>
          <w:sz w:val="28"/>
          <w:lang w:val="fr-CA"/>
        </w:rPr>
      </w:pPr>
      <w:r>
        <w:rPr>
          <w:sz w:val="28"/>
          <w:lang w:val="fr-CA"/>
        </w:rPr>
        <w:t xml:space="preserve">Réformer l’aide financière aux étudiants au Canada </w:t>
      </w:r>
    </w:p>
    <w:p w14:paraId="62797196" w14:textId="77777777" w:rsidR="008E0E63" w:rsidRPr="009B4616" w:rsidRDefault="008E0E63" w:rsidP="00B92B74">
      <w:pPr>
        <w:pStyle w:val="Heading1"/>
        <w:rPr>
          <w:lang w:val="fr-CA"/>
        </w:rPr>
      </w:pPr>
    </w:p>
    <w:p w14:paraId="2EFF9CF9" w14:textId="77777777" w:rsidR="00C9599D" w:rsidRPr="009B4616" w:rsidRDefault="00C9599D" w:rsidP="00C9599D">
      <w:pPr>
        <w:rPr>
          <w:lang w:val="fr-CA"/>
        </w:rPr>
      </w:pPr>
    </w:p>
    <w:p w14:paraId="1F35C238" w14:textId="77777777" w:rsidR="00C9599D" w:rsidRPr="009B4616" w:rsidRDefault="00C9599D" w:rsidP="00C9599D">
      <w:pPr>
        <w:rPr>
          <w:lang w:val="fr-CA"/>
        </w:rPr>
      </w:pPr>
    </w:p>
    <w:p w14:paraId="6C6895F0" w14:textId="77777777" w:rsidR="00C9599D" w:rsidRPr="009B4616" w:rsidRDefault="00C9599D" w:rsidP="00C9599D">
      <w:pPr>
        <w:rPr>
          <w:lang w:val="fr-CA"/>
        </w:rPr>
      </w:pPr>
    </w:p>
    <w:p w14:paraId="034D0FDA" w14:textId="77777777" w:rsidR="00C9599D" w:rsidRPr="009B4616" w:rsidRDefault="00C9599D" w:rsidP="00C9599D">
      <w:pPr>
        <w:rPr>
          <w:lang w:val="fr-CA"/>
        </w:rPr>
      </w:pPr>
    </w:p>
    <w:p w14:paraId="3E65D4D2" w14:textId="77777777" w:rsidR="00C9599D" w:rsidRPr="009B4616" w:rsidRDefault="00C9599D" w:rsidP="00C9599D">
      <w:pPr>
        <w:rPr>
          <w:lang w:val="fr-CA"/>
        </w:rPr>
      </w:pPr>
    </w:p>
    <w:p w14:paraId="63A23FBA" w14:textId="77777777" w:rsidR="00C9599D" w:rsidRPr="009B4616" w:rsidRDefault="00C9599D" w:rsidP="00C9599D">
      <w:pPr>
        <w:rPr>
          <w:lang w:val="fr-CA"/>
        </w:rPr>
      </w:pPr>
    </w:p>
    <w:p w14:paraId="62739F54" w14:textId="77777777" w:rsidR="00C9599D" w:rsidRPr="009B4616" w:rsidRDefault="00C9599D" w:rsidP="00C9599D">
      <w:pPr>
        <w:rPr>
          <w:lang w:val="fr-CA"/>
        </w:rPr>
      </w:pPr>
    </w:p>
    <w:p w14:paraId="08B454C7" w14:textId="77777777" w:rsidR="00C9599D" w:rsidRPr="009B4616" w:rsidRDefault="00C9599D" w:rsidP="00C9599D">
      <w:pPr>
        <w:rPr>
          <w:lang w:val="fr-CA"/>
        </w:rPr>
      </w:pPr>
    </w:p>
    <w:p w14:paraId="0925020E" w14:textId="77777777" w:rsidR="00C9599D" w:rsidRPr="009B4616" w:rsidRDefault="00C9599D" w:rsidP="00C9599D">
      <w:pPr>
        <w:rPr>
          <w:lang w:val="fr-CA"/>
        </w:rPr>
      </w:pPr>
    </w:p>
    <w:p w14:paraId="6BCC898E" w14:textId="77777777" w:rsidR="00C9599D" w:rsidRPr="009B4616" w:rsidRDefault="00C9599D" w:rsidP="00C9599D">
      <w:pPr>
        <w:rPr>
          <w:lang w:val="fr-CA"/>
        </w:rPr>
      </w:pPr>
    </w:p>
    <w:p w14:paraId="20C60ED0" w14:textId="77777777" w:rsidR="00C9599D" w:rsidRPr="009B4616" w:rsidRDefault="00C9599D" w:rsidP="00C9599D">
      <w:pPr>
        <w:rPr>
          <w:lang w:val="fr-CA"/>
        </w:rPr>
      </w:pPr>
    </w:p>
    <w:p w14:paraId="69330FB6" w14:textId="77777777" w:rsidR="00C9599D" w:rsidRPr="009B4616" w:rsidRDefault="00C9599D" w:rsidP="00C9599D">
      <w:pPr>
        <w:rPr>
          <w:lang w:val="fr-CA"/>
        </w:rPr>
      </w:pPr>
    </w:p>
    <w:p w14:paraId="66EEA443" w14:textId="77777777" w:rsidR="00C9599D" w:rsidRPr="009B4616" w:rsidRDefault="00C9599D" w:rsidP="00C9599D">
      <w:pPr>
        <w:rPr>
          <w:lang w:val="fr-CA"/>
        </w:rPr>
      </w:pPr>
    </w:p>
    <w:p w14:paraId="6C2094CD" w14:textId="77777777" w:rsidR="00C9599D" w:rsidRPr="009B4616" w:rsidRDefault="00C9599D" w:rsidP="00C9599D">
      <w:pPr>
        <w:rPr>
          <w:lang w:val="fr-CA"/>
        </w:rPr>
      </w:pPr>
    </w:p>
    <w:p w14:paraId="38F95CFB" w14:textId="77777777" w:rsidR="00C9599D" w:rsidRPr="009B4616" w:rsidRDefault="00C9599D" w:rsidP="00C9599D">
      <w:pPr>
        <w:rPr>
          <w:lang w:val="fr-CA"/>
        </w:rPr>
      </w:pPr>
    </w:p>
    <w:p w14:paraId="5170E139" w14:textId="77777777" w:rsidR="00C9599D" w:rsidRPr="009B4616" w:rsidRDefault="00C9599D" w:rsidP="00C9599D">
      <w:pPr>
        <w:rPr>
          <w:lang w:val="fr-CA"/>
        </w:rPr>
      </w:pPr>
    </w:p>
    <w:p w14:paraId="727D31F4" w14:textId="77777777" w:rsidR="00C9599D" w:rsidRPr="009B4616" w:rsidRDefault="00C9599D" w:rsidP="00C9599D">
      <w:pPr>
        <w:rPr>
          <w:lang w:val="fr-CA"/>
        </w:rPr>
      </w:pPr>
    </w:p>
    <w:p w14:paraId="47F24D35" w14:textId="77777777" w:rsidR="00C9599D" w:rsidRPr="009B4616" w:rsidRDefault="00C9599D" w:rsidP="00C9599D">
      <w:pPr>
        <w:rPr>
          <w:lang w:val="fr-CA"/>
        </w:rPr>
      </w:pPr>
    </w:p>
    <w:p w14:paraId="3588D5ED" w14:textId="77777777" w:rsidR="00C9599D" w:rsidRPr="009B4616" w:rsidRDefault="00C9599D" w:rsidP="00C9599D">
      <w:pPr>
        <w:rPr>
          <w:lang w:val="fr-CA"/>
        </w:rPr>
      </w:pPr>
    </w:p>
    <w:p w14:paraId="5D83BF9C" w14:textId="77777777" w:rsidR="00C9599D" w:rsidRPr="009B4616" w:rsidRDefault="00C9599D" w:rsidP="00C9599D">
      <w:pPr>
        <w:rPr>
          <w:lang w:val="fr-CA"/>
        </w:rPr>
      </w:pPr>
    </w:p>
    <w:p w14:paraId="225AADB3" w14:textId="77777777" w:rsidR="00C9599D" w:rsidRPr="009B4616" w:rsidRDefault="00C9599D" w:rsidP="00C9599D">
      <w:pPr>
        <w:rPr>
          <w:lang w:val="fr-CA"/>
        </w:rPr>
      </w:pPr>
    </w:p>
    <w:p w14:paraId="0BC66055" w14:textId="77777777" w:rsidR="00C9599D" w:rsidRPr="009B4616" w:rsidRDefault="00C9599D" w:rsidP="00C9599D">
      <w:pPr>
        <w:rPr>
          <w:lang w:val="fr-CA"/>
        </w:rPr>
      </w:pPr>
    </w:p>
    <w:p w14:paraId="546A481D" w14:textId="77777777" w:rsidR="00C9599D" w:rsidRPr="009B4616" w:rsidRDefault="00C9599D" w:rsidP="00C9599D">
      <w:pPr>
        <w:rPr>
          <w:lang w:val="fr-CA"/>
        </w:rPr>
      </w:pPr>
    </w:p>
    <w:p w14:paraId="0C5D52F6" w14:textId="77777777" w:rsidR="00C9599D" w:rsidRPr="009B4616" w:rsidRDefault="00C9599D" w:rsidP="00C9599D">
      <w:pPr>
        <w:rPr>
          <w:lang w:val="fr-CA"/>
        </w:rPr>
      </w:pPr>
    </w:p>
    <w:p w14:paraId="73445359" w14:textId="77777777" w:rsidR="00C9599D" w:rsidRPr="009B4616" w:rsidRDefault="00C9599D" w:rsidP="00C9599D">
      <w:pPr>
        <w:rPr>
          <w:lang w:val="fr-CA"/>
        </w:rPr>
      </w:pPr>
    </w:p>
    <w:p w14:paraId="1F3E6F13" w14:textId="77777777" w:rsidR="00C9599D" w:rsidRPr="009B4616" w:rsidRDefault="00C9599D" w:rsidP="00C9599D">
      <w:pPr>
        <w:rPr>
          <w:lang w:val="fr-CA"/>
        </w:rPr>
      </w:pPr>
    </w:p>
    <w:p w14:paraId="3937FB8D" w14:textId="77777777" w:rsidR="00C9599D" w:rsidRPr="009B4616" w:rsidRDefault="00C9599D" w:rsidP="00C9599D">
      <w:pPr>
        <w:rPr>
          <w:lang w:val="fr-CA"/>
        </w:rPr>
      </w:pPr>
    </w:p>
    <w:p w14:paraId="33BA2D49" w14:textId="77777777" w:rsidR="00C9599D" w:rsidRPr="009B4616" w:rsidRDefault="00C9599D" w:rsidP="00C9599D">
      <w:pPr>
        <w:rPr>
          <w:lang w:val="fr-CA"/>
        </w:rPr>
      </w:pPr>
    </w:p>
    <w:p w14:paraId="086813ED" w14:textId="77777777" w:rsidR="00C9599D" w:rsidRPr="009B4616" w:rsidRDefault="00C9599D" w:rsidP="00C9599D">
      <w:pPr>
        <w:rPr>
          <w:lang w:val="fr-CA"/>
        </w:rPr>
      </w:pPr>
    </w:p>
    <w:p w14:paraId="1BD12CBD" w14:textId="77777777" w:rsidR="00C9599D" w:rsidRPr="009B4616" w:rsidRDefault="00C9599D" w:rsidP="00C9599D">
      <w:pPr>
        <w:rPr>
          <w:lang w:val="fr-CA"/>
        </w:rPr>
      </w:pPr>
    </w:p>
    <w:p w14:paraId="42AE06A2" w14:textId="77777777" w:rsidR="00C9599D" w:rsidRPr="009B4616" w:rsidRDefault="00C9599D" w:rsidP="00C9599D">
      <w:pPr>
        <w:rPr>
          <w:lang w:val="fr-CA"/>
        </w:rPr>
      </w:pPr>
    </w:p>
    <w:p w14:paraId="294142A1" w14:textId="77777777" w:rsidR="00C9599D" w:rsidRPr="009B4616" w:rsidRDefault="00C9599D" w:rsidP="00C9599D">
      <w:pPr>
        <w:rPr>
          <w:lang w:val="fr-CA"/>
        </w:rPr>
      </w:pPr>
    </w:p>
    <w:p w14:paraId="47A5E2CB" w14:textId="77777777" w:rsidR="00C9599D" w:rsidRDefault="00C9599D" w:rsidP="00C9599D">
      <w:pPr>
        <w:rPr>
          <w:lang w:val="fr-CA"/>
        </w:rPr>
      </w:pPr>
    </w:p>
    <w:p w14:paraId="7DAE6501" w14:textId="77777777" w:rsidR="00720C38" w:rsidRPr="009B4616" w:rsidRDefault="00720C38" w:rsidP="00C9599D">
      <w:pPr>
        <w:rPr>
          <w:lang w:val="fr-CA"/>
        </w:rPr>
      </w:pPr>
    </w:p>
    <w:p w14:paraId="41FA6A73" w14:textId="77777777" w:rsidR="00C9599D" w:rsidRPr="009B4616" w:rsidRDefault="00C9599D" w:rsidP="00C9599D">
      <w:pPr>
        <w:rPr>
          <w:lang w:val="fr-CA"/>
        </w:rPr>
      </w:pPr>
    </w:p>
    <w:p w14:paraId="5CDAE847" w14:textId="51C5B596" w:rsidR="0029326E" w:rsidRPr="002975EA" w:rsidRDefault="009B4616" w:rsidP="00B92B74">
      <w:pPr>
        <w:pStyle w:val="Heading1"/>
        <w:rPr>
          <w:lang w:val="en-US"/>
        </w:rPr>
      </w:pPr>
      <w:bookmarkStart w:id="0" w:name="_Toc514316679"/>
      <w:proofErr w:type="spellStart"/>
      <w:r w:rsidRPr="002975EA">
        <w:rPr>
          <w:lang w:val="en-US"/>
        </w:rPr>
        <w:lastRenderedPageBreak/>
        <w:t>Préparé</w:t>
      </w:r>
      <w:proofErr w:type="spellEnd"/>
      <w:r w:rsidRPr="002975EA">
        <w:rPr>
          <w:lang w:val="en-US"/>
        </w:rPr>
        <w:t xml:space="preserve"> </w:t>
      </w:r>
      <w:proofErr w:type="gramStart"/>
      <w:r w:rsidRPr="002975EA">
        <w:rPr>
          <w:lang w:val="en-US"/>
        </w:rPr>
        <w:t xml:space="preserve">par </w:t>
      </w:r>
      <w:r w:rsidR="0029326E" w:rsidRPr="002975EA">
        <w:rPr>
          <w:lang w:val="en-US"/>
        </w:rPr>
        <w:t>:</w:t>
      </w:r>
      <w:bookmarkEnd w:id="0"/>
      <w:proofErr w:type="gramEnd"/>
    </w:p>
    <w:p w14:paraId="746CEF6E" w14:textId="77777777" w:rsidR="00BA2A62" w:rsidRPr="002975EA" w:rsidRDefault="00BA2A62" w:rsidP="00BA2A62">
      <w:pPr>
        <w:rPr>
          <w:rFonts w:ascii="Calibri" w:hAnsi="Calibri"/>
        </w:rPr>
      </w:pPr>
    </w:p>
    <w:p w14:paraId="35569A96" w14:textId="2061469A" w:rsidR="00BA2A62" w:rsidRPr="002975EA" w:rsidRDefault="00BA2A62" w:rsidP="00BA2A62">
      <w:pPr>
        <w:rPr>
          <w:rFonts w:ascii="Calibri" w:hAnsi="Calibri"/>
        </w:rPr>
      </w:pPr>
      <w:proofErr w:type="spellStart"/>
      <w:r w:rsidRPr="002975EA">
        <w:rPr>
          <w:rFonts w:ascii="Calibri" w:hAnsi="Calibri"/>
        </w:rPr>
        <w:t>Fahim</w:t>
      </w:r>
      <w:proofErr w:type="spellEnd"/>
      <w:r w:rsidRPr="002975EA">
        <w:rPr>
          <w:rFonts w:ascii="Calibri" w:hAnsi="Calibri"/>
        </w:rPr>
        <w:t xml:space="preserve"> Rahman</w:t>
      </w:r>
    </w:p>
    <w:p w14:paraId="6CB6156F" w14:textId="3BA616C3" w:rsidR="00BA2A62" w:rsidRPr="002975EA" w:rsidRDefault="00BA2A62" w:rsidP="00BA2A62">
      <w:pPr>
        <w:rPr>
          <w:rFonts w:ascii="Calibri" w:hAnsi="Calibri"/>
        </w:rPr>
      </w:pPr>
      <w:r w:rsidRPr="002975EA">
        <w:rPr>
          <w:rFonts w:ascii="Calibri" w:hAnsi="Calibri"/>
        </w:rPr>
        <w:t>University of Alberta Students’ Union</w:t>
      </w:r>
    </w:p>
    <w:p w14:paraId="56754A74" w14:textId="77777777" w:rsidR="00BA2A62" w:rsidRPr="002975EA" w:rsidRDefault="00BA2A62" w:rsidP="00BA2A62">
      <w:pPr>
        <w:rPr>
          <w:rFonts w:ascii="Calibri" w:hAnsi="Calibri"/>
        </w:rPr>
      </w:pPr>
    </w:p>
    <w:p w14:paraId="122A4593" w14:textId="7ABBE08E" w:rsidR="00BA2A62" w:rsidRPr="009B4616" w:rsidRDefault="00BA2A62" w:rsidP="00BA2A62">
      <w:pPr>
        <w:rPr>
          <w:rFonts w:ascii="Calibri" w:hAnsi="Calibri"/>
          <w:lang w:val="fr-CA"/>
        </w:rPr>
      </w:pPr>
      <w:proofErr w:type="spellStart"/>
      <w:r w:rsidRPr="009B4616">
        <w:rPr>
          <w:rFonts w:ascii="Calibri" w:hAnsi="Calibri"/>
          <w:lang w:val="fr-CA"/>
        </w:rPr>
        <w:t>Rosanne</w:t>
      </w:r>
      <w:proofErr w:type="spellEnd"/>
      <w:r w:rsidRPr="009B4616">
        <w:rPr>
          <w:rFonts w:ascii="Calibri" w:hAnsi="Calibri"/>
          <w:lang w:val="fr-CA"/>
        </w:rPr>
        <w:t xml:space="preserve"> Waters</w:t>
      </w:r>
    </w:p>
    <w:p w14:paraId="69424E03" w14:textId="1E7A7981" w:rsidR="00BA2A62" w:rsidRPr="009B4616" w:rsidRDefault="009B4616" w:rsidP="00BA2A62">
      <w:pPr>
        <w:rPr>
          <w:rFonts w:ascii="Calibri" w:hAnsi="Calibri"/>
          <w:lang w:val="fr-CA"/>
        </w:rPr>
      </w:pPr>
      <w:r>
        <w:rPr>
          <w:rFonts w:ascii="Calibri" w:hAnsi="Calibri"/>
          <w:lang w:val="fr-CA"/>
        </w:rPr>
        <w:t xml:space="preserve">Alliance canadienne des associations étudiantes </w:t>
      </w:r>
    </w:p>
    <w:p w14:paraId="304B3592" w14:textId="77777777" w:rsidR="003314E5" w:rsidRPr="009B4616" w:rsidRDefault="003314E5" w:rsidP="00BA2A62">
      <w:pPr>
        <w:rPr>
          <w:rFonts w:ascii="Calibri" w:hAnsi="Calibri"/>
          <w:lang w:val="fr-CA"/>
        </w:rPr>
      </w:pPr>
    </w:p>
    <w:p w14:paraId="0FAE79A1" w14:textId="77777777" w:rsidR="00FE06DD" w:rsidRPr="009B4616" w:rsidRDefault="00FE06DD" w:rsidP="00BA2A62">
      <w:pPr>
        <w:rPr>
          <w:rFonts w:ascii="Calibri" w:hAnsi="Calibri"/>
          <w:lang w:val="fr-CA"/>
        </w:rPr>
      </w:pPr>
    </w:p>
    <w:p w14:paraId="3ED29C6A" w14:textId="77777777" w:rsidR="00C9599D" w:rsidRPr="009B4616" w:rsidRDefault="00C9599D" w:rsidP="00BA2A62">
      <w:pPr>
        <w:rPr>
          <w:rFonts w:ascii="Calibri" w:hAnsi="Calibri"/>
          <w:lang w:val="fr-CA"/>
        </w:rPr>
      </w:pPr>
    </w:p>
    <w:p w14:paraId="30C751CB" w14:textId="77777777" w:rsidR="00C9599D" w:rsidRPr="009B4616" w:rsidRDefault="00C9599D" w:rsidP="00BA2A62">
      <w:pPr>
        <w:rPr>
          <w:rFonts w:ascii="Calibri" w:hAnsi="Calibri"/>
          <w:lang w:val="fr-CA"/>
        </w:rPr>
      </w:pPr>
    </w:p>
    <w:p w14:paraId="6999B6EE" w14:textId="77777777" w:rsidR="00C9599D" w:rsidRPr="009B4616" w:rsidRDefault="00C9599D" w:rsidP="00BA2A62">
      <w:pPr>
        <w:rPr>
          <w:rFonts w:ascii="Calibri" w:hAnsi="Calibri"/>
          <w:lang w:val="fr-CA"/>
        </w:rPr>
      </w:pPr>
    </w:p>
    <w:p w14:paraId="490BAEAA" w14:textId="77777777" w:rsidR="00C9599D" w:rsidRPr="009B4616" w:rsidRDefault="00C9599D" w:rsidP="00BA2A62">
      <w:pPr>
        <w:rPr>
          <w:rFonts w:ascii="Calibri" w:hAnsi="Calibri"/>
          <w:lang w:val="fr-CA"/>
        </w:rPr>
      </w:pPr>
    </w:p>
    <w:p w14:paraId="6038804E" w14:textId="77777777" w:rsidR="00C9599D" w:rsidRPr="009B4616" w:rsidRDefault="00C9599D" w:rsidP="00BA2A62">
      <w:pPr>
        <w:rPr>
          <w:rFonts w:ascii="Calibri" w:hAnsi="Calibri"/>
          <w:lang w:val="fr-CA"/>
        </w:rPr>
      </w:pPr>
    </w:p>
    <w:p w14:paraId="729F144A" w14:textId="77777777" w:rsidR="00C9599D" w:rsidRPr="009B4616" w:rsidRDefault="00C9599D" w:rsidP="00BA2A62">
      <w:pPr>
        <w:rPr>
          <w:rFonts w:ascii="Calibri" w:hAnsi="Calibri"/>
          <w:lang w:val="fr-CA"/>
        </w:rPr>
      </w:pPr>
    </w:p>
    <w:p w14:paraId="5BDA408F" w14:textId="77777777" w:rsidR="00C9599D" w:rsidRPr="009B4616" w:rsidRDefault="00C9599D" w:rsidP="00BA2A62">
      <w:pPr>
        <w:rPr>
          <w:rFonts w:ascii="Calibri" w:hAnsi="Calibri"/>
          <w:lang w:val="fr-CA"/>
        </w:rPr>
      </w:pPr>
    </w:p>
    <w:p w14:paraId="5EEB9A85" w14:textId="77777777" w:rsidR="00C9599D" w:rsidRPr="009B4616" w:rsidRDefault="00C9599D" w:rsidP="00BA2A62">
      <w:pPr>
        <w:rPr>
          <w:rFonts w:ascii="Calibri" w:hAnsi="Calibri"/>
          <w:lang w:val="fr-CA"/>
        </w:rPr>
      </w:pPr>
    </w:p>
    <w:p w14:paraId="0F93C1BA" w14:textId="77777777" w:rsidR="00C9599D" w:rsidRPr="009B4616" w:rsidRDefault="00C9599D" w:rsidP="00BA2A62">
      <w:pPr>
        <w:rPr>
          <w:rFonts w:ascii="Calibri" w:hAnsi="Calibri"/>
          <w:lang w:val="fr-CA"/>
        </w:rPr>
      </w:pPr>
    </w:p>
    <w:p w14:paraId="327BB524" w14:textId="77777777" w:rsidR="00C9599D" w:rsidRPr="009B4616" w:rsidRDefault="00C9599D" w:rsidP="00BA2A62">
      <w:pPr>
        <w:rPr>
          <w:rFonts w:ascii="Calibri" w:hAnsi="Calibri"/>
          <w:lang w:val="fr-CA"/>
        </w:rPr>
      </w:pPr>
    </w:p>
    <w:p w14:paraId="4EE1053D" w14:textId="77777777" w:rsidR="00C9599D" w:rsidRPr="009B4616" w:rsidRDefault="00C9599D" w:rsidP="00BA2A62">
      <w:pPr>
        <w:rPr>
          <w:rFonts w:ascii="Calibri" w:hAnsi="Calibri"/>
          <w:lang w:val="fr-CA"/>
        </w:rPr>
      </w:pPr>
    </w:p>
    <w:p w14:paraId="2992C2DD" w14:textId="77777777" w:rsidR="00C9599D" w:rsidRPr="009B4616" w:rsidRDefault="00C9599D" w:rsidP="00BA2A62">
      <w:pPr>
        <w:rPr>
          <w:rFonts w:ascii="Calibri" w:hAnsi="Calibri"/>
          <w:lang w:val="fr-CA"/>
        </w:rPr>
      </w:pPr>
    </w:p>
    <w:p w14:paraId="7E4A599F" w14:textId="77777777" w:rsidR="00C9599D" w:rsidRPr="009B4616" w:rsidRDefault="00C9599D" w:rsidP="00BA2A62">
      <w:pPr>
        <w:rPr>
          <w:rFonts w:ascii="Calibri" w:hAnsi="Calibri"/>
          <w:lang w:val="fr-CA"/>
        </w:rPr>
      </w:pPr>
    </w:p>
    <w:p w14:paraId="055D1197" w14:textId="77777777" w:rsidR="00C9599D" w:rsidRPr="009B4616" w:rsidRDefault="00C9599D" w:rsidP="00BA2A62">
      <w:pPr>
        <w:rPr>
          <w:rFonts w:ascii="Calibri" w:hAnsi="Calibri"/>
          <w:lang w:val="fr-CA"/>
        </w:rPr>
      </w:pPr>
    </w:p>
    <w:p w14:paraId="5E7885D3" w14:textId="77777777" w:rsidR="00C9599D" w:rsidRPr="009B4616" w:rsidRDefault="00C9599D" w:rsidP="00BA2A62">
      <w:pPr>
        <w:rPr>
          <w:rFonts w:ascii="Calibri" w:hAnsi="Calibri"/>
          <w:lang w:val="fr-CA"/>
        </w:rPr>
      </w:pPr>
    </w:p>
    <w:p w14:paraId="50B2E3CA" w14:textId="77777777" w:rsidR="00C9599D" w:rsidRPr="009B4616" w:rsidRDefault="00C9599D" w:rsidP="00BA2A62">
      <w:pPr>
        <w:rPr>
          <w:rFonts w:ascii="Calibri" w:hAnsi="Calibri"/>
          <w:lang w:val="fr-CA"/>
        </w:rPr>
      </w:pPr>
    </w:p>
    <w:p w14:paraId="79D9AB0C" w14:textId="77777777" w:rsidR="00C9599D" w:rsidRPr="009B4616" w:rsidRDefault="00C9599D" w:rsidP="00BA2A62">
      <w:pPr>
        <w:rPr>
          <w:rFonts w:ascii="Calibri" w:hAnsi="Calibri"/>
          <w:lang w:val="fr-CA"/>
        </w:rPr>
      </w:pPr>
    </w:p>
    <w:p w14:paraId="2E83F66D" w14:textId="77777777" w:rsidR="00C9599D" w:rsidRPr="009B4616" w:rsidRDefault="00C9599D" w:rsidP="00BA2A62">
      <w:pPr>
        <w:rPr>
          <w:rFonts w:ascii="Calibri" w:hAnsi="Calibri"/>
          <w:lang w:val="fr-CA"/>
        </w:rPr>
      </w:pPr>
    </w:p>
    <w:p w14:paraId="1791923C" w14:textId="77777777" w:rsidR="00C9599D" w:rsidRPr="009B4616" w:rsidRDefault="00C9599D" w:rsidP="00BA2A62">
      <w:pPr>
        <w:rPr>
          <w:rFonts w:ascii="Calibri" w:hAnsi="Calibri"/>
          <w:lang w:val="fr-CA"/>
        </w:rPr>
      </w:pPr>
    </w:p>
    <w:p w14:paraId="46A3CB15" w14:textId="77777777" w:rsidR="00C9599D" w:rsidRPr="009B4616" w:rsidRDefault="00C9599D" w:rsidP="00BA2A62">
      <w:pPr>
        <w:rPr>
          <w:rFonts w:ascii="Calibri" w:hAnsi="Calibri"/>
          <w:lang w:val="fr-CA"/>
        </w:rPr>
      </w:pPr>
    </w:p>
    <w:p w14:paraId="14B2C2D1" w14:textId="77777777" w:rsidR="00C9599D" w:rsidRPr="009B4616" w:rsidRDefault="00C9599D" w:rsidP="00BA2A62">
      <w:pPr>
        <w:rPr>
          <w:rFonts w:ascii="Calibri" w:hAnsi="Calibri"/>
          <w:lang w:val="fr-CA"/>
        </w:rPr>
      </w:pPr>
    </w:p>
    <w:p w14:paraId="28E88BC4" w14:textId="77777777" w:rsidR="00C9599D" w:rsidRPr="009B4616" w:rsidRDefault="00C9599D" w:rsidP="00BA2A62">
      <w:pPr>
        <w:rPr>
          <w:rFonts w:ascii="Calibri" w:hAnsi="Calibri"/>
          <w:lang w:val="fr-CA"/>
        </w:rPr>
      </w:pPr>
    </w:p>
    <w:p w14:paraId="7C46AEBF" w14:textId="77777777" w:rsidR="00C9599D" w:rsidRPr="009B4616" w:rsidRDefault="00C9599D" w:rsidP="00BA2A62">
      <w:pPr>
        <w:rPr>
          <w:rFonts w:ascii="Calibri" w:hAnsi="Calibri"/>
          <w:lang w:val="fr-CA"/>
        </w:rPr>
      </w:pPr>
    </w:p>
    <w:p w14:paraId="3EAADFB4" w14:textId="77777777" w:rsidR="00C9599D" w:rsidRPr="009B4616" w:rsidRDefault="00C9599D" w:rsidP="00BA2A62">
      <w:pPr>
        <w:rPr>
          <w:rFonts w:ascii="Calibri" w:hAnsi="Calibri"/>
          <w:lang w:val="fr-CA"/>
        </w:rPr>
      </w:pPr>
    </w:p>
    <w:p w14:paraId="3C54E238" w14:textId="77777777" w:rsidR="00C9599D" w:rsidRPr="009B4616" w:rsidRDefault="00C9599D" w:rsidP="00BA2A62">
      <w:pPr>
        <w:rPr>
          <w:rFonts w:ascii="Calibri" w:hAnsi="Calibri"/>
          <w:lang w:val="fr-CA"/>
        </w:rPr>
      </w:pPr>
    </w:p>
    <w:p w14:paraId="1F77526A" w14:textId="77777777" w:rsidR="00C9599D" w:rsidRPr="009B4616" w:rsidRDefault="00C9599D" w:rsidP="00BA2A62">
      <w:pPr>
        <w:rPr>
          <w:rFonts w:ascii="Calibri" w:hAnsi="Calibri"/>
          <w:lang w:val="fr-CA"/>
        </w:rPr>
      </w:pPr>
    </w:p>
    <w:p w14:paraId="3FA17EB4" w14:textId="77777777" w:rsidR="00C9599D" w:rsidRPr="009B4616" w:rsidRDefault="00C9599D" w:rsidP="00BA2A62">
      <w:pPr>
        <w:rPr>
          <w:rFonts w:ascii="Calibri" w:hAnsi="Calibri"/>
          <w:lang w:val="fr-CA"/>
        </w:rPr>
      </w:pPr>
    </w:p>
    <w:p w14:paraId="3186A332" w14:textId="77777777" w:rsidR="00C9599D" w:rsidRPr="009B4616" w:rsidRDefault="00C9599D" w:rsidP="00BA2A62">
      <w:pPr>
        <w:rPr>
          <w:rFonts w:ascii="Calibri" w:hAnsi="Calibri"/>
          <w:lang w:val="fr-CA"/>
        </w:rPr>
      </w:pPr>
    </w:p>
    <w:p w14:paraId="152F8CE8" w14:textId="77777777" w:rsidR="00C9599D" w:rsidRPr="009B4616" w:rsidRDefault="00C9599D" w:rsidP="00BA2A62">
      <w:pPr>
        <w:rPr>
          <w:rFonts w:ascii="Calibri" w:hAnsi="Calibri"/>
          <w:lang w:val="fr-CA"/>
        </w:rPr>
      </w:pPr>
    </w:p>
    <w:p w14:paraId="5A3AD01E" w14:textId="77777777" w:rsidR="00C9599D" w:rsidRPr="009B4616" w:rsidRDefault="00C9599D" w:rsidP="00BA2A62">
      <w:pPr>
        <w:rPr>
          <w:rFonts w:ascii="Calibri" w:hAnsi="Calibri"/>
          <w:lang w:val="fr-CA"/>
        </w:rPr>
      </w:pPr>
    </w:p>
    <w:p w14:paraId="3BCAFCB9" w14:textId="77777777" w:rsidR="00C9599D" w:rsidRPr="009B4616" w:rsidRDefault="00C9599D" w:rsidP="00BA2A62">
      <w:pPr>
        <w:rPr>
          <w:rFonts w:ascii="Calibri" w:hAnsi="Calibri"/>
          <w:lang w:val="fr-CA"/>
        </w:rPr>
      </w:pPr>
    </w:p>
    <w:p w14:paraId="754E08F0" w14:textId="77777777" w:rsidR="00C9599D" w:rsidRPr="009B4616" w:rsidRDefault="00C9599D" w:rsidP="00BA2A62">
      <w:pPr>
        <w:rPr>
          <w:rFonts w:ascii="Calibri" w:hAnsi="Calibri"/>
          <w:lang w:val="fr-CA"/>
        </w:rPr>
      </w:pPr>
    </w:p>
    <w:p w14:paraId="4DB9E72F" w14:textId="77777777" w:rsidR="00C9599D" w:rsidRPr="009B4616" w:rsidRDefault="00C9599D" w:rsidP="00BA2A62">
      <w:pPr>
        <w:rPr>
          <w:rFonts w:ascii="Calibri" w:hAnsi="Calibri"/>
          <w:lang w:val="fr-CA"/>
        </w:rPr>
      </w:pPr>
    </w:p>
    <w:p w14:paraId="6F26E3D5" w14:textId="725FEC6F" w:rsidR="00AD4EA9" w:rsidRPr="009B4616" w:rsidRDefault="003314E5" w:rsidP="00BA2A62">
      <w:pPr>
        <w:rPr>
          <w:rFonts w:ascii="Calibri" w:hAnsi="Calibri"/>
          <w:lang w:val="fr-CA"/>
        </w:rPr>
      </w:pPr>
      <w:r w:rsidRPr="009B4616">
        <w:rPr>
          <w:rFonts w:ascii="Calibri" w:hAnsi="Calibri"/>
          <w:lang w:val="fr-CA"/>
        </w:rPr>
        <w:t>P</w:t>
      </w:r>
      <w:r w:rsidR="009B4616">
        <w:rPr>
          <w:rFonts w:ascii="Calibri" w:hAnsi="Calibri"/>
          <w:lang w:val="fr-CA"/>
        </w:rPr>
        <w:t xml:space="preserve">ublié par l’Alliance canadienne des associations étudiantes en février 2018. </w:t>
      </w:r>
    </w:p>
    <w:sdt>
      <w:sdtPr>
        <w:rPr>
          <w:rFonts w:asciiTheme="minorHAnsi" w:eastAsiaTheme="minorEastAsia" w:hAnsiTheme="minorHAnsi" w:cstheme="minorBidi"/>
          <w:b w:val="0"/>
          <w:bCs w:val="0"/>
          <w:color w:val="auto"/>
          <w:sz w:val="24"/>
          <w:szCs w:val="24"/>
          <w:lang w:val="fr-CA"/>
        </w:rPr>
        <w:id w:val="-1818956292"/>
        <w:docPartObj>
          <w:docPartGallery w:val="Table of Contents"/>
          <w:docPartUnique/>
        </w:docPartObj>
      </w:sdtPr>
      <w:sdtEndPr>
        <w:rPr>
          <w:rFonts w:ascii="Times New Roman" w:hAnsi="Times New Roman" w:cs="Times New Roman"/>
          <w:noProof/>
        </w:rPr>
      </w:sdtEndPr>
      <w:sdtContent>
        <w:p w14:paraId="766C78B5" w14:textId="275D200A" w:rsidR="0050510E" w:rsidRPr="009B4616" w:rsidRDefault="0050510E">
          <w:pPr>
            <w:pStyle w:val="TOCHeading"/>
            <w:rPr>
              <w:sz w:val="32"/>
              <w:lang w:val="fr-CA"/>
            </w:rPr>
          </w:pPr>
          <w:r w:rsidRPr="009B4616">
            <w:rPr>
              <w:sz w:val="32"/>
              <w:lang w:val="fr-CA"/>
            </w:rPr>
            <w:t xml:space="preserve">Table </w:t>
          </w:r>
          <w:r w:rsidR="009B4616">
            <w:rPr>
              <w:sz w:val="32"/>
              <w:lang w:val="fr-CA"/>
            </w:rPr>
            <w:t xml:space="preserve">des matières </w:t>
          </w:r>
        </w:p>
        <w:p w14:paraId="6A089E40" w14:textId="77777777" w:rsidR="00A26602" w:rsidRDefault="0050510E">
          <w:pPr>
            <w:pStyle w:val="TOC1"/>
            <w:tabs>
              <w:tab w:val="right" w:leader="dot" w:pos="8630"/>
            </w:tabs>
            <w:rPr>
              <w:b w:val="0"/>
              <w:bCs w:val="0"/>
              <w:noProof/>
              <w:sz w:val="22"/>
              <w:szCs w:val="22"/>
              <w:lang w:val="fr-CA" w:eastAsia="fr-CA"/>
            </w:rPr>
          </w:pPr>
          <w:r w:rsidRPr="009B4616">
            <w:rPr>
              <w:b w:val="0"/>
              <w:bCs w:val="0"/>
              <w:lang w:val="fr-CA"/>
            </w:rPr>
            <w:fldChar w:fldCharType="begin"/>
          </w:r>
          <w:r w:rsidRPr="009B4616">
            <w:rPr>
              <w:lang w:val="fr-CA"/>
            </w:rPr>
            <w:instrText xml:space="preserve"> TOC \o "1-3" \h \z \u </w:instrText>
          </w:r>
          <w:r w:rsidRPr="009B4616">
            <w:rPr>
              <w:b w:val="0"/>
              <w:bCs w:val="0"/>
              <w:lang w:val="fr-CA"/>
            </w:rPr>
            <w:fldChar w:fldCharType="separate"/>
          </w:r>
          <w:hyperlink w:anchor="_Toc514316679" w:history="1">
            <w:r w:rsidR="00A26602" w:rsidRPr="00E707EA">
              <w:rPr>
                <w:rStyle w:val="Hyperlink"/>
                <w:noProof/>
                <w:lang w:val="fr-CA"/>
              </w:rPr>
              <w:t>Préparé par :</w:t>
            </w:r>
            <w:r w:rsidR="00A26602">
              <w:rPr>
                <w:noProof/>
                <w:webHidden/>
              </w:rPr>
              <w:tab/>
            </w:r>
            <w:r w:rsidR="00A26602">
              <w:rPr>
                <w:noProof/>
                <w:webHidden/>
              </w:rPr>
              <w:fldChar w:fldCharType="begin"/>
            </w:r>
            <w:r w:rsidR="00A26602">
              <w:rPr>
                <w:noProof/>
                <w:webHidden/>
              </w:rPr>
              <w:instrText xml:space="preserve"> PAGEREF _Toc514316679 \h </w:instrText>
            </w:r>
            <w:r w:rsidR="00A26602">
              <w:rPr>
                <w:noProof/>
                <w:webHidden/>
              </w:rPr>
            </w:r>
            <w:r w:rsidR="00A26602">
              <w:rPr>
                <w:noProof/>
                <w:webHidden/>
              </w:rPr>
              <w:fldChar w:fldCharType="separate"/>
            </w:r>
            <w:r w:rsidR="00A26602">
              <w:rPr>
                <w:noProof/>
                <w:webHidden/>
              </w:rPr>
              <w:t>2</w:t>
            </w:r>
            <w:r w:rsidR="00A26602">
              <w:rPr>
                <w:noProof/>
                <w:webHidden/>
              </w:rPr>
              <w:fldChar w:fldCharType="end"/>
            </w:r>
          </w:hyperlink>
        </w:p>
        <w:p w14:paraId="67ABDC08" w14:textId="77777777" w:rsidR="00A26602" w:rsidRDefault="009554EB">
          <w:pPr>
            <w:pStyle w:val="TOC1"/>
            <w:tabs>
              <w:tab w:val="right" w:leader="dot" w:pos="8630"/>
            </w:tabs>
            <w:rPr>
              <w:b w:val="0"/>
              <w:bCs w:val="0"/>
              <w:noProof/>
              <w:sz w:val="22"/>
              <w:szCs w:val="22"/>
              <w:lang w:val="fr-CA" w:eastAsia="fr-CA"/>
            </w:rPr>
          </w:pPr>
          <w:hyperlink w:anchor="_Toc514316680" w:history="1">
            <w:r w:rsidR="00A26602" w:rsidRPr="00E707EA">
              <w:rPr>
                <w:rStyle w:val="Hyperlink"/>
                <w:noProof/>
                <w:lang w:val="fr-CA"/>
              </w:rPr>
              <w:t>Principes de l’ACAE</w:t>
            </w:r>
            <w:r w:rsidR="00A26602">
              <w:rPr>
                <w:noProof/>
                <w:webHidden/>
              </w:rPr>
              <w:tab/>
            </w:r>
            <w:r w:rsidR="00A26602">
              <w:rPr>
                <w:noProof/>
                <w:webHidden/>
              </w:rPr>
              <w:fldChar w:fldCharType="begin"/>
            </w:r>
            <w:r w:rsidR="00A26602">
              <w:rPr>
                <w:noProof/>
                <w:webHidden/>
              </w:rPr>
              <w:instrText xml:space="preserve"> PAGEREF _Toc514316680 \h </w:instrText>
            </w:r>
            <w:r w:rsidR="00A26602">
              <w:rPr>
                <w:noProof/>
                <w:webHidden/>
              </w:rPr>
            </w:r>
            <w:r w:rsidR="00A26602">
              <w:rPr>
                <w:noProof/>
                <w:webHidden/>
              </w:rPr>
              <w:fldChar w:fldCharType="separate"/>
            </w:r>
            <w:r w:rsidR="00A26602">
              <w:rPr>
                <w:noProof/>
                <w:webHidden/>
              </w:rPr>
              <w:t>4</w:t>
            </w:r>
            <w:r w:rsidR="00A26602">
              <w:rPr>
                <w:noProof/>
                <w:webHidden/>
              </w:rPr>
              <w:fldChar w:fldCharType="end"/>
            </w:r>
          </w:hyperlink>
        </w:p>
        <w:p w14:paraId="4725167E" w14:textId="77777777" w:rsidR="00A26602" w:rsidRDefault="009554EB">
          <w:pPr>
            <w:pStyle w:val="TOC1"/>
            <w:tabs>
              <w:tab w:val="right" w:leader="dot" w:pos="8630"/>
            </w:tabs>
            <w:rPr>
              <w:b w:val="0"/>
              <w:bCs w:val="0"/>
              <w:noProof/>
              <w:sz w:val="22"/>
              <w:szCs w:val="22"/>
              <w:lang w:val="fr-CA" w:eastAsia="fr-CA"/>
            </w:rPr>
          </w:pPr>
          <w:hyperlink w:anchor="_Toc514316681" w:history="1">
            <w:r w:rsidR="00A26602" w:rsidRPr="00E707EA">
              <w:rPr>
                <w:rStyle w:val="Hyperlink"/>
                <w:noProof/>
                <w:lang w:val="fr-CA"/>
              </w:rPr>
              <w:t>L’approche adoptée par l’ACAE pour éliminer les obstacles financiers</w:t>
            </w:r>
            <w:r w:rsidR="00A26602">
              <w:rPr>
                <w:noProof/>
                <w:webHidden/>
              </w:rPr>
              <w:tab/>
            </w:r>
            <w:r w:rsidR="00A26602">
              <w:rPr>
                <w:noProof/>
                <w:webHidden/>
              </w:rPr>
              <w:fldChar w:fldCharType="begin"/>
            </w:r>
            <w:r w:rsidR="00A26602">
              <w:rPr>
                <w:noProof/>
                <w:webHidden/>
              </w:rPr>
              <w:instrText xml:space="preserve"> PAGEREF _Toc514316681 \h </w:instrText>
            </w:r>
            <w:r w:rsidR="00A26602">
              <w:rPr>
                <w:noProof/>
                <w:webHidden/>
              </w:rPr>
            </w:r>
            <w:r w:rsidR="00A26602">
              <w:rPr>
                <w:noProof/>
                <w:webHidden/>
              </w:rPr>
              <w:fldChar w:fldCharType="separate"/>
            </w:r>
            <w:r w:rsidR="00A26602">
              <w:rPr>
                <w:noProof/>
                <w:webHidden/>
              </w:rPr>
              <w:t>5</w:t>
            </w:r>
            <w:r w:rsidR="00A26602">
              <w:rPr>
                <w:noProof/>
                <w:webHidden/>
              </w:rPr>
              <w:fldChar w:fldCharType="end"/>
            </w:r>
          </w:hyperlink>
        </w:p>
        <w:p w14:paraId="74DCB5B7" w14:textId="77777777" w:rsidR="00A26602" w:rsidRDefault="009554EB">
          <w:pPr>
            <w:pStyle w:val="TOC1"/>
            <w:tabs>
              <w:tab w:val="right" w:leader="dot" w:pos="8630"/>
            </w:tabs>
            <w:rPr>
              <w:b w:val="0"/>
              <w:bCs w:val="0"/>
              <w:noProof/>
              <w:sz w:val="22"/>
              <w:szCs w:val="22"/>
              <w:lang w:val="fr-CA" w:eastAsia="fr-CA"/>
            </w:rPr>
          </w:pPr>
          <w:hyperlink w:anchor="_Toc514316682" w:history="1">
            <w:r w:rsidR="00A26602" w:rsidRPr="00E707EA">
              <w:rPr>
                <w:rStyle w:val="Hyperlink"/>
                <w:noProof/>
                <w:lang w:val="fr-CA"/>
              </w:rPr>
              <w:t>Contexte</w:t>
            </w:r>
            <w:r w:rsidR="00A26602">
              <w:rPr>
                <w:noProof/>
                <w:webHidden/>
              </w:rPr>
              <w:tab/>
            </w:r>
            <w:r w:rsidR="00A26602">
              <w:rPr>
                <w:noProof/>
                <w:webHidden/>
              </w:rPr>
              <w:fldChar w:fldCharType="begin"/>
            </w:r>
            <w:r w:rsidR="00A26602">
              <w:rPr>
                <w:noProof/>
                <w:webHidden/>
              </w:rPr>
              <w:instrText xml:space="preserve"> PAGEREF _Toc514316682 \h </w:instrText>
            </w:r>
            <w:r w:rsidR="00A26602">
              <w:rPr>
                <w:noProof/>
                <w:webHidden/>
              </w:rPr>
            </w:r>
            <w:r w:rsidR="00A26602">
              <w:rPr>
                <w:noProof/>
                <w:webHidden/>
              </w:rPr>
              <w:fldChar w:fldCharType="separate"/>
            </w:r>
            <w:r w:rsidR="00A26602">
              <w:rPr>
                <w:noProof/>
                <w:webHidden/>
              </w:rPr>
              <w:t>6</w:t>
            </w:r>
            <w:r w:rsidR="00A26602">
              <w:rPr>
                <w:noProof/>
                <w:webHidden/>
              </w:rPr>
              <w:fldChar w:fldCharType="end"/>
            </w:r>
          </w:hyperlink>
        </w:p>
        <w:p w14:paraId="5234146E" w14:textId="77777777" w:rsidR="00A26602" w:rsidRDefault="009554EB">
          <w:pPr>
            <w:pStyle w:val="TOC2"/>
            <w:tabs>
              <w:tab w:val="right" w:leader="dot" w:pos="8630"/>
            </w:tabs>
            <w:rPr>
              <w:b w:val="0"/>
              <w:bCs w:val="0"/>
              <w:noProof/>
              <w:lang w:val="fr-CA" w:eastAsia="fr-CA"/>
            </w:rPr>
          </w:pPr>
          <w:hyperlink w:anchor="_Toc514316683" w:history="1">
            <w:r w:rsidR="00A26602" w:rsidRPr="00E707EA">
              <w:rPr>
                <w:rStyle w:val="Hyperlink"/>
                <w:noProof/>
                <w:lang w:val="fr-CA"/>
              </w:rPr>
              <w:t>Aperçu des programmes d’aide financière aux étudiants du Canada</w:t>
            </w:r>
            <w:r w:rsidR="00A26602">
              <w:rPr>
                <w:noProof/>
                <w:webHidden/>
              </w:rPr>
              <w:tab/>
            </w:r>
            <w:r w:rsidR="00A26602">
              <w:rPr>
                <w:noProof/>
                <w:webHidden/>
              </w:rPr>
              <w:fldChar w:fldCharType="begin"/>
            </w:r>
            <w:r w:rsidR="00A26602">
              <w:rPr>
                <w:noProof/>
                <w:webHidden/>
              </w:rPr>
              <w:instrText xml:space="preserve"> PAGEREF _Toc514316683 \h </w:instrText>
            </w:r>
            <w:r w:rsidR="00A26602">
              <w:rPr>
                <w:noProof/>
                <w:webHidden/>
              </w:rPr>
            </w:r>
            <w:r w:rsidR="00A26602">
              <w:rPr>
                <w:noProof/>
                <w:webHidden/>
              </w:rPr>
              <w:fldChar w:fldCharType="separate"/>
            </w:r>
            <w:r w:rsidR="00A26602">
              <w:rPr>
                <w:noProof/>
                <w:webHidden/>
              </w:rPr>
              <w:t>6</w:t>
            </w:r>
            <w:r w:rsidR="00A26602">
              <w:rPr>
                <w:noProof/>
                <w:webHidden/>
              </w:rPr>
              <w:fldChar w:fldCharType="end"/>
            </w:r>
          </w:hyperlink>
        </w:p>
        <w:p w14:paraId="3300AFFB" w14:textId="77777777" w:rsidR="00A26602" w:rsidRDefault="009554EB">
          <w:pPr>
            <w:pStyle w:val="TOC1"/>
            <w:tabs>
              <w:tab w:val="right" w:leader="dot" w:pos="8630"/>
            </w:tabs>
            <w:rPr>
              <w:b w:val="0"/>
              <w:bCs w:val="0"/>
              <w:noProof/>
              <w:sz w:val="22"/>
              <w:szCs w:val="22"/>
              <w:lang w:val="fr-CA" w:eastAsia="fr-CA"/>
            </w:rPr>
          </w:pPr>
          <w:hyperlink w:anchor="_Toc514316684" w:history="1">
            <w:r w:rsidR="00A26602" w:rsidRPr="00E707EA">
              <w:rPr>
                <w:rStyle w:val="Hyperlink"/>
                <w:noProof/>
                <w:lang w:val="fr-CA"/>
              </w:rPr>
              <w:t>Aperçu des politiques et arguments de l’ACAE</w:t>
            </w:r>
            <w:r w:rsidR="00A26602">
              <w:rPr>
                <w:noProof/>
                <w:webHidden/>
              </w:rPr>
              <w:tab/>
            </w:r>
            <w:r w:rsidR="00A26602">
              <w:rPr>
                <w:noProof/>
                <w:webHidden/>
              </w:rPr>
              <w:fldChar w:fldCharType="begin"/>
            </w:r>
            <w:r w:rsidR="00A26602">
              <w:rPr>
                <w:noProof/>
                <w:webHidden/>
              </w:rPr>
              <w:instrText xml:space="preserve"> PAGEREF _Toc514316684 \h </w:instrText>
            </w:r>
            <w:r w:rsidR="00A26602">
              <w:rPr>
                <w:noProof/>
                <w:webHidden/>
              </w:rPr>
            </w:r>
            <w:r w:rsidR="00A26602">
              <w:rPr>
                <w:noProof/>
                <w:webHidden/>
              </w:rPr>
              <w:fldChar w:fldCharType="separate"/>
            </w:r>
            <w:r w:rsidR="00A26602">
              <w:rPr>
                <w:noProof/>
                <w:webHidden/>
              </w:rPr>
              <w:t>7</w:t>
            </w:r>
            <w:r w:rsidR="00A26602">
              <w:rPr>
                <w:noProof/>
                <w:webHidden/>
              </w:rPr>
              <w:fldChar w:fldCharType="end"/>
            </w:r>
          </w:hyperlink>
        </w:p>
        <w:p w14:paraId="3C6BF8DD" w14:textId="77777777" w:rsidR="00A26602" w:rsidRDefault="009554EB">
          <w:pPr>
            <w:pStyle w:val="TOC2"/>
            <w:tabs>
              <w:tab w:val="right" w:leader="dot" w:pos="8630"/>
            </w:tabs>
            <w:rPr>
              <w:b w:val="0"/>
              <w:bCs w:val="0"/>
              <w:noProof/>
              <w:lang w:val="fr-CA" w:eastAsia="fr-CA"/>
            </w:rPr>
          </w:pPr>
          <w:hyperlink w:anchor="_Toc514316685" w:history="1">
            <w:r w:rsidR="00A26602" w:rsidRPr="00E707EA">
              <w:rPr>
                <w:rStyle w:val="Hyperlink"/>
                <w:noProof/>
                <w:lang w:val="fr-CA"/>
              </w:rPr>
              <w:t>Le Programme d’aide aux étudiantes de niveau postsecondaire (PAEP)</w:t>
            </w:r>
            <w:r w:rsidR="00A26602">
              <w:rPr>
                <w:noProof/>
                <w:webHidden/>
              </w:rPr>
              <w:tab/>
            </w:r>
            <w:r w:rsidR="00A26602">
              <w:rPr>
                <w:noProof/>
                <w:webHidden/>
              </w:rPr>
              <w:fldChar w:fldCharType="begin"/>
            </w:r>
            <w:r w:rsidR="00A26602">
              <w:rPr>
                <w:noProof/>
                <w:webHidden/>
              </w:rPr>
              <w:instrText xml:space="preserve"> PAGEREF _Toc514316685 \h </w:instrText>
            </w:r>
            <w:r w:rsidR="00A26602">
              <w:rPr>
                <w:noProof/>
                <w:webHidden/>
              </w:rPr>
            </w:r>
            <w:r w:rsidR="00A26602">
              <w:rPr>
                <w:noProof/>
                <w:webHidden/>
              </w:rPr>
              <w:fldChar w:fldCharType="separate"/>
            </w:r>
            <w:r w:rsidR="00A26602">
              <w:rPr>
                <w:noProof/>
                <w:webHidden/>
              </w:rPr>
              <w:t>8</w:t>
            </w:r>
            <w:r w:rsidR="00A26602">
              <w:rPr>
                <w:noProof/>
                <w:webHidden/>
              </w:rPr>
              <w:fldChar w:fldCharType="end"/>
            </w:r>
          </w:hyperlink>
        </w:p>
        <w:p w14:paraId="15371778" w14:textId="77777777" w:rsidR="00A26602" w:rsidRDefault="009554EB">
          <w:pPr>
            <w:pStyle w:val="TOC2"/>
            <w:tabs>
              <w:tab w:val="right" w:leader="dot" w:pos="8630"/>
            </w:tabs>
            <w:rPr>
              <w:b w:val="0"/>
              <w:bCs w:val="0"/>
              <w:noProof/>
              <w:lang w:val="fr-CA" w:eastAsia="fr-CA"/>
            </w:rPr>
          </w:pPr>
          <w:hyperlink w:anchor="_Toc514316686" w:history="1">
            <w:r w:rsidR="00A26602" w:rsidRPr="00E707EA">
              <w:rPr>
                <w:rStyle w:val="Hyperlink"/>
                <w:noProof/>
                <w:lang w:val="fr-CA"/>
              </w:rPr>
              <w:t>Élargir la portée des bourses canadiennes pour étudiants et les améliorer</w:t>
            </w:r>
            <w:r w:rsidR="00A26602">
              <w:rPr>
                <w:noProof/>
                <w:webHidden/>
              </w:rPr>
              <w:tab/>
            </w:r>
            <w:r w:rsidR="00A26602">
              <w:rPr>
                <w:noProof/>
                <w:webHidden/>
              </w:rPr>
              <w:fldChar w:fldCharType="begin"/>
            </w:r>
            <w:r w:rsidR="00A26602">
              <w:rPr>
                <w:noProof/>
                <w:webHidden/>
              </w:rPr>
              <w:instrText xml:space="preserve"> PAGEREF _Toc514316686 \h </w:instrText>
            </w:r>
            <w:r w:rsidR="00A26602">
              <w:rPr>
                <w:noProof/>
                <w:webHidden/>
              </w:rPr>
            </w:r>
            <w:r w:rsidR="00A26602">
              <w:rPr>
                <w:noProof/>
                <w:webHidden/>
              </w:rPr>
              <w:fldChar w:fldCharType="separate"/>
            </w:r>
            <w:r w:rsidR="00A26602">
              <w:rPr>
                <w:noProof/>
                <w:webHidden/>
              </w:rPr>
              <w:t>10</w:t>
            </w:r>
            <w:r w:rsidR="00A26602">
              <w:rPr>
                <w:noProof/>
                <w:webHidden/>
              </w:rPr>
              <w:fldChar w:fldCharType="end"/>
            </w:r>
          </w:hyperlink>
        </w:p>
        <w:p w14:paraId="7D8C209F" w14:textId="77777777" w:rsidR="00A26602" w:rsidRDefault="009554EB">
          <w:pPr>
            <w:pStyle w:val="TOC2"/>
            <w:tabs>
              <w:tab w:val="right" w:leader="dot" w:pos="8630"/>
            </w:tabs>
            <w:rPr>
              <w:b w:val="0"/>
              <w:bCs w:val="0"/>
              <w:noProof/>
              <w:lang w:val="fr-CA" w:eastAsia="fr-CA"/>
            </w:rPr>
          </w:pPr>
          <w:hyperlink w:anchor="_Toc514316687" w:history="1">
            <w:r w:rsidR="00A26602" w:rsidRPr="00E707EA">
              <w:rPr>
                <w:rStyle w:val="Hyperlink"/>
                <w:noProof/>
                <w:lang w:val="fr-CA"/>
              </w:rPr>
              <w:t>Créer une bourse pour les étudiants des cycles supérieurs ayant des besoins financiers importants</w:t>
            </w:r>
            <w:r w:rsidR="00A26602">
              <w:rPr>
                <w:noProof/>
                <w:webHidden/>
              </w:rPr>
              <w:tab/>
            </w:r>
            <w:r w:rsidR="00A26602">
              <w:rPr>
                <w:noProof/>
                <w:webHidden/>
              </w:rPr>
              <w:fldChar w:fldCharType="begin"/>
            </w:r>
            <w:r w:rsidR="00A26602">
              <w:rPr>
                <w:noProof/>
                <w:webHidden/>
              </w:rPr>
              <w:instrText xml:space="preserve"> PAGEREF _Toc514316687 \h </w:instrText>
            </w:r>
            <w:r w:rsidR="00A26602">
              <w:rPr>
                <w:noProof/>
                <w:webHidden/>
              </w:rPr>
            </w:r>
            <w:r w:rsidR="00A26602">
              <w:rPr>
                <w:noProof/>
                <w:webHidden/>
              </w:rPr>
              <w:fldChar w:fldCharType="separate"/>
            </w:r>
            <w:r w:rsidR="00A26602">
              <w:rPr>
                <w:noProof/>
                <w:webHidden/>
              </w:rPr>
              <w:t>11</w:t>
            </w:r>
            <w:r w:rsidR="00A26602">
              <w:rPr>
                <w:noProof/>
                <w:webHidden/>
              </w:rPr>
              <w:fldChar w:fldCharType="end"/>
            </w:r>
          </w:hyperlink>
        </w:p>
        <w:p w14:paraId="03CC5F4A" w14:textId="77777777" w:rsidR="00A26602" w:rsidRDefault="009554EB">
          <w:pPr>
            <w:pStyle w:val="TOC2"/>
            <w:tabs>
              <w:tab w:val="right" w:leader="dot" w:pos="8630"/>
            </w:tabs>
            <w:rPr>
              <w:b w:val="0"/>
              <w:bCs w:val="0"/>
              <w:noProof/>
              <w:lang w:val="fr-CA" w:eastAsia="fr-CA"/>
            </w:rPr>
          </w:pPr>
          <w:hyperlink w:anchor="_Toc514316688" w:history="1">
            <w:r w:rsidR="00A26602" w:rsidRPr="00E707EA">
              <w:rPr>
                <w:rStyle w:val="Hyperlink"/>
                <w:noProof/>
                <w:lang w:val="fr-CA"/>
              </w:rPr>
              <w:t>Soutenir les étudiants handicapés</w:t>
            </w:r>
            <w:r w:rsidR="00A26602">
              <w:rPr>
                <w:noProof/>
                <w:webHidden/>
              </w:rPr>
              <w:tab/>
            </w:r>
            <w:r w:rsidR="00A26602">
              <w:rPr>
                <w:noProof/>
                <w:webHidden/>
              </w:rPr>
              <w:fldChar w:fldCharType="begin"/>
            </w:r>
            <w:r w:rsidR="00A26602">
              <w:rPr>
                <w:noProof/>
                <w:webHidden/>
              </w:rPr>
              <w:instrText xml:space="preserve"> PAGEREF _Toc514316688 \h </w:instrText>
            </w:r>
            <w:r w:rsidR="00A26602">
              <w:rPr>
                <w:noProof/>
                <w:webHidden/>
              </w:rPr>
            </w:r>
            <w:r w:rsidR="00A26602">
              <w:rPr>
                <w:noProof/>
                <w:webHidden/>
              </w:rPr>
              <w:fldChar w:fldCharType="separate"/>
            </w:r>
            <w:r w:rsidR="00A26602">
              <w:rPr>
                <w:noProof/>
                <w:webHidden/>
              </w:rPr>
              <w:t>12</w:t>
            </w:r>
            <w:r w:rsidR="00A26602">
              <w:rPr>
                <w:noProof/>
                <w:webHidden/>
              </w:rPr>
              <w:fldChar w:fldCharType="end"/>
            </w:r>
          </w:hyperlink>
        </w:p>
        <w:p w14:paraId="5270402C" w14:textId="77777777" w:rsidR="00A26602" w:rsidRDefault="009554EB">
          <w:pPr>
            <w:pStyle w:val="TOC2"/>
            <w:tabs>
              <w:tab w:val="right" w:leader="dot" w:pos="8630"/>
            </w:tabs>
            <w:rPr>
              <w:b w:val="0"/>
              <w:bCs w:val="0"/>
              <w:noProof/>
              <w:lang w:val="fr-CA" w:eastAsia="fr-CA"/>
            </w:rPr>
          </w:pPr>
          <w:hyperlink w:anchor="_Toc514316689" w:history="1">
            <w:r w:rsidR="00A26602" w:rsidRPr="00E707EA">
              <w:rPr>
                <w:rStyle w:val="Hyperlink"/>
                <w:noProof/>
                <w:lang w:val="fr-CA"/>
              </w:rPr>
              <w:t>S’assurer que les prêts du PCPE augmentent en fonction des besoins des étudiants</w:t>
            </w:r>
            <w:r w:rsidR="00A26602">
              <w:rPr>
                <w:noProof/>
                <w:webHidden/>
              </w:rPr>
              <w:tab/>
            </w:r>
            <w:r w:rsidR="00A26602">
              <w:rPr>
                <w:noProof/>
                <w:webHidden/>
              </w:rPr>
              <w:fldChar w:fldCharType="begin"/>
            </w:r>
            <w:r w:rsidR="00A26602">
              <w:rPr>
                <w:noProof/>
                <w:webHidden/>
              </w:rPr>
              <w:instrText xml:space="preserve"> PAGEREF _Toc514316689 \h </w:instrText>
            </w:r>
            <w:r w:rsidR="00A26602">
              <w:rPr>
                <w:noProof/>
                <w:webHidden/>
              </w:rPr>
            </w:r>
            <w:r w:rsidR="00A26602">
              <w:rPr>
                <w:noProof/>
                <w:webHidden/>
              </w:rPr>
              <w:fldChar w:fldCharType="separate"/>
            </w:r>
            <w:r w:rsidR="00A26602">
              <w:rPr>
                <w:noProof/>
                <w:webHidden/>
              </w:rPr>
              <w:t>16</w:t>
            </w:r>
            <w:r w:rsidR="00A26602">
              <w:rPr>
                <w:noProof/>
                <w:webHidden/>
              </w:rPr>
              <w:fldChar w:fldCharType="end"/>
            </w:r>
          </w:hyperlink>
        </w:p>
        <w:p w14:paraId="375AAADB" w14:textId="77777777" w:rsidR="00A26602" w:rsidRDefault="009554EB">
          <w:pPr>
            <w:pStyle w:val="TOC2"/>
            <w:tabs>
              <w:tab w:val="right" w:leader="dot" w:pos="8630"/>
            </w:tabs>
            <w:rPr>
              <w:b w:val="0"/>
              <w:bCs w:val="0"/>
              <w:noProof/>
              <w:lang w:val="fr-CA" w:eastAsia="fr-CA"/>
            </w:rPr>
          </w:pPr>
          <w:hyperlink w:anchor="_Toc514316690" w:history="1">
            <w:r w:rsidR="00A26602" w:rsidRPr="00E707EA">
              <w:rPr>
                <w:rStyle w:val="Hyperlink"/>
                <w:noProof/>
                <w:lang w:val="fr-CA" w:eastAsia="en-CA"/>
              </w:rPr>
              <w:t>Décaissement rapide de l’aide financière aux étudiants</w:t>
            </w:r>
            <w:r w:rsidR="00A26602">
              <w:rPr>
                <w:noProof/>
                <w:webHidden/>
              </w:rPr>
              <w:tab/>
            </w:r>
            <w:r w:rsidR="00A26602">
              <w:rPr>
                <w:noProof/>
                <w:webHidden/>
              </w:rPr>
              <w:fldChar w:fldCharType="begin"/>
            </w:r>
            <w:r w:rsidR="00A26602">
              <w:rPr>
                <w:noProof/>
                <w:webHidden/>
              </w:rPr>
              <w:instrText xml:space="preserve"> PAGEREF _Toc514316690 \h </w:instrText>
            </w:r>
            <w:r w:rsidR="00A26602">
              <w:rPr>
                <w:noProof/>
                <w:webHidden/>
              </w:rPr>
            </w:r>
            <w:r w:rsidR="00A26602">
              <w:rPr>
                <w:noProof/>
                <w:webHidden/>
              </w:rPr>
              <w:fldChar w:fldCharType="separate"/>
            </w:r>
            <w:r w:rsidR="00A26602">
              <w:rPr>
                <w:noProof/>
                <w:webHidden/>
              </w:rPr>
              <w:t>17</w:t>
            </w:r>
            <w:r w:rsidR="00A26602">
              <w:rPr>
                <w:noProof/>
                <w:webHidden/>
              </w:rPr>
              <w:fldChar w:fldCharType="end"/>
            </w:r>
          </w:hyperlink>
        </w:p>
        <w:p w14:paraId="2C59695A" w14:textId="77777777" w:rsidR="00A26602" w:rsidRDefault="009554EB">
          <w:pPr>
            <w:pStyle w:val="TOC2"/>
            <w:tabs>
              <w:tab w:val="right" w:leader="dot" w:pos="8630"/>
            </w:tabs>
            <w:rPr>
              <w:b w:val="0"/>
              <w:bCs w:val="0"/>
              <w:noProof/>
              <w:lang w:val="fr-CA" w:eastAsia="fr-CA"/>
            </w:rPr>
          </w:pPr>
          <w:hyperlink w:anchor="_Toc514316691" w:history="1">
            <w:r w:rsidR="00A26602" w:rsidRPr="00E707EA">
              <w:rPr>
                <w:rStyle w:val="Hyperlink"/>
                <w:noProof/>
                <w:lang w:val="fr-CA"/>
              </w:rPr>
              <w:t>Réduire le taux d’intérêt des prêts d’études publics</w:t>
            </w:r>
            <w:r w:rsidR="00A26602">
              <w:rPr>
                <w:noProof/>
                <w:webHidden/>
              </w:rPr>
              <w:tab/>
            </w:r>
            <w:r w:rsidR="00A26602">
              <w:rPr>
                <w:noProof/>
                <w:webHidden/>
              </w:rPr>
              <w:fldChar w:fldCharType="begin"/>
            </w:r>
            <w:r w:rsidR="00A26602">
              <w:rPr>
                <w:noProof/>
                <w:webHidden/>
              </w:rPr>
              <w:instrText xml:space="preserve"> PAGEREF _Toc514316691 \h </w:instrText>
            </w:r>
            <w:r w:rsidR="00A26602">
              <w:rPr>
                <w:noProof/>
                <w:webHidden/>
              </w:rPr>
            </w:r>
            <w:r w:rsidR="00A26602">
              <w:rPr>
                <w:noProof/>
                <w:webHidden/>
              </w:rPr>
              <w:fldChar w:fldCharType="separate"/>
            </w:r>
            <w:r w:rsidR="00A26602">
              <w:rPr>
                <w:noProof/>
                <w:webHidden/>
              </w:rPr>
              <w:t>18</w:t>
            </w:r>
            <w:r w:rsidR="00A26602">
              <w:rPr>
                <w:noProof/>
                <w:webHidden/>
              </w:rPr>
              <w:fldChar w:fldCharType="end"/>
            </w:r>
          </w:hyperlink>
        </w:p>
        <w:p w14:paraId="7D2B7AB5" w14:textId="77777777" w:rsidR="00A26602" w:rsidRDefault="009554EB">
          <w:pPr>
            <w:pStyle w:val="TOC2"/>
            <w:tabs>
              <w:tab w:val="right" w:leader="dot" w:pos="8630"/>
            </w:tabs>
            <w:rPr>
              <w:b w:val="0"/>
              <w:bCs w:val="0"/>
              <w:noProof/>
              <w:lang w:val="fr-CA" w:eastAsia="fr-CA"/>
            </w:rPr>
          </w:pPr>
          <w:hyperlink w:anchor="_Toc514316692" w:history="1">
            <w:r w:rsidR="00A26602" w:rsidRPr="00E707EA">
              <w:rPr>
                <w:rStyle w:val="Hyperlink"/>
                <w:noProof/>
                <w:lang w:val="fr-CA"/>
              </w:rPr>
              <w:t>Séparation des taux d’intérêt publics et privés sur les prêts d’études canadiens</w:t>
            </w:r>
            <w:r w:rsidR="00A26602">
              <w:rPr>
                <w:noProof/>
                <w:webHidden/>
              </w:rPr>
              <w:tab/>
            </w:r>
            <w:r w:rsidR="00A26602">
              <w:rPr>
                <w:noProof/>
                <w:webHidden/>
              </w:rPr>
              <w:fldChar w:fldCharType="begin"/>
            </w:r>
            <w:r w:rsidR="00A26602">
              <w:rPr>
                <w:noProof/>
                <w:webHidden/>
              </w:rPr>
              <w:instrText xml:space="preserve"> PAGEREF _Toc514316692 \h </w:instrText>
            </w:r>
            <w:r w:rsidR="00A26602">
              <w:rPr>
                <w:noProof/>
                <w:webHidden/>
              </w:rPr>
            </w:r>
            <w:r w:rsidR="00A26602">
              <w:rPr>
                <w:noProof/>
                <w:webHidden/>
              </w:rPr>
              <w:fldChar w:fldCharType="separate"/>
            </w:r>
            <w:r w:rsidR="00A26602">
              <w:rPr>
                <w:noProof/>
                <w:webHidden/>
              </w:rPr>
              <w:t>18</w:t>
            </w:r>
            <w:r w:rsidR="00A26602">
              <w:rPr>
                <w:noProof/>
                <w:webHidden/>
              </w:rPr>
              <w:fldChar w:fldCharType="end"/>
            </w:r>
          </w:hyperlink>
        </w:p>
        <w:p w14:paraId="080F69DE" w14:textId="77777777" w:rsidR="00A26602" w:rsidRDefault="009554EB">
          <w:pPr>
            <w:pStyle w:val="TOC2"/>
            <w:tabs>
              <w:tab w:val="right" w:leader="dot" w:pos="8630"/>
            </w:tabs>
            <w:rPr>
              <w:b w:val="0"/>
              <w:bCs w:val="0"/>
              <w:noProof/>
              <w:lang w:val="fr-CA" w:eastAsia="fr-CA"/>
            </w:rPr>
          </w:pPr>
          <w:hyperlink w:anchor="_Toc514316693" w:history="1">
            <w:r w:rsidR="00A26602" w:rsidRPr="00E707EA">
              <w:rPr>
                <w:rStyle w:val="Hyperlink"/>
                <w:noProof/>
                <w:lang w:val="fr-CA"/>
              </w:rPr>
              <w:t>Créer un mécanisme d’appel efficace</w:t>
            </w:r>
            <w:r w:rsidR="00A26602">
              <w:rPr>
                <w:noProof/>
                <w:webHidden/>
              </w:rPr>
              <w:tab/>
            </w:r>
            <w:r w:rsidR="00A26602">
              <w:rPr>
                <w:noProof/>
                <w:webHidden/>
              </w:rPr>
              <w:fldChar w:fldCharType="begin"/>
            </w:r>
            <w:r w:rsidR="00A26602">
              <w:rPr>
                <w:noProof/>
                <w:webHidden/>
              </w:rPr>
              <w:instrText xml:space="preserve"> PAGEREF _Toc514316693 \h </w:instrText>
            </w:r>
            <w:r w:rsidR="00A26602">
              <w:rPr>
                <w:noProof/>
                <w:webHidden/>
              </w:rPr>
            </w:r>
            <w:r w:rsidR="00A26602">
              <w:rPr>
                <w:noProof/>
                <w:webHidden/>
              </w:rPr>
              <w:fldChar w:fldCharType="separate"/>
            </w:r>
            <w:r w:rsidR="00A26602">
              <w:rPr>
                <w:noProof/>
                <w:webHidden/>
              </w:rPr>
              <w:t>19</w:t>
            </w:r>
            <w:r w:rsidR="00A26602">
              <w:rPr>
                <w:noProof/>
                <w:webHidden/>
              </w:rPr>
              <w:fldChar w:fldCharType="end"/>
            </w:r>
          </w:hyperlink>
        </w:p>
        <w:p w14:paraId="525D23B8" w14:textId="77777777" w:rsidR="00A26602" w:rsidRDefault="009554EB">
          <w:pPr>
            <w:pStyle w:val="TOC2"/>
            <w:tabs>
              <w:tab w:val="right" w:leader="dot" w:pos="8630"/>
            </w:tabs>
            <w:rPr>
              <w:b w:val="0"/>
              <w:bCs w:val="0"/>
              <w:noProof/>
              <w:lang w:val="fr-CA" w:eastAsia="fr-CA"/>
            </w:rPr>
          </w:pPr>
          <w:hyperlink w:anchor="_Toc514316694" w:history="1">
            <w:r w:rsidR="00A26602" w:rsidRPr="00E707EA">
              <w:rPr>
                <w:rStyle w:val="Hyperlink"/>
                <w:noProof/>
                <w:lang w:val="fr-CA"/>
              </w:rPr>
              <w:t>Période de non remboursement libre d’intérêt</w:t>
            </w:r>
            <w:r w:rsidR="00A26602">
              <w:rPr>
                <w:noProof/>
                <w:webHidden/>
              </w:rPr>
              <w:tab/>
            </w:r>
            <w:r w:rsidR="00A26602">
              <w:rPr>
                <w:noProof/>
                <w:webHidden/>
              </w:rPr>
              <w:fldChar w:fldCharType="begin"/>
            </w:r>
            <w:r w:rsidR="00A26602">
              <w:rPr>
                <w:noProof/>
                <w:webHidden/>
              </w:rPr>
              <w:instrText xml:space="preserve"> PAGEREF _Toc514316694 \h </w:instrText>
            </w:r>
            <w:r w:rsidR="00A26602">
              <w:rPr>
                <w:noProof/>
                <w:webHidden/>
              </w:rPr>
            </w:r>
            <w:r w:rsidR="00A26602">
              <w:rPr>
                <w:noProof/>
                <w:webHidden/>
              </w:rPr>
              <w:fldChar w:fldCharType="separate"/>
            </w:r>
            <w:r w:rsidR="00A26602">
              <w:rPr>
                <w:noProof/>
                <w:webHidden/>
              </w:rPr>
              <w:t>20</w:t>
            </w:r>
            <w:r w:rsidR="00A26602">
              <w:rPr>
                <w:noProof/>
                <w:webHidden/>
              </w:rPr>
              <w:fldChar w:fldCharType="end"/>
            </w:r>
          </w:hyperlink>
        </w:p>
        <w:p w14:paraId="5A301AEA" w14:textId="77777777" w:rsidR="00A26602" w:rsidRDefault="009554EB">
          <w:pPr>
            <w:pStyle w:val="TOC2"/>
            <w:tabs>
              <w:tab w:val="right" w:leader="dot" w:pos="8630"/>
            </w:tabs>
            <w:rPr>
              <w:b w:val="0"/>
              <w:bCs w:val="0"/>
              <w:noProof/>
              <w:lang w:val="fr-CA" w:eastAsia="fr-CA"/>
            </w:rPr>
          </w:pPr>
          <w:hyperlink w:anchor="_Toc514316695" w:history="1">
            <w:r w:rsidR="00A26602" w:rsidRPr="00E707EA">
              <w:rPr>
                <w:rStyle w:val="Hyperlink"/>
                <w:noProof/>
                <w:lang w:val="fr-CA"/>
              </w:rPr>
              <w:t>Aide au remboursement</w:t>
            </w:r>
            <w:r w:rsidR="00A26602">
              <w:rPr>
                <w:noProof/>
                <w:webHidden/>
              </w:rPr>
              <w:tab/>
            </w:r>
            <w:r w:rsidR="00A26602">
              <w:rPr>
                <w:noProof/>
                <w:webHidden/>
              </w:rPr>
              <w:fldChar w:fldCharType="begin"/>
            </w:r>
            <w:r w:rsidR="00A26602">
              <w:rPr>
                <w:noProof/>
                <w:webHidden/>
              </w:rPr>
              <w:instrText xml:space="preserve"> PAGEREF _Toc514316695 \h </w:instrText>
            </w:r>
            <w:r w:rsidR="00A26602">
              <w:rPr>
                <w:noProof/>
                <w:webHidden/>
              </w:rPr>
            </w:r>
            <w:r w:rsidR="00A26602">
              <w:rPr>
                <w:noProof/>
                <w:webHidden/>
              </w:rPr>
              <w:fldChar w:fldCharType="separate"/>
            </w:r>
            <w:r w:rsidR="00A26602">
              <w:rPr>
                <w:noProof/>
                <w:webHidden/>
              </w:rPr>
              <w:t>21</w:t>
            </w:r>
            <w:r w:rsidR="00A26602">
              <w:rPr>
                <w:noProof/>
                <w:webHidden/>
              </w:rPr>
              <w:fldChar w:fldCharType="end"/>
            </w:r>
          </w:hyperlink>
        </w:p>
        <w:p w14:paraId="02857162" w14:textId="77777777" w:rsidR="00A26602" w:rsidRDefault="009554EB">
          <w:pPr>
            <w:pStyle w:val="TOC1"/>
            <w:tabs>
              <w:tab w:val="right" w:leader="dot" w:pos="8630"/>
            </w:tabs>
            <w:rPr>
              <w:b w:val="0"/>
              <w:bCs w:val="0"/>
              <w:noProof/>
              <w:sz w:val="22"/>
              <w:szCs w:val="22"/>
              <w:lang w:val="fr-CA" w:eastAsia="fr-CA"/>
            </w:rPr>
          </w:pPr>
          <w:hyperlink w:anchor="_Toc514316696" w:history="1">
            <w:r w:rsidR="00A26602" w:rsidRPr="00E707EA">
              <w:rPr>
                <w:rStyle w:val="Hyperlink"/>
                <w:noProof/>
                <w:lang w:val="fr-CA"/>
              </w:rPr>
              <w:t>Résumé des changements proposés</w:t>
            </w:r>
            <w:r w:rsidR="00A26602">
              <w:rPr>
                <w:noProof/>
                <w:webHidden/>
              </w:rPr>
              <w:tab/>
            </w:r>
            <w:r w:rsidR="00A26602">
              <w:rPr>
                <w:noProof/>
                <w:webHidden/>
              </w:rPr>
              <w:fldChar w:fldCharType="begin"/>
            </w:r>
            <w:r w:rsidR="00A26602">
              <w:rPr>
                <w:noProof/>
                <w:webHidden/>
              </w:rPr>
              <w:instrText xml:space="preserve"> PAGEREF _Toc514316696 \h </w:instrText>
            </w:r>
            <w:r w:rsidR="00A26602">
              <w:rPr>
                <w:noProof/>
                <w:webHidden/>
              </w:rPr>
            </w:r>
            <w:r w:rsidR="00A26602">
              <w:rPr>
                <w:noProof/>
                <w:webHidden/>
              </w:rPr>
              <w:fldChar w:fldCharType="separate"/>
            </w:r>
            <w:r w:rsidR="00A26602">
              <w:rPr>
                <w:noProof/>
                <w:webHidden/>
              </w:rPr>
              <w:t>24</w:t>
            </w:r>
            <w:r w:rsidR="00A26602">
              <w:rPr>
                <w:noProof/>
                <w:webHidden/>
              </w:rPr>
              <w:fldChar w:fldCharType="end"/>
            </w:r>
          </w:hyperlink>
        </w:p>
        <w:p w14:paraId="545B5F11" w14:textId="77777777" w:rsidR="00A26602" w:rsidRDefault="009554EB">
          <w:pPr>
            <w:pStyle w:val="TOC1"/>
            <w:tabs>
              <w:tab w:val="right" w:leader="dot" w:pos="8630"/>
            </w:tabs>
            <w:rPr>
              <w:b w:val="0"/>
              <w:bCs w:val="0"/>
              <w:noProof/>
              <w:sz w:val="22"/>
              <w:szCs w:val="22"/>
              <w:lang w:val="fr-CA" w:eastAsia="fr-CA"/>
            </w:rPr>
          </w:pPr>
          <w:hyperlink w:anchor="_Toc514316697" w:history="1">
            <w:r w:rsidR="00A26602" w:rsidRPr="00E707EA">
              <w:rPr>
                <w:rStyle w:val="Hyperlink"/>
                <w:noProof/>
                <w:lang w:val="fr-CA"/>
              </w:rPr>
              <w:t>Our Members</w:t>
            </w:r>
            <w:r w:rsidR="00A26602">
              <w:rPr>
                <w:noProof/>
                <w:webHidden/>
              </w:rPr>
              <w:tab/>
            </w:r>
            <w:r w:rsidR="00A26602">
              <w:rPr>
                <w:noProof/>
                <w:webHidden/>
              </w:rPr>
              <w:fldChar w:fldCharType="begin"/>
            </w:r>
            <w:r w:rsidR="00A26602">
              <w:rPr>
                <w:noProof/>
                <w:webHidden/>
              </w:rPr>
              <w:instrText xml:space="preserve"> PAGEREF _Toc514316697 \h </w:instrText>
            </w:r>
            <w:r w:rsidR="00A26602">
              <w:rPr>
                <w:noProof/>
                <w:webHidden/>
              </w:rPr>
            </w:r>
            <w:r w:rsidR="00A26602">
              <w:rPr>
                <w:noProof/>
                <w:webHidden/>
              </w:rPr>
              <w:fldChar w:fldCharType="separate"/>
            </w:r>
            <w:r w:rsidR="00A26602">
              <w:rPr>
                <w:noProof/>
                <w:webHidden/>
              </w:rPr>
              <w:t>26</w:t>
            </w:r>
            <w:r w:rsidR="00A26602">
              <w:rPr>
                <w:noProof/>
                <w:webHidden/>
              </w:rPr>
              <w:fldChar w:fldCharType="end"/>
            </w:r>
          </w:hyperlink>
        </w:p>
        <w:p w14:paraId="505AFE4C" w14:textId="77777777" w:rsidR="00A26602" w:rsidRDefault="009554EB">
          <w:pPr>
            <w:pStyle w:val="TOC1"/>
            <w:tabs>
              <w:tab w:val="right" w:leader="dot" w:pos="8630"/>
            </w:tabs>
            <w:rPr>
              <w:b w:val="0"/>
              <w:bCs w:val="0"/>
              <w:noProof/>
              <w:sz w:val="22"/>
              <w:szCs w:val="22"/>
              <w:lang w:val="fr-CA" w:eastAsia="fr-CA"/>
            </w:rPr>
          </w:pPr>
          <w:hyperlink w:anchor="_Toc514316698" w:history="1">
            <w:r w:rsidR="00A26602" w:rsidRPr="00E707EA">
              <w:rPr>
                <w:rStyle w:val="Hyperlink"/>
                <w:noProof/>
                <w:lang w:val="fr-CA"/>
              </w:rPr>
              <w:t>About CASA</w:t>
            </w:r>
            <w:r w:rsidR="00A26602">
              <w:rPr>
                <w:noProof/>
                <w:webHidden/>
              </w:rPr>
              <w:tab/>
            </w:r>
            <w:r w:rsidR="00A26602">
              <w:rPr>
                <w:noProof/>
                <w:webHidden/>
              </w:rPr>
              <w:fldChar w:fldCharType="begin"/>
            </w:r>
            <w:r w:rsidR="00A26602">
              <w:rPr>
                <w:noProof/>
                <w:webHidden/>
              </w:rPr>
              <w:instrText xml:space="preserve"> PAGEREF _Toc514316698 \h </w:instrText>
            </w:r>
            <w:r w:rsidR="00A26602">
              <w:rPr>
                <w:noProof/>
                <w:webHidden/>
              </w:rPr>
            </w:r>
            <w:r w:rsidR="00A26602">
              <w:rPr>
                <w:noProof/>
                <w:webHidden/>
              </w:rPr>
              <w:fldChar w:fldCharType="separate"/>
            </w:r>
            <w:r w:rsidR="00A26602">
              <w:rPr>
                <w:noProof/>
                <w:webHidden/>
              </w:rPr>
              <w:t>27</w:t>
            </w:r>
            <w:r w:rsidR="00A26602">
              <w:rPr>
                <w:noProof/>
                <w:webHidden/>
              </w:rPr>
              <w:fldChar w:fldCharType="end"/>
            </w:r>
          </w:hyperlink>
        </w:p>
        <w:p w14:paraId="7CEBC614" w14:textId="200A5DF0" w:rsidR="00AD4EA9" w:rsidRPr="009B4616" w:rsidRDefault="0050510E" w:rsidP="00BA2A62">
          <w:pPr>
            <w:rPr>
              <w:lang w:val="fr-CA"/>
            </w:rPr>
          </w:pPr>
          <w:r w:rsidRPr="009B4616">
            <w:rPr>
              <w:b/>
              <w:bCs/>
              <w:noProof/>
              <w:lang w:val="fr-CA"/>
            </w:rPr>
            <w:fldChar w:fldCharType="end"/>
          </w:r>
        </w:p>
      </w:sdtContent>
    </w:sdt>
    <w:p w14:paraId="37F80A67" w14:textId="77777777" w:rsidR="004902CF" w:rsidRDefault="004902CF" w:rsidP="00B92B74">
      <w:pPr>
        <w:pStyle w:val="Heading1"/>
        <w:rPr>
          <w:lang w:val="fr-CA"/>
        </w:rPr>
      </w:pPr>
    </w:p>
    <w:p w14:paraId="7188AF81" w14:textId="77777777" w:rsidR="002975EA" w:rsidRDefault="002975EA" w:rsidP="002975EA">
      <w:pPr>
        <w:rPr>
          <w:lang w:val="fr-CA"/>
        </w:rPr>
      </w:pPr>
    </w:p>
    <w:p w14:paraId="23C1D3C3" w14:textId="77777777" w:rsidR="002975EA" w:rsidRDefault="002975EA" w:rsidP="002975EA">
      <w:pPr>
        <w:rPr>
          <w:lang w:val="fr-CA"/>
        </w:rPr>
      </w:pPr>
    </w:p>
    <w:p w14:paraId="5DE5A8E5" w14:textId="77777777" w:rsidR="002975EA" w:rsidRDefault="002975EA" w:rsidP="002975EA">
      <w:pPr>
        <w:rPr>
          <w:lang w:val="fr-CA"/>
        </w:rPr>
      </w:pPr>
    </w:p>
    <w:p w14:paraId="4E8D36DA" w14:textId="77777777" w:rsidR="002975EA" w:rsidRDefault="002975EA" w:rsidP="002975EA">
      <w:pPr>
        <w:rPr>
          <w:lang w:val="fr-CA"/>
        </w:rPr>
      </w:pPr>
    </w:p>
    <w:p w14:paraId="1A7E24FC" w14:textId="77777777" w:rsidR="002975EA" w:rsidRDefault="002975EA" w:rsidP="002975EA">
      <w:pPr>
        <w:rPr>
          <w:lang w:val="fr-CA"/>
        </w:rPr>
      </w:pPr>
    </w:p>
    <w:p w14:paraId="745D9E93" w14:textId="77777777" w:rsidR="002975EA" w:rsidRDefault="002975EA" w:rsidP="002975EA">
      <w:pPr>
        <w:rPr>
          <w:lang w:val="fr-CA"/>
        </w:rPr>
      </w:pPr>
    </w:p>
    <w:p w14:paraId="46997519" w14:textId="77777777" w:rsidR="002975EA" w:rsidRDefault="002975EA" w:rsidP="002975EA">
      <w:pPr>
        <w:rPr>
          <w:lang w:val="fr-CA"/>
        </w:rPr>
      </w:pPr>
    </w:p>
    <w:p w14:paraId="082E1820" w14:textId="77777777" w:rsidR="002975EA" w:rsidRDefault="002975EA" w:rsidP="002975EA">
      <w:pPr>
        <w:rPr>
          <w:lang w:val="fr-CA"/>
        </w:rPr>
      </w:pPr>
    </w:p>
    <w:p w14:paraId="6B604782" w14:textId="77777777" w:rsidR="002975EA" w:rsidRDefault="002975EA" w:rsidP="002975EA">
      <w:pPr>
        <w:rPr>
          <w:lang w:val="fr-CA"/>
        </w:rPr>
      </w:pPr>
    </w:p>
    <w:p w14:paraId="67A435CB" w14:textId="77777777" w:rsidR="002975EA" w:rsidRDefault="002975EA" w:rsidP="002975EA">
      <w:pPr>
        <w:rPr>
          <w:lang w:val="fr-CA"/>
        </w:rPr>
      </w:pPr>
    </w:p>
    <w:p w14:paraId="21B0986C" w14:textId="77777777" w:rsidR="002975EA" w:rsidRDefault="002975EA" w:rsidP="002975EA">
      <w:pPr>
        <w:rPr>
          <w:lang w:val="fr-CA"/>
        </w:rPr>
      </w:pPr>
    </w:p>
    <w:p w14:paraId="4C45CED3" w14:textId="77777777" w:rsidR="00720C38" w:rsidRPr="002975EA" w:rsidRDefault="00720C38" w:rsidP="002975EA">
      <w:pPr>
        <w:rPr>
          <w:lang w:val="fr-CA"/>
        </w:rPr>
      </w:pPr>
    </w:p>
    <w:p w14:paraId="26E39B9A" w14:textId="77777777" w:rsidR="004902CF" w:rsidRPr="009B4616" w:rsidRDefault="004902CF" w:rsidP="004902CF">
      <w:pPr>
        <w:rPr>
          <w:lang w:val="fr-CA"/>
        </w:rPr>
      </w:pPr>
    </w:p>
    <w:p w14:paraId="004C84C5" w14:textId="33A27BBD" w:rsidR="00AD69A7" w:rsidRPr="009B4616" w:rsidRDefault="009B4616" w:rsidP="00B92B74">
      <w:pPr>
        <w:pStyle w:val="Heading1"/>
        <w:rPr>
          <w:lang w:val="fr-CA"/>
        </w:rPr>
      </w:pPr>
      <w:bookmarkStart w:id="1" w:name="_Toc514316680"/>
      <w:r>
        <w:rPr>
          <w:lang w:val="fr-CA"/>
        </w:rPr>
        <w:lastRenderedPageBreak/>
        <w:t>Principes de l’ACAE</w:t>
      </w:r>
      <w:bookmarkEnd w:id="1"/>
      <w:r>
        <w:rPr>
          <w:lang w:val="fr-CA"/>
        </w:rPr>
        <w:t xml:space="preserve"> </w:t>
      </w:r>
    </w:p>
    <w:p w14:paraId="128E23E7" w14:textId="77777777" w:rsidR="0064128C" w:rsidRPr="009B4616" w:rsidRDefault="0064128C" w:rsidP="00B741A1">
      <w:pPr>
        <w:rPr>
          <w:rFonts w:asciiTheme="majorHAnsi" w:hAnsiTheme="majorHAnsi"/>
          <w:lang w:val="fr-CA"/>
        </w:rPr>
      </w:pPr>
    </w:p>
    <w:p w14:paraId="72042072" w14:textId="6A18A69B" w:rsidR="0087468C" w:rsidRPr="009B4616" w:rsidRDefault="009B4616" w:rsidP="00B741A1">
      <w:pPr>
        <w:rPr>
          <w:rFonts w:asciiTheme="majorHAnsi" w:hAnsiTheme="majorHAnsi"/>
          <w:lang w:val="fr-CA"/>
        </w:rPr>
      </w:pPr>
      <w:r>
        <w:rPr>
          <w:rFonts w:asciiTheme="majorHAnsi" w:hAnsiTheme="majorHAnsi"/>
          <w:lang w:val="fr-CA"/>
        </w:rPr>
        <w:t>L’Alliance canadienne des associations étudiantes (ACAE) défend l’éducation postsecondaire auprès du gouvernement fédéral. Nous croyons que les diplômés des écoles polytechniques, des collèges et des universités acquièrent au cours de leurs études postsecondaires des compétences qui leur seront utiles toute leur vie, compétences dont ils feront profiter la société canadienne de multiples façons, à titre de membres de la population active du Canada.</w:t>
      </w:r>
    </w:p>
    <w:p w14:paraId="235DA138" w14:textId="77777777" w:rsidR="0087468C" w:rsidRPr="009B4616" w:rsidRDefault="0087468C" w:rsidP="00B741A1">
      <w:pPr>
        <w:rPr>
          <w:rFonts w:asciiTheme="majorHAnsi" w:hAnsiTheme="majorHAnsi"/>
          <w:lang w:val="fr-CA"/>
        </w:rPr>
      </w:pPr>
    </w:p>
    <w:p w14:paraId="59FEAB4C" w14:textId="6C3DC254" w:rsidR="0087468C" w:rsidRPr="009B4616" w:rsidRDefault="009B4616" w:rsidP="00B741A1">
      <w:pPr>
        <w:rPr>
          <w:rFonts w:asciiTheme="majorHAnsi" w:hAnsiTheme="majorHAnsi"/>
          <w:lang w:val="fr-CA"/>
        </w:rPr>
      </w:pPr>
      <w:r>
        <w:rPr>
          <w:rFonts w:asciiTheme="majorHAnsi" w:hAnsiTheme="majorHAnsi"/>
          <w:lang w:val="fr-CA"/>
        </w:rPr>
        <w:t>Les études postsecondaires permettent aux étudiants d’acquérir les connaissances et les compétences nécessaires pour faire face aux nombreux enjeux de notre société. La plupart des industries de l’économie canadienne ont besoin de travailleurs ayant poursuivi des études postsecondaires et l’ACAE reconnaît l’importance des études supérieures pour offrir aux Canadiens une vie stimulante.</w:t>
      </w:r>
    </w:p>
    <w:p w14:paraId="19FE672A" w14:textId="77777777" w:rsidR="0087468C" w:rsidRPr="009B4616" w:rsidRDefault="0087468C" w:rsidP="00B741A1">
      <w:pPr>
        <w:rPr>
          <w:rFonts w:asciiTheme="majorHAnsi" w:hAnsiTheme="majorHAnsi"/>
          <w:lang w:val="fr-CA"/>
        </w:rPr>
      </w:pPr>
    </w:p>
    <w:p w14:paraId="4FC886F4" w14:textId="52C96642" w:rsidR="0087468C" w:rsidRPr="009B4616" w:rsidRDefault="00EA31C7" w:rsidP="00B741A1">
      <w:pPr>
        <w:rPr>
          <w:rFonts w:asciiTheme="majorHAnsi" w:hAnsiTheme="majorHAnsi"/>
          <w:lang w:val="fr-CA"/>
        </w:rPr>
      </w:pPr>
      <w:r>
        <w:rPr>
          <w:rFonts w:asciiTheme="majorHAnsi" w:hAnsiTheme="majorHAnsi"/>
          <w:lang w:val="fr-CA"/>
        </w:rPr>
        <w:t xml:space="preserve">Malgré son importance pour la société canadienne, </w:t>
      </w:r>
      <w:r w:rsidR="00834AC4">
        <w:rPr>
          <w:rFonts w:asciiTheme="majorHAnsi" w:hAnsiTheme="majorHAnsi"/>
          <w:lang w:val="fr-CA"/>
        </w:rPr>
        <w:t xml:space="preserve">les données soutiennent le constat selon lequel de trop nombreux </w:t>
      </w:r>
      <w:r w:rsidR="00A26602">
        <w:rPr>
          <w:rFonts w:asciiTheme="majorHAnsi" w:hAnsiTheme="majorHAnsi"/>
          <w:lang w:val="fr-CA"/>
        </w:rPr>
        <w:t>Canadiens</w:t>
      </w:r>
      <w:r w:rsidR="00834AC4">
        <w:rPr>
          <w:rFonts w:asciiTheme="majorHAnsi" w:hAnsiTheme="majorHAnsi"/>
          <w:lang w:val="fr-CA"/>
        </w:rPr>
        <w:t xml:space="preserve"> sont écartés des études postsecondaires (EP), incluant les personnes handicapées, les étudiants provenant de familles à faible revenu et les Autochtones. Les EP au Canada ouvrent la porte à de nombreuses possibilités, mais elles ne sont pas accessibles à tous.</w:t>
      </w:r>
    </w:p>
    <w:p w14:paraId="5AEE3088" w14:textId="77777777" w:rsidR="0087468C" w:rsidRPr="009B4616" w:rsidRDefault="0087468C" w:rsidP="00B741A1">
      <w:pPr>
        <w:rPr>
          <w:rFonts w:asciiTheme="majorHAnsi" w:hAnsiTheme="majorHAnsi"/>
          <w:lang w:val="fr-CA"/>
        </w:rPr>
      </w:pPr>
    </w:p>
    <w:p w14:paraId="7EC8AED7" w14:textId="3864D2C0" w:rsidR="0021376F" w:rsidRPr="009B4616" w:rsidRDefault="00834AC4" w:rsidP="0021376F">
      <w:pPr>
        <w:rPr>
          <w:rFonts w:asciiTheme="majorHAnsi" w:hAnsiTheme="majorHAnsi"/>
          <w:lang w:val="fr-CA"/>
        </w:rPr>
      </w:pPr>
      <w:r>
        <w:rPr>
          <w:rFonts w:asciiTheme="majorHAnsi" w:hAnsiTheme="majorHAnsi"/>
          <w:lang w:val="fr-CA"/>
        </w:rPr>
        <w:t>À cette fin, l’ACAE propose une vision des EP reposant sur quatre piliers, soit l’accessibilité, l’</w:t>
      </w:r>
      <w:proofErr w:type="spellStart"/>
      <w:r>
        <w:rPr>
          <w:rFonts w:asciiTheme="majorHAnsi" w:hAnsiTheme="majorHAnsi"/>
          <w:lang w:val="fr-CA"/>
        </w:rPr>
        <w:t>abordabilité</w:t>
      </w:r>
      <w:proofErr w:type="spellEnd"/>
      <w:r>
        <w:rPr>
          <w:rFonts w:asciiTheme="majorHAnsi" w:hAnsiTheme="majorHAnsi"/>
          <w:lang w:val="fr-CA"/>
        </w:rPr>
        <w:t>, la qualité et l’innovation. L’accès aux études supérieures, en tant que service public utile à la société, est essentiel, mais cet accès repose forcément sur le caractère abordable de l’éducation. De nombreuses personnes ne peuvent plus suivre d’études postsecondaires en raison de la hausse rapide des coûts de cette formation. Enfin, pour que les établissements d’enseignement postsecondaire puissent offrir des expériences stimulantes aux étudiants, ils doivent constamment innover afin de proposer une éducation de grande qualité.</w:t>
      </w:r>
    </w:p>
    <w:p w14:paraId="6CE86346" w14:textId="77777777" w:rsidR="00D81354" w:rsidRPr="009B4616" w:rsidRDefault="00D81354" w:rsidP="0021376F">
      <w:pPr>
        <w:rPr>
          <w:rFonts w:asciiTheme="majorHAnsi" w:hAnsiTheme="majorHAnsi"/>
          <w:lang w:val="fr-CA"/>
        </w:rPr>
      </w:pPr>
    </w:p>
    <w:p w14:paraId="2A35601A" w14:textId="3790BD4D" w:rsidR="00D81354" w:rsidRPr="009B4616" w:rsidRDefault="00834AC4" w:rsidP="0021376F">
      <w:pPr>
        <w:rPr>
          <w:rFonts w:asciiTheme="majorHAnsi" w:hAnsiTheme="majorHAnsi"/>
          <w:lang w:val="fr-CA"/>
        </w:rPr>
      </w:pPr>
      <w:r>
        <w:rPr>
          <w:rFonts w:asciiTheme="majorHAnsi" w:hAnsiTheme="majorHAnsi"/>
          <w:lang w:val="fr-CA"/>
        </w:rPr>
        <w:t xml:space="preserve">Ces principes fondateurs sous-tendent l’approche qu’adopte l’ACAE pour faire tomber les obstacles économiques aux EP. En particulier, l’ACAE juge que : </w:t>
      </w:r>
      <w:r w:rsidR="00BE4FA2" w:rsidRPr="009B4616">
        <w:rPr>
          <w:rFonts w:asciiTheme="majorHAnsi" w:hAnsiTheme="majorHAnsi"/>
          <w:lang w:val="fr-CA"/>
        </w:rPr>
        <w:t xml:space="preserve"> </w:t>
      </w:r>
    </w:p>
    <w:p w14:paraId="23C921FD" w14:textId="77777777" w:rsidR="00D81354" w:rsidRPr="009B4616" w:rsidRDefault="00D81354" w:rsidP="0021376F">
      <w:pPr>
        <w:rPr>
          <w:rFonts w:asciiTheme="majorHAnsi" w:hAnsiTheme="majorHAnsi"/>
          <w:lang w:val="fr-CA"/>
        </w:rPr>
      </w:pPr>
    </w:p>
    <w:p w14:paraId="48A3E5C0" w14:textId="5A093C98" w:rsidR="003F23A8" w:rsidRPr="009B4616" w:rsidRDefault="00834AC4" w:rsidP="004441E1">
      <w:pPr>
        <w:pStyle w:val="ListParagraph"/>
        <w:numPr>
          <w:ilvl w:val="0"/>
          <w:numId w:val="27"/>
        </w:numPr>
        <w:rPr>
          <w:rFonts w:asciiTheme="majorHAnsi" w:hAnsiTheme="majorHAnsi"/>
          <w:lang w:val="fr-CA"/>
        </w:rPr>
      </w:pPr>
      <w:r>
        <w:rPr>
          <w:rFonts w:asciiTheme="majorHAnsi" w:hAnsiTheme="majorHAnsi"/>
          <w:lang w:val="fr-CA"/>
        </w:rPr>
        <w:t xml:space="preserve">tous les Canadiens doivent bénéficier d’un système d’enseignement postsecondaire accessible et abordable; </w:t>
      </w:r>
    </w:p>
    <w:p w14:paraId="11297A87" w14:textId="70A97E8D" w:rsidR="00D81354" w:rsidRPr="009B4616" w:rsidRDefault="00834AC4" w:rsidP="004441E1">
      <w:pPr>
        <w:pStyle w:val="ListParagraph"/>
        <w:numPr>
          <w:ilvl w:val="0"/>
          <w:numId w:val="27"/>
        </w:numPr>
        <w:rPr>
          <w:rFonts w:asciiTheme="majorHAnsi" w:hAnsiTheme="majorHAnsi"/>
          <w:lang w:val="fr-CA"/>
        </w:rPr>
      </w:pPr>
      <w:r>
        <w:rPr>
          <w:rFonts w:asciiTheme="majorHAnsi" w:hAnsiTheme="majorHAnsi"/>
          <w:lang w:val="fr-CA"/>
        </w:rPr>
        <w:t xml:space="preserve">un accès à grande échelle aux études postsecondaires est essentiel à une société plus équitable; </w:t>
      </w:r>
    </w:p>
    <w:p w14:paraId="369E67EC" w14:textId="1FC04203" w:rsidR="00D81354" w:rsidRPr="009B4616" w:rsidRDefault="00834AC4" w:rsidP="004441E1">
      <w:pPr>
        <w:pStyle w:val="ListParagraph"/>
        <w:numPr>
          <w:ilvl w:val="0"/>
          <w:numId w:val="27"/>
        </w:numPr>
        <w:rPr>
          <w:rFonts w:asciiTheme="majorHAnsi" w:hAnsiTheme="majorHAnsi"/>
          <w:lang w:val="fr-CA"/>
        </w:rPr>
      </w:pPr>
      <w:r>
        <w:rPr>
          <w:rFonts w:asciiTheme="majorHAnsi" w:hAnsiTheme="majorHAnsi"/>
          <w:lang w:val="fr-CA"/>
        </w:rPr>
        <w:t xml:space="preserve">un Canadien qui souhaite poursuivre des études </w:t>
      </w:r>
      <w:r w:rsidR="00A26602">
        <w:rPr>
          <w:rFonts w:asciiTheme="majorHAnsi" w:hAnsiTheme="majorHAnsi"/>
          <w:lang w:val="fr-CA"/>
        </w:rPr>
        <w:t>postsecondaires</w:t>
      </w:r>
      <w:r>
        <w:rPr>
          <w:rFonts w:asciiTheme="majorHAnsi" w:hAnsiTheme="majorHAnsi"/>
          <w:lang w:val="fr-CA"/>
        </w:rPr>
        <w:t xml:space="preserve"> ne doit pas avoir à renoncer à son projet pour des raisons financières;</w:t>
      </w:r>
      <w:r w:rsidR="00D81354" w:rsidRPr="009B4616">
        <w:rPr>
          <w:rFonts w:asciiTheme="majorHAnsi" w:hAnsiTheme="majorHAnsi"/>
          <w:lang w:val="fr-CA"/>
        </w:rPr>
        <w:t xml:space="preserve"> </w:t>
      </w:r>
    </w:p>
    <w:p w14:paraId="47B13772" w14:textId="60108263" w:rsidR="00D81354" w:rsidRPr="009B4616" w:rsidRDefault="0011540F" w:rsidP="004441E1">
      <w:pPr>
        <w:pStyle w:val="ListParagraph"/>
        <w:numPr>
          <w:ilvl w:val="0"/>
          <w:numId w:val="27"/>
        </w:numPr>
        <w:rPr>
          <w:rFonts w:asciiTheme="majorHAnsi" w:hAnsiTheme="majorHAnsi"/>
          <w:lang w:val="fr-CA"/>
        </w:rPr>
      </w:pPr>
      <w:r>
        <w:rPr>
          <w:rFonts w:asciiTheme="majorHAnsi" w:hAnsiTheme="majorHAnsi"/>
          <w:lang w:val="fr-CA"/>
        </w:rPr>
        <w:t>à la lumière de sa longue tradition de financement direct aux établissements d’enseignement et d’aide financière aux étudiants, le gouvernement fédéral a un rôle à jouer dans l’amélioration de l’accessibilité et de l’</w:t>
      </w:r>
      <w:proofErr w:type="spellStart"/>
      <w:r>
        <w:rPr>
          <w:rFonts w:asciiTheme="majorHAnsi" w:hAnsiTheme="majorHAnsi"/>
          <w:lang w:val="fr-CA"/>
        </w:rPr>
        <w:t>abordabilité</w:t>
      </w:r>
      <w:proofErr w:type="spellEnd"/>
      <w:r>
        <w:rPr>
          <w:rFonts w:asciiTheme="majorHAnsi" w:hAnsiTheme="majorHAnsi"/>
          <w:lang w:val="fr-CA"/>
        </w:rPr>
        <w:t xml:space="preserve"> des études postsecondaires pour tous les Canadiens;</w:t>
      </w:r>
      <w:r w:rsidR="003F23A8" w:rsidRPr="009B4616">
        <w:rPr>
          <w:rFonts w:asciiTheme="majorHAnsi" w:hAnsiTheme="majorHAnsi"/>
          <w:lang w:val="fr-CA"/>
        </w:rPr>
        <w:t xml:space="preserve"> </w:t>
      </w:r>
    </w:p>
    <w:p w14:paraId="1F6DDEBF" w14:textId="19D6FA7B" w:rsidR="00D81354" w:rsidRPr="009B4616" w:rsidRDefault="0011540F" w:rsidP="004441E1">
      <w:pPr>
        <w:pStyle w:val="ListParagraph"/>
        <w:numPr>
          <w:ilvl w:val="0"/>
          <w:numId w:val="27"/>
        </w:numPr>
        <w:rPr>
          <w:rFonts w:asciiTheme="majorHAnsi" w:hAnsiTheme="majorHAnsi"/>
          <w:lang w:val="fr-CA"/>
        </w:rPr>
      </w:pPr>
      <w:r>
        <w:rPr>
          <w:rFonts w:asciiTheme="majorHAnsi" w:hAnsiTheme="majorHAnsi"/>
          <w:lang w:val="fr-CA"/>
        </w:rPr>
        <w:lastRenderedPageBreak/>
        <w:t xml:space="preserve">lorsqu’il existe des obstacles systémiques, plus particulièrement pour les groupes historiquement sous-représentés, l’aide financière ciblée est à la fois nécessaire et judicieuse; </w:t>
      </w:r>
    </w:p>
    <w:p w14:paraId="55070573" w14:textId="350A68FB" w:rsidR="00D81354" w:rsidRPr="009B4616" w:rsidRDefault="0011540F" w:rsidP="004441E1">
      <w:pPr>
        <w:pStyle w:val="ListParagraph"/>
        <w:numPr>
          <w:ilvl w:val="0"/>
          <w:numId w:val="27"/>
        </w:numPr>
        <w:rPr>
          <w:rFonts w:asciiTheme="majorHAnsi" w:hAnsiTheme="majorHAnsi"/>
          <w:lang w:val="fr-CA"/>
        </w:rPr>
      </w:pPr>
      <w:r>
        <w:rPr>
          <w:rFonts w:asciiTheme="majorHAnsi" w:hAnsiTheme="majorHAnsi"/>
          <w:lang w:val="fr-CA"/>
        </w:rPr>
        <w:t>les</w:t>
      </w:r>
      <w:r w:rsidR="00EE018A">
        <w:rPr>
          <w:rFonts w:asciiTheme="majorHAnsi" w:hAnsiTheme="majorHAnsi"/>
          <w:lang w:val="fr-CA"/>
        </w:rPr>
        <w:t xml:space="preserve"> bourses</w:t>
      </w:r>
      <w:r>
        <w:rPr>
          <w:rFonts w:asciiTheme="majorHAnsi" w:hAnsiTheme="majorHAnsi"/>
          <w:lang w:val="fr-CA"/>
        </w:rPr>
        <w:t xml:space="preserve"> </w:t>
      </w:r>
      <w:r w:rsidR="007F2BF9">
        <w:rPr>
          <w:rFonts w:asciiTheme="majorHAnsi" w:hAnsiTheme="majorHAnsi"/>
          <w:lang w:val="fr-CA"/>
        </w:rPr>
        <w:t xml:space="preserve">directes </w:t>
      </w:r>
      <w:r>
        <w:rPr>
          <w:rFonts w:asciiTheme="majorHAnsi" w:hAnsiTheme="majorHAnsi"/>
          <w:lang w:val="fr-CA"/>
        </w:rPr>
        <w:t>fondée</w:t>
      </w:r>
      <w:r w:rsidR="007F2BF9">
        <w:rPr>
          <w:rFonts w:asciiTheme="majorHAnsi" w:hAnsiTheme="majorHAnsi"/>
          <w:lang w:val="fr-CA"/>
        </w:rPr>
        <w:t>s</w:t>
      </w:r>
      <w:r>
        <w:rPr>
          <w:rFonts w:asciiTheme="majorHAnsi" w:hAnsiTheme="majorHAnsi"/>
          <w:lang w:val="fr-CA"/>
        </w:rPr>
        <w:t xml:space="preserve"> sur les besoins constituent le meilleur mécanisme pour améliorer l’accès aux EP et aider les étudiants;</w:t>
      </w:r>
      <w:r w:rsidR="00621F32" w:rsidRPr="009B4616">
        <w:rPr>
          <w:rFonts w:asciiTheme="majorHAnsi" w:hAnsiTheme="majorHAnsi"/>
          <w:lang w:val="fr-CA"/>
        </w:rPr>
        <w:t xml:space="preserve"> </w:t>
      </w:r>
    </w:p>
    <w:p w14:paraId="50D9731E" w14:textId="110BBC06" w:rsidR="007A1525" w:rsidRPr="009B4616" w:rsidRDefault="0011540F" w:rsidP="004441E1">
      <w:pPr>
        <w:pStyle w:val="ListParagraph"/>
        <w:numPr>
          <w:ilvl w:val="0"/>
          <w:numId w:val="27"/>
        </w:numPr>
        <w:rPr>
          <w:rFonts w:asciiTheme="majorHAnsi" w:hAnsiTheme="majorHAnsi"/>
          <w:lang w:val="fr-CA"/>
        </w:rPr>
      </w:pPr>
      <w:r>
        <w:rPr>
          <w:rFonts w:asciiTheme="majorHAnsi" w:hAnsiTheme="majorHAnsi"/>
          <w:lang w:val="fr-CA"/>
        </w:rPr>
        <w:t xml:space="preserve">aucun étudiant ne devrait contracter une lourde dette pour poursuivre des EP; </w:t>
      </w:r>
    </w:p>
    <w:p w14:paraId="15F861FC" w14:textId="12AD6ED0" w:rsidR="00D81354" w:rsidRPr="009B4616" w:rsidRDefault="0011540F" w:rsidP="004441E1">
      <w:pPr>
        <w:pStyle w:val="ListParagraph"/>
        <w:numPr>
          <w:ilvl w:val="0"/>
          <w:numId w:val="27"/>
        </w:numPr>
        <w:rPr>
          <w:rFonts w:asciiTheme="majorHAnsi" w:hAnsiTheme="majorHAnsi"/>
          <w:lang w:val="fr-CA"/>
        </w:rPr>
      </w:pPr>
      <w:r>
        <w:rPr>
          <w:rFonts w:asciiTheme="majorHAnsi" w:hAnsiTheme="majorHAnsi"/>
          <w:lang w:val="fr-CA"/>
        </w:rPr>
        <w:t xml:space="preserve">tous les étudiants du Canada devraient avoir accès </w:t>
      </w:r>
      <w:r w:rsidR="007F2BF9">
        <w:rPr>
          <w:rFonts w:asciiTheme="majorHAnsi" w:hAnsiTheme="majorHAnsi"/>
          <w:lang w:val="fr-CA"/>
        </w:rPr>
        <w:t xml:space="preserve">à </w:t>
      </w:r>
      <w:r>
        <w:rPr>
          <w:rFonts w:asciiTheme="majorHAnsi" w:hAnsiTheme="majorHAnsi"/>
          <w:lang w:val="fr-CA"/>
        </w:rPr>
        <w:t xml:space="preserve">un système d’aide financière progressive qui est compréhensible et convivial, et qui leur permet d’obtenir le financement auquel ils ont droit, au moment où ils en ont besoin. </w:t>
      </w:r>
    </w:p>
    <w:p w14:paraId="73E85B59" w14:textId="7076D864" w:rsidR="006D1115" w:rsidRPr="009B4616" w:rsidRDefault="007F2BF9" w:rsidP="001B4381">
      <w:pPr>
        <w:pStyle w:val="Heading1"/>
        <w:rPr>
          <w:lang w:val="fr-CA"/>
        </w:rPr>
      </w:pPr>
      <w:bookmarkStart w:id="2" w:name="_Toc514316681"/>
      <w:r>
        <w:rPr>
          <w:lang w:val="fr-CA"/>
        </w:rPr>
        <w:t>L’approche adoptée par l’ACAE pour éliminer les obstacles financiers</w:t>
      </w:r>
      <w:bookmarkEnd w:id="2"/>
      <w:r>
        <w:rPr>
          <w:lang w:val="fr-CA"/>
        </w:rPr>
        <w:t xml:space="preserve"> </w:t>
      </w:r>
    </w:p>
    <w:p w14:paraId="34055F3E" w14:textId="77777777" w:rsidR="00EF1B42" w:rsidRPr="009B4616" w:rsidRDefault="00EF1B42" w:rsidP="00EF1B42">
      <w:pPr>
        <w:rPr>
          <w:rFonts w:asciiTheme="majorHAnsi" w:hAnsiTheme="majorHAnsi"/>
          <w:lang w:val="fr-CA"/>
        </w:rPr>
      </w:pPr>
    </w:p>
    <w:p w14:paraId="2DBC6999" w14:textId="34245F63" w:rsidR="00A33E3D" w:rsidRPr="009B4616" w:rsidRDefault="007F2BF9" w:rsidP="00A33E3D">
      <w:pPr>
        <w:rPr>
          <w:rFonts w:asciiTheme="majorHAnsi" w:hAnsiTheme="majorHAnsi"/>
          <w:lang w:val="fr-CA"/>
        </w:rPr>
      </w:pPr>
      <w:r>
        <w:rPr>
          <w:rFonts w:asciiTheme="majorHAnsi" w:hAnsiTheme="majorHAnsi"/>
          <w:lang w:val="fr-CA"/>
        </w:rPr>
        <w:t>D’importants investissements sont réalisés dans les EP au niveau provincial et fédéral, chaque année. Au niveau fédéral, le gouvernement a engagé 12 milliards de dollars dans les EP en 2013-2014</w:t>
      </w:r>
      <w:r w:rsidR="002776C4" w:rsidRPr="009B4616">
        <w:rPr>
          <w:rStyle w:val="FootnoteReference"/>
          <w:rFonts w:asciiTheme="majorHAnsi" w:hAnsiTheme="majorHAnsi"/>
          <w:lang w:val="fr-CA"/>
        </w:rPr>
        <w:footnoteReference w:id="1"/>
      </w:r>
      <w:r>
        <w:rPr>
          <w:rFonts w:asciiTheme="majorHAnsi" w:hAnsiTheme="majorHAnsi"/>
          <w:lang w:val="fr-CA"/>
        </w:rPr>
        <w:t>.</w:t>
      </w:r>
      <w:r w:rsidR="002776C4" w:rsidRPr="009B4616">
        <w:rPr>
          <w:rFonts w:asciiTheme="majorHAnsi" w:hAnsiTheme="majorHAnsi"/>
          <w:lang w:val="fr-CA"/>
        </w:rPr>
        <w:t xml:space="preserve"> </w:t>
      </w:r>
      <w:r>
        <w:rPr>
          <w:rFonts w:asciiTheme="majorHAnsi" w:hAnsiTheme="majorHAnsi"/>
          <w:lang w:val="fr-CA"/>
        </w:rPr>
        <w:t>Les investissements fédéraux annuels dans les EP sont principalement réalisés au moyen du Transfert canadien en matière de programmes sociaux, du soutien à la recherche, de divers programmes de crédits d’impôt et du système fédéral d’aide financière aux étudiants. L’ACAE défend plusieurs dossiers liés à l’amélioration de l’aide financière aux étudiants, car il s’agit d’un mécanisme important pour favoriser l’accès aux EP pour tous les Canadiens.</w:t>
      </w:r>
    </w:p>
    <w:p w14:paraId="69268B7E" w14:textId="77777777" w:rsidR="00783BF5" w:rsidRPr="009B4616" w:rsidRDefault="00783BF5" w:rsidP="00EF1B42">
      <w:pPr>
        <w:rPr>
          <w:rFonts w:asciiTheme="majorHAnsi" w:hAnsiTheme="majorHAnsi"/>
          <w:lang w:val="fr-CA"/>
        </w:rPr>
      </w:pPr>
    </w:p>
    <w:p w14:paraId="7E53DAC3" w14:textId="694133A5" w:rsidR="000E4AD1" w:rsidRPr="009B4616" w:rsidRDefault="00E123D9" w:rsidP="00A33E3D">
      <w:pPr>
        <w:rPr>
          <w:rFonts w:asciiTheme="majorHAnsi" w:hAnsiTheme="majorHAnsi"/>
          <w:lang w:val="fr-CA"/>
        </w:rPr>
      </w:pPr>
      <w:r>
        <w:rPr>
          <w:rFonts w:asciiTheme="majorHAnsi" w:hAnsiTheme="majorHAnsi"/>
          <w:lang w:val="fr-CA"/>
        </w:rPr>
        <w:t>Même si ce rapport porte sur les obstacles financiers aux EP, il importe de reconnaître que ces obstacles comportent de multiples facettes et peuvent être de nature financière et non financière. Les obstacles non financiers comprennent la qualité de l’éducation primaire et secondaire, le niveau d’éducation des parents, l’exposition aux possibilités de suivre des EP et la connaissance de ces possibilités, et les obstacles systémiques que vivent les communautés marginalisées, entre autres facteurs. Le présent rapport ne vise pas à minimiser l’importance de ces obstacles non financiers et l’ACAE s’attache à trouver des solutions qui permettront d’éliminer tous les obstacles aux EP au Canada.</w:t>
      </w:r>
    </w:p>
    <w:p w14:paraId="71FC68CB" w14:textId="77777777" w:rsidR="000E4AD1" w:rsidRPr="009B4616" w:rsidRDefault="000E4AD1" w:rsidP="00A33E3D">
      <w:pPr>
        <w:rPr>
          <w:rFonts w:asciiTheme="majorHAnsi" w:hAnsiTheme="majorHAnsi"/>
          <w:lang w:val="fr-CA"/>
        </w:rPr>
      </w:pPr>
    </w:p>
    <w:p w14:paraId="589AC058" w14:textId="2A4C2C3D" w:rsidR="00A33E3D" w:rsidRPr="009B4616" w:rsidRDefault="00E123D9" w:rsidP="00A33E3D">
      <w:pPr>
        <w:rPr>
          <w:rFonts w:asciiTheme="majorHAnsi" w:hAnsiTheme="majorHAnsi"/>
          <w:lang w:val="fr-CA"/>
        </w:rPr>
      </w:pPr>
      <w:r>
        <w:rPr>
          <w:rFonts w:asciiTheme="majorHAnsi" w:hAnsiTheme="majorHAnsi"/>
          <w:lang w:val="fr-CA"/>
        </w:rPr>
        <w:t xml:space="preserve">En mettant l’accent sur les obstacles financiers aux EP, l’ACAE trace les grandes lignes d’un système d’aide financière qui permet à tous les Canadiens d’accéder aux études supérieures, peu importe leur revenu familial ou leurs origines. Certains outils favorisent l’accessibilité aux études et les rendent plus abordables, mais d’autres réformes aideront de plus en plus de Canadiens à récolter les fruits d’un </w:t>
      </w:r>
      <w:r w:rsidR="00FE1E50">
        <w:rPr>
          <w:rFonts w:asciiTheme="majorHAnsi" w:hAnsiTheme="majorHAnsi"/>
          <w:lang w:val="fr-CA"/>
        </w:rPr>
        <w:t xml:space="preserve">robuste </w:t>
      </w:r>
      <w:r>
        <w:rPr>
          <w:rFonts w:asciiTheme="majorHAnsi" w:hAnsiTheme="majorHAnsi"/>
          <w:lang w:val="fr-CA"/>
        </w:rPr>
        <w:t>système postsecondaire.</w:t>
      </w:r>
    </w:p>
    <w:p w14:paraId="43D1C623" w14:textId="77777777" w:rsidR="00A33E3D" w:rsidRPr="009B4616" w:rsidRDefault="00A33E3D" w:rsidP="00A33E3D">
      <w:pPr>
        <w:rPr>
          <w:rFonts w:asciiTheme="majorHAnsi" w:hAnsiTheme="majorHAnsi"/>
          <w:lang w:val="fr-CA"/>
        </w:rPr>
      </w:pPr>
    </w:p>
    <w:p w14:paraId="61AB0235" w14:textId="76D546CA" w:rsidR="00A33E3D" w:rsidRPr="009B4616" w:rsidRDefault="00FE1E50" w:rsidP="00A33E3D">
      <w:pPr>
        <w:rPr>
          <w:rFonts w:asciiTheme="majorHAnsi" w:hAnsiTheme="majorHAnsi"/>
          <w:lang w:val="fr-CA"/>
        </w:rPr>
      </w:pPr>
      <w:r>
        <w:rPr>
          <w:rFonts w:asciiTheme="majorHAnsi" w:hAnsiTheme="majorHAnsi"/>
          <w:lang w:val="fr-CA"/>
        </w:rPr>
        <w:lastRenderedPageBreak/>
        <w:t>Tout au long du présent rapport, l’ACAE propose plusieurs politiques et modifications qui pourraient améliorer le système d’aide financière fédéral actuel. En particulier :</w:t>
      </w:r>
      <w:r w:rsidR="00A33E3D" w:rsidRPr="009B4616">
        <w:rPr>
          <w:rFonts w:asciiTheme="majorHAnsi" w:hAnsiTheme="majorHAnsi"/>
          <w:lang w:val="fr-CA"/>
        </w:rPr>
        <w:t xml:space="preserve"> </w:t>
      </w:r>
    </w:p>
    <w:p w14:paraId="749D788E" w14:textId="11006E79" w:rsidR="00E702F2" w:rsidRPr="009B4616" w:rsidRDefault="00E702F2" w:rsidP="00A33E3D">
      <w:pPr>
        <w:rPr>
          <w:rFonts w:asciiTheme="majorHAnsi" w:hAnsiTheme="majorHAnsi"/>
          <w:lang w:val="fr-CA"/>
        </w:rPr>
      </w:pPr>
    </w:p>
    <w:p w14:paraId="4426491F" w14:textId="0C09D7AA" w:rsidR="003C2C1B" w:rsidRPr="009B4616" w:rsidRDefault="00FE1E50" w:rsidP="00F33D30">
      <w:pPr>
        <w:pStyle w:val="ListParagraph"/>
        <w:numPr>
          <w:ilvl w:val="0"/>
          <w:numId w:val="12"/>
        </w:numPr>
        <w:rPr>
          <w:rFonts w:asciiTheme="majorHAnsi" w:hAnsiTheme="majorHAnsi"/>
          <w:lang w:val="fr-CA"/>
        </w:rPr>
      </w:pPr>
      <w:r>
        <w:rPr>
          <w:rFonts w:asciiTheme="majorHAnsi" w:hAnsiTheme="majorHAnsi"/>
          <w:lang w:val="fr-CA"/>
        </w:rPr>
        <w:t>S’assurer qu’une aide financière pour les études postsecondaires est offerte aux Autochtones du Canada et respecter le rôle des Premières Nations et des Inuits dans la gestion du financement versé au niveau communautaire.</w:t>
      </w:r>
      <w:r w:rsidR="003C2C1B" w:rsidRPr="009B4616" w:rsidDel="00410E04">
        <w:rPr>
          <w:rFonts w:asciiTheme="majorHAnsi" w:hAnsiTheme="majorHAnsi"/>
          <w:lang w:val="fr-CA"/>
        </w:rPr>
        <w:t xml:space="preserve"> </w:t>
      </w:r>
    </w:p>
    <w:p w14:paraId="0F3091E5" w14:textId="72CE56E0" w:rsidR="000E4AD1" w:rsidRPr="009B4616" w:rsidRDefault="00FE1E50" w:rsidP="00F33D30">
      <w:pPr>
        <w:pStyle w:val="ListParagraph"/>
        <w:numPr>
          <w:ilvl w:val="0"/>
          <w:numId w:val="12"/>
        </w:numPr>
        <w:rPr>
          <w:rFonts w:asciiTheme="majorHAnsi" w:hAnsiTheme="majorHAnsi"/>
          <w:lang w:val="fr-CA"/>
        </w:rPr>
      </w:pPr>
      <w:r>
        <w:rPr>
          <w:rFonts w:asciiTheme="majorHAnsi" w:hAnsiTheme="majorHAnsi"/>
          <w:lang w:val="fr-CA"/>
        </w:rPr>
        <w:t xml:space="preserve">Éliminer les obstacles auxquels font face les étudiants handicapés en prévoyant des programmes d’aide financière plus souples. </w:t>
      </w:r>
    </w:p>
    <w:p w14:paraId="3FDBFCE1" w14:textId="31641902" w:rsidR="00436F73" w:rsidRPr="009B4616" w:rsidRDefault="00FE1E50" w:rsidP="00E702F2">
      <w:pPr>
        <w:pStyle w:val="ListParagraph"/>
        <w:numPr>
          <w:ilvl w:val="0"/>
          <w:numId w:val="12"/>
        </w:numPr>
        <w:rPr>
          <w:rFonts w:asciiTheme="majorHAnsi" w:hAnsiTheme="majorHAnsi"/>
          <w:lang w:val="fr-CA"/>
        </w:rPr>
      </w:pPr>
      <w:r>
        <w:rPr>
          <w:rFonts w:asciiTheme="majorHAnsi" w:hAnsiTheme="majorHAnsi"/>
          <w:lang w:val="fr-CA"/>
        </w:rPr>
        <w:t xml:space="preserve">Réformer le Programme canadien de bourses aux étudiants pour assurer une distribution plus diversifiée et un accès élargi aux étudiants des cycles supérieurs. </w:t>
      </w:r>
    </w:p>
    <w:p w14:paraId="36559697" w14:textId="4FFA5890" w:rsidR="004A04B4" w:rsidRPr="009B4616" w:rsidRDefault="00FE1E50" w:rsidP="004A04B4">
      <w:pPr>
        <w:pStyle w:val="ListParagraph"/>
        <w:numPr>
          <w:ilvl w:val="0"/>
          <w:numId w:val="12"/>
        </w:numPr>
        <w:rPr>
          <w:rFonts w:asciiTheme="majorHAnsi" w:hAnsiTheme="majorHAnsi"/>
          <w:lang w:val="fr-CA"/>
        </w:rPr>
      </w:pPr>
      <w:r>
        <w:rPr>
          <w:rFonts w:asciiTheme="majorHAnsi" w:hAnsiTheme="majorHAnsi"/>
          <w:lang w:val="fr-CA"/>
        </w:rPr>
        <w:t>Un système d’aide financière reposant sur des règles simples, justes et compréhensibles, et dans lequel tous les emprunteurs s’y retrouvent</w:t>
      </w:r>
      <w:r w:rsidR="004A04B4" w:rsidRPr="009B4616">
        <w:rPr>
          <w:rFonts w:asciiTheme="majorHAnsi" w:hAnsiTheme="majorHAnsi"/>
          <w:lang w:val="fr-CA"/>
        </w:rPr>
        <w:t>.</w:t>
      </w:r>
    </w:p>
    <w:p w14:paraId="379392C0" w14:textId="41AFF56D" w:rsidR="00A613D5" w:rsidRPr="009B4616" w:rsidRDefault="00FE1E50" w:rsidP="00DA2C3E">
      <w:pPr>
        <w:pStyle w:val="ListParagraph"/>
        <w:numPr>
          <w:ilvl w:val="0"/>
          <w:numId w:val="12"/>
        </w:numPr>
        <w:rPr>
          <w:rFonts w:asciiTheme="majorHAnsi" w:hAnsiTheme="majorHAnsi"/>
          <w:lang w:val="fr-CA"/>
        </w:rPr>
      </w:pPr>
      <w:r>
        <w:rPr>
          <w:rFonts w:asciiTheme="majorHAnsi" w:hAnsiTheme="majorHAnsi"/>
          <w:lang w:val="fr-CA"/>
        </w:rPr>
        <w:t>Des prêts d’études bonifiés qui reflètent la hausse du coût de la vie et qui sont versés au moment où les étudiants en ont besoin</w:t>
      </w:r>
      <w:r w:rsidR="00A613D5" w:rsidRPr="009B4616">
        <w:rPr>
          <w:rFonts w:asciiTheme="majorHAnsi" w:hAnsiTheme="majorHAnsi"/>
          <w:lang w:val="fr-CA"/>
        </w:rPr>
        <w:t>.</w:t>
      </w:r>
    </w:p>
    <w:p w14:paraId="758115B5" w14:textId="6189163F" w:rsidR="00436F73" w:rsidRPr="009B4616" w:rsidRDefault="00FE1E50" w:rsidP="00DA2C3E">
      <w:pPr>
        <w:pStyle w:val="ListParagraph"/>
        <w:numPr>
          <w:ilvl w:val="0"/>
          <w:numId w:val="12"/>
        </w:numPr>
        <w:rPr>
          <w:rFonts w:asciiTheme="majorHAnsi" w:hAnsiTheme="majorHAnsi"/>
          <w:lang w:val="fr-CA"/>
        </w:rPr>
      </w:pPr>
      <w:r>
        <w:rPr>
          <w:rFonts w:asciiTheme="majorHAnsi" w:hAnsiTheme="majorHAnsi"/>
          <w:lang w:val="fr-CA"/>
        </w:rPr>
        <w:t xml:space="preserve">La création de mécanismes d’appel clairs concernant les décisions rendues en matière d’aide financière. </w:t>
      </w:r>
    </w:p>
    <w:p w14:paraId="6BE7E819" w14:textId="13DCA237" w:rsidR="00DA2C3E" w:rsidRPr="009B4616" w:rsidRDefault="00FE1E50" w:rsidP="00DA2C3E">
      <w:pPr>
        <w:pStyle w:val="ListParagraph"/>
        <w:numPr>
          <w:ilvl w:val="0"/>
          <w:numId w:val="12"/>
        </w:numPr>
        <w:rPr>
          <w:rFonts w:asciiTheme="majorHAnsi" w:hAnsiTheme="majorHAnsi"/>
          <w:lang w:val="fr-CA"/>
        </w:rPr>
      </w:pPr>
      <w:r>
        <w:rPr>
          <w:rFonts w:asciiTheme="majorHAnsi" w:hAnsiTheme="majorHAnsi"/>
          <w:lang w:val="fr-CA"/>
        </w:rPr>
        <w:t>Un système d’aide financière qui n’impose pas de coûts excessifs aux étudiants des cycles supérieurs, grâce à l’amélioration continue des processus de remboursement des prêts.</w:t>
      </w:r>
      <w:r w:rsidR="00DA2C3E" w:rsidRPr="009B4616">
        <w:rPr>
          <w:rFonts w:asciiTheme="majorHAnsi" w:hAnsiTheme="majorHAnsi"/>
          <w:lang w:val="fr-CA"/>
        </w:rPr>
        <w:t xml:space="preserve"> </w:t>
      </w:r>
    </w:p>
    <w:p w14:paraId="69C5830D" w14:textId="7F8F1A15" w:rsidR="00BF7B93" w:rsidRPr="009B4616" w:rsidRDefault="00FE1E50" w:rsidP="00BF7B93">
      <w:pPr>
        <w:pStyle w:val="Heading1"/>
        <w:rPr>
          <w:lang w:val="fr-CA"/>
        </w:rPr>
      </w:pPr>
      <w:bookmarkStart w:id="3" w:name="_Toc514316682"/>
      <w:r>
        <w:rPr>
          <w:lang w:val="fr-CA"/>
        </w:rPr>
        <w:t>Contexte</w:t>
      </w:r>
      <w:bookmarkEnd w:id="3"/>
      <w:r>
        <w:rPr>
          <w:lang w:val="fr-CA"/>
        </w:rPr>
        <w:t xml:space="preserve"> </w:t>
      </w:r>
    </w:p>
    <w:p w14:paraId="3F0800CB" w14:textId="60EC98BF" w:rsidR="00AC5ECD" w:rsidRPr="009B4616" w:rsidRDefault="00FE1E50" w:rsidP="00AC5ECD">
      <w:pPr>
        <w:pStyle w:val="Heading2"/>
        <w:rPr>
          <w:lang w:val="fr-CA"/>
        </w:rPr>
      </w:pPr>
      <w:bookmarkStart w:id="4" w:name="_Toc514316683"/>
      <w:r>
        <w:rPr>
          <w:lang w:val="fr-CA"/>
        </w:rPr>
        <w:t>Aperçu des programmes d’aide financière aux étudiants du Canada</w:t>
      </w:r>
      <w:bookmarkEnd w:id="4"/>
      <w:r>
        <w:rPr>
          <w:lang w:val="fr-CA"/>
        </w:rPr>
        <w:t xml:space="preserve"> </w:t>
      </w:r>
    </w:p>
    <w:p w14:paraId="68B995A9" w14:textId="77777777" w:rsidR="00D52AA8" w:rsidRPr="009B4616" w:rsidRDefault="00D52AA8" w:rsidP="009805B0">
      <w:pPr>
        <w:rPr>
          <w:lang w:val="fr-CA"/>
        </w:rPr>
      </w:pPr>
    </w:p>
    <w:p w14:paraId="7CE32FDE" w14:textId="100271F4" w:rsidR="003E7053" w:rsidRPr="009B4616" w:rsidRDefault="00EE018A" w:rsidP="00AC5ECD">
      <w:pPr>
        <w:rPr>
          <w:rFonts w:asciiTheme="majorHAnsi" w:hAnsiTheme="majorHAnsi"/>
          <w:lang w:val="fr-CA"/>
        </w:rPr>
      </w:pPr>
      <w:r>
        <w:rPr>
          <w:rFonts w:asciiTheme="majorHAnsi" w:hAnsiTheme="majorHAnsi"/>
          <w:lang w:val="fr-CA"/>
        </w:rPr>
        <w:t>L’aide financière aux étudiants au Canada est le fruit d’un effort conjoint entre les gouvernements fédéral et provinciaux, visant à s’assurer que les étudiants du Canada ont accès aux études supérieures. Les programmes d’aide financière appuient les objectifs d’améliorer les perspectives des étudiants, de faciliter la mobilité sociale et de développer les compétences et la productivité de la main-d’œuvre canadienne.</w:t>
      </w:r>
      <w:r w:rsidR="003E7053" w:rsidRPr="009B4616">
        <w:rPr>
          <w:rFonts w:asciiTheme="majorHAnsi" w:hAnsiTheme="majorHAnsi"/>
          <w:lang w:val="fr-CA"/>
        </w:rPr>
        <w:t xml:space="preserve"> </w:t>
      </w:r>
    </w:p>
    <w:p w14:paraId="396DFBB7" w14:textId="342A0BD1" w:rsidR="00E06A27" w:rsidRPr="009B4616" w:rsidRDefault="00E06A27" w:rsidP="00AC5ECD">
      <w:pPr>
        <w:rPr>
          <w:rFonts w:asciiTheme="majorHAnsi" w:hAnsiTheme="majorHAnsi"/>
          <w:lang w:val="fr-CA"/>
        </w:rPr>
      </w:pPr>
    </w:p>
    <w:p w14:paraId="61C487B2" w14:textId="7EC271C7" w:rsidR="00FD5C7E" w:rsidRPr="009B4616" w:rsidRDefault="00EE018A" w:rsidP="00AC5ECD">
      <w:pPr>
        <w:rPr>
          <w:rFonts w:asciiTheme="majorHAnsi" w:hAnsiTheme="majorHAnsi"/>
          <w:lang w:val="fr-CA"/>
        </w:rPr>
      </w:pPr>
      <w:r>
        <w:rPr>
          <w:rFonts w:asciiTheme="majorHAnsi" w:hAnsiTheme="majorHAnsi"/>
          <w:lang w:val="fr-CA"/>
        </w:rPr>
        <w:t xml:space="preserve">Les dépenses fédérales consacrées à l’aide financière sont administrées par le Programme canadien de prêts aux étudiants (PCPE) sous forme de prêts remboursables, de bourses non remboursables et d’aide au remboursement. Dans la catégorie de l’aide financière remboursable, le PCPE a permis de verser plus de 2,7 milliards de dollars en prêts à </w:t>
      </w:r>
      <w:r w:rsidR="007B72D9" w:rsidRPr="009B4616">
        <w:rPr>
          <w:rFonts w:asciiTheme="majorHAnsi" w:hAnsiTheme="majorHAnsi"/>
          <w:lang w:val="fr-CA"/>
        </w:rPr>
        <w:t>49</w:t>
      </w:r>
      <w:r w:rsidR="00016F59" w:rsidRPr="009B4616">
        <w:rPr>
          <w:rFonts w:asciiTheme="majorHAnsi" w:hAnsiTheme="majorHAnsi"/>
          <w:lang w:val="fr-CA"/>
        </w:rPr>
        <w:t>1</w:t>
      </w:r>
      <w:r>
        <w:rPr>
          <w:rFonts w:asciiTheme="majorHAnsi" w:hAnsiTheme="majorHAnsi"/>
          <w:lang w:val="fr-CA"/>
        </w:rPr>
        <w:t> </w:t>
      </w:r>
      <w:r w:rsidR="00016F59" w:rsidRPr="009B4616">
        <w:rPr>
          <w:rFonts w:asciiTheme="majorHAnsi" w:hAnsiTheme="majorHAnsi"/>
          <w:lang w:val="fr-CA"/>
        </w:rPr>
        <w:t xml:space="preserve">400 </w:t>
      </w:r>
      <w:r>
        <w:rPr>
          <w:rFonts w:asciiTheme="majorHAnsi" w:hAnsiTheme="majorHAnsi"/>
          <w:lang w:val="fr-CA"/>
        </w:rPr>
        <w:t>étudiants à temps plein et à</w:t>
      </w:r>
      <w:r w:rsidR="00016F59" w:rsidRPr="009B4616">
        <w:rPr>
          <w:rFonts w:asciiTheme="majorHAnsi" w:hAnsiTheme="majorHAnsi"/>
          <w:lang w:val="fr-CA"/>
        </w:rPr>
        <w:t xml:space="preserve"> </w:t>
      </w:r>
      <w:r w:rsidR="00A26602">
        <w:rPr>
          <w:rFonts w:asciiTheme="majorHAnsi" w:hAnsiTheme="majorHAnsi"/>
          <w:lang w:val="fr-CA"/>
        </w:rPr>
        <w:t>11 300</w:t>
      </w:r>
      <w:r w:rsidR="00016F59" w:rsidRPr="009B4616">
        <w:rPr>
          <w:rFonts w:asciiTheme="majorHAnsi" w:hAnsiTheme="majorHAnsi"/>
          <w:lang w:val="fr-CA"/>
        </w:rPr>
        <w:t xml:space="preserve"> </w:t>
      </w:r>
      <w:r>
        <w:rPr>
          <w:rFonts w:asciiTheme="majorHAnsi" w:hAnsiTheme="majorHAnsi"/>
          <w:lang w:val="fr-CA"/>
        </w:rPr>
        <w:t>étudiants à temps partiel, partout au Canada en 2013-2014, les années les plus récentes pour lesquelles on dispose de données</w:t>
      </w:r>
      <w:r w:rsidR="007B72D9" w:rsidRPr="009B4616">
        <w:rPr>
          <w:rStyle w:val="FootnoteReference"/>
          <w:rFonts w:asciiTheme="majorHAnsi" w:hAnsiTheme="majorHAnsi"/>
          <w:lang w:val="fr-CA"/>
        </w:rPr>
        <w:footnoteReference w:id="2"/>
      </w:r>
      <w:r>
        <w:rPr>
          <w:rFonts w:asciiTheme="majorHAnsi" w:hAnsiTheme="majorHAnsi"/>
          <w:lang w:val="fr-CA"/>
        </w:rPr>
        <w:t>.</w:t>
      </w:r>
      <w:r w:rsidR="007B72D9" w:rsidRPr="009B4616">
        <w:rPr>
          <w:rFonts w:asciiTheme="majorHAnsi" w:hAnsiTheme="majorHAnsi"/>
          <w:lang w:val="fr-CA"/>
        </w:rPr>
        <w:t xml:space="preserve"> </w:t>
      </w:r>
    </w:p>
    <w:p w14:paraId="3AF499C8" w14:textId="77777777" w:rsidR="00620E67" w:rsidRPr="009B4616" w:rsidRDefault="00620E67" w:rsidP="00AC5ECD">
      <w:pPr>
        <w:rPr>
          <w:rFonts w:asciiTheme="majorHAnsi" w:hAnsiTheme="majorHAnsi"/>
          <w:lang w:val="fr-CA"/>
        </w:rPr>
      </w:pPr>
    </w:p>
    <w:p w14:paraId="7A525F0F" w14:textId="5DF187D0" w:rsidR="00C3316A" w:rsidRPr="009B4616" w:rsidRDefault="0018353F" w:rsidP="00C3316A">
      <w:pPr>
        <w:pStyle w:val="NoSpacing"/>
        <w:jc w:val="both"/>
        <w:rPr>
          <w:rFonts w:asciiTheme="majorHAnsi" w:hAnsiTheme="majorHAnsi"/>
          <w:sz w:val="24"/>
          <w:szCs w:val="24"/>
          <w:lang w:val="fr-CA"/>
        </w:rPr>
      </w:pPr>
      <w:r>
        <w:rPr>
          <w:rFonts w:asciiTheme="majorHAnsi" w:hAnsiTheme="majorHAnsi"/>
          <w:sz w:val="24"/>
          <w:szCs w:val="24"/>
          <w:lang w:val="fr-CA"/>
        </w:rPr>
        <w:t>Les bourses canadiennes pour étudiants (BCE) aident les étudiants provenant de familles à revenu faible et moyen à couvrir les coûts d’une formation postsecondaire en versant une aide non remboursable. Le décaissement des bourses a commencé en 2009</w:t>
      </w:r>
      <w:r>
        <w:rPr>
          <w:rFonts w:asciiTheme="majorHAnsi" w:hAnsiTheme="majorHAnsi"/>
          <w:sz w:val="24"/>
          <w:szCs w:val="24"/>
          <w:lang w:val="fr-CA"/>
        </w:rPr>
        <w:noBreakHyphen/>
        <w:t xml:space="preserve">2010, avec 350 millions de dollars versés dans la première année du programme à plus de </w:t>
      </w:r>
      <w:r w:rsidR="00596A68" w:rsidRPr="009B4616">
        <w:rPr>
          <w:rFonts w:asciiTheme="majorHAnsi" w:hAnsiTheme="majorHAnsi"/>
          <w:sz w:val="24"/>
          <w:szCs w:val="24"/>
          <w:lang w:val="fr-CA"/>
        </w:rPr>
        <w:t>295</w:t>
      </w:r>
      <w:r>
        <w:rPr>
          <w:rFonts w:asciiTheme="majorHAnsi" w:hAnsiTheme="majorHAnsi"/>
          <w:sz w:val="24"/>
          <w:szCs w:val="24"/>
          <w:lang w:val="fr-CA"/>
        </w:rPr>
        <w:t> </w:t>
      </w:r>
      <w:r w:rsidR="00596A68" w:rsidRPr="009B4616">
        <w:rPr>
          <w:rFonts w:asciiTheme="majorHAnsi" w:hAnsiTheme="majorHAnsi"/>
          <w:sz w:val="24"/>
          <w:szCs w:val="24"/>
          <w:lang w:val="fr-CA"/>
        </w:rPr>
        <w:t xml:space="preserve">000 </w:t>
      </w:r>
      <w:r>
        <w:rPr>
          <w:rFonts w:asciiTheme="majorHAnsi" w:hAnsiTheme="majorHAnsi"/>
          <w:sz w:val="24"/>
          <w:szCs w:val="24"/>
          <w:lang w:val="fr-CA"/>
        </w:rPr>
        <w:t>étudiants des collèges, écoles polytechniques et étudiants de premier cycle universitaire</w:t>
      </w:r>
      <w:r w:rsidR="00596A68" w:rsidRPr="009B4616">
        <w:rPr>
          <w:rStyle w:val="FootnoteReference"/>
          <w:rFonts w:asciiTheme="majorHAnsi" w:hAnsiTheme="majorHAnsi"/>
          <w:sz w:val="24"/>
          <w:szCs w:val="24"/>
          <w:lang w:val="fr-CA"/>
        </w:rPr>
        <w:footnoteReference w:id="3"/>
      </w:r>
      <w:r>
        <w:rPr>
          <w:rFonts w:asciiTheme="majorHAnsi" w:hAnsiTheme="majorHAnsi"/>
          <w:sz w:val="24"/>
          <w:szCs w:val="24"/>
          <w:lang w:val="fr-CA"/>
        </w:rPr>
        <w:t>. Le programme vient maintenant en aide à près de</w:t>
      </w:r>
      <w:r w:rsidR="00016F59" w:rsidRPr="009B4616">
        <w:rPr>
          <w:rFonts w:asciiTheme="majorHAnsi" w:hAnsiTheme="majorHAnsi"/>
          <w:sz w:val="24"/>
          <w:szCs w:val="24"/>
          <w:lang w:val="fr-CA"/>
        </w:rPr>
        <w:t xml:space="preserve"> </w:t>
      </w:r>
      <w:r w:rsidR="00A26602">
        <w:rPr>
          <w:rFonts w:asciiTheme="majorHAnsi" w:hAnsiTheme="majorHAnsi"/>
          <w:sz w:val="24"/>
          <w:szCs w:val="24"/>
          <w:lang w:val="fr-CA"/>
        </w:rPr>
        <w:t>366 000</w:t>
      </w:r>
      <w:r w:rsidR="00596A68" w:rsidRPr="009B4616">
        <w:rPr>
          <w:rFonts w:asciiTheme="majorHAnsi" w:hAnsiTheme="majorHAnsi"/>
          <w:sz w:val="24"/>
          <w:szCs w:val="24"/>
          <w:lang w:val="fr-CA"/>
        </w:rPr>
        <w:t xml:space="preserve"> </w:t>
      </w:r>
      <w:r>
        <w:rPr>
          <w:rFonts w:asciiTheme="majorHAnsi" w:hAnsiTheme="majorHAnsi"/>
          <w:sz w:val="24"/>
          <w:szCs w:val="24"/>
          <w:lang w:val="fr-CA"/>
        </w:rPr>
        <w:t>étudiants</w:t>
      </w:r>
      <w:r w:rsidR="00596A68" w:rsidRPr="009B4616">
        <w:rPr>
          <w:rStyle w:val="FootnoteReference"/>
          <w:rFonts w:asciiTheme="majorHAnsi" w:hAnsiTheme="majorHAnsi"/>
          <w:lang w:val="fr-CA"/>
        </w:rPr>
        <w:footnoteReference w:id="4"/>
      </w:r>
      <w:r>
        <w:rPr>
          <w:rFonts w:asciiTheme="majorHAnsi" w:hAnsiTheme="majorHAnsi"/>
          <w:sz w:val="24"/>
          <w:szCs w:val="24"/>
          <w:lang w:val="fr-CA"/>
        </w:rPr>
        <w:t>.</w:t>
      </w:r>
      <w:r w:rsidR="00016F59" w:rsidRPr="009B4616">
        <w:rPr>
          <w:rFonts w:asciiTheme="majorHAnsi" w:hAnsiTheme="majorHAnsi"/>
          <w:sz w:val="24"/>
          <w:szCs w:val="24"/>
          <w:lang w:val="fr-CA"/>
        </w:rPr>
        <w:t xml:space="preserve"> </w:t>
      </w:r>
      <w:r>
        <w:rPr>
          <w:rFonts w:asciiTheme="majorHAnsi" w:hAnsiTheme="majorHAnsi"/>
          <w:sz w:val="24"/>
          <w:szCs w:val="24"/>
          <w:lang w:val="fr-CA"/>
        </w:rPr>
        <w:t xml:space="preserve">Le budget fédéral de 2016 annonçait une hausse bienvenue de </w:t>
      </w:r>
      <w:r w:rsidR="00A26602">
        <w:rPr>
          <w:rFonts w:asciiTheme="majorHAnsi" w:hAnsiTheme="majorHAnsi"/>
          <w:sz w:val="24"/>
          <w:szCs w:val="24"/>
          <w:lang w:val="fr-CA"/>
        </w:rPr>
        <w:t>50 </w:t>
      </w:r>
      <w:r>
        <w:rPr>
          <w:rFonts w:asciiTheme="majorHAnsi" w:hAnsiTheme="majorHAnsi"/>
          <w:sz w:val="24"/>
          <w:szCs w:val="24"/>
          <w:lang w:val="fr-CA"/>
        </w:rPr>
        <w:t>% de la valeur des bourses non remboursables.</w:t>
      </w:r>
      <w:r w:rsidR="00C3316A" w:rsidRPr="009B4616">
        <w:rPr>
          <w:rFonts w:asciiTheme="majorHAnsi" w:hAnsiTheme="majorHAnsi"/>
          <w:sz w:val="24"/>
          <w:szCs w:val="24"/>
          <w:lang w:val="fr-CA"/>
        </w:rPr>
        <w:t xml:space="preserve"> </w:t>
      </w:r>
    </w:p>
    <w:p w14:paraId="3C6B81B1" w14:textId="77777777" w:rsidR="00596A68" w:rsidRPr="009B4616" w:rsidRDefault="00596A68" w:rsidP="00C3316A">
      <w:pPr>
        <w:pStyle w:val="NoSpacing"/>
        <w:jc w:val="both"/>
        <w:rPr>
          <w:rFonts w:asciiTheme="majorHAnsi" w:hAnsiTheme="majorHAnsi"/>
          <w:sz w:val="24"/>
          <w:szCs w:val="24"/>
          <w:lang w:val="fr-CA"/>
        </w:rPr>
      </w:pPr>
    </w:p>
    <w:p w14:paraId="035B3547" w14:textId="50D81D90" w:rsidR="00596A68" w:rsidRPr="009B4616" w:rsidRDefault="0018353F" w:rsidP="00063BAE">
      <w:pPr>
        <w:rPr>
          <w:rFonts w:asciiTheme="majorHAnsi" w:hAnsiTheme="majorHAnsi"/>
          <w:lang w:val="fr-CA"/>
        </w:rPr>
      </w:pPr>
      <w:r>
        <w:rPr>
          <w:rFonts w:asciiTheme="majorHAnsi" w:hAnsiTheme="majorHAnsi"/>
          <w:lang w:val="fr-CA"/>
        </w:rPr>
        <w:t xml:space="preserve">Le Programme d’aide au remboursement (PAR) vise à aider les détenteurs </w:t>
      </w:r>
      <w:r w:rsidR="00CE4FDD">
        <w:rPr>
          <w:rFonts w:asciiTheme="majorHAnsi" w:hAnsiTheme="majorHAnsi"/>
          <w:lang w:val="fr-CA"/>
        </w:rPr>
        <w:t xml:space="preserve">de </w:t>
      </w:r>
      <w:r>
        <w:rPr>
          <w:rFonts w:asciiTheme="majorHAnsi" w:hAnsiTheme="majorHAnsi"/>
          <w:lang w:val="fr-CA"/>
        </w:rPr>
        <w:t>prêt</w:t>
      </w:r>
      <w:r w:rsidR="00CE4FDD">
        <w:rPr>
          <w:rFonts w:asciiTheme="majorHAnsi" w:hAnsiTheme="majorHAnsi"/>
          <w:lang w:val="fr-CA"/>
        </w:rPr>
        <w:t>s</w:t>
      </w:r>
      <w:r>
        <w:rPr>
          <w:rFonts w:asciiTheme="majorHAnsi" w:hAnsiTheme="majorHAnsi"/>
          <w:lang w:val="fr-CA"/>
        </w:rPr>
        <w:t xml:space="preserve"> qui éprouvent des difficultés à rembourser leurs prêts du PCPE. Le seuil de revenu à partir duquel les titulaires d’un prêt doivent commencer à le rembourser a été relevé dans le budget de 2016 à </w:t>
      </w:r>
      <w:r w:rsidR="00A26602">
        <w:rPr>
          <w:rFonts w:asciiTheme="majorHAnsi" w:hAnsiTheme="majorHAnsi"/>
          <w:lang w:val="fr-CA"/>
        </w:rPr>
        <w:t>25 000 </w:t>
      </w:r>
      <w:r w:rsidR="00CE4FDD">
        <w:rPr>
          <w:rFonts w:asciiTheme="majorHAnsi" w:hAnsiTheme="majorHAnsi"/>
          <w:lang w:val="fr-CA"/>
        </w:rPr>
        <w:t>$ pour une personne seule; le revenu minimum exigé pour commencer à effectuer un remboursement augmente avec la taille de la famille. Au</w:t>
      </w:r>
      <w:r w:rsidR="00CE4FDD">
        <w:rPr>
          <w:rFonts w:asciiTheme="majorHAnsi" w:hAnsiTheme="majorHAnsi"/>
          <w:lang w:val="fr-CA"/>
        </w:rPr>
        <w:noBreakHyphen/>
        <w:t xml:space="preserve">dessus des seuils de revenu minimaux, le PAR garantit que les remboursements ne dépassent pas 20 % des revenus. Les étudiants doivent présenter une demande dans le cadre du PAR et ceux qui sont admissibles peuvent voir leurs paiements réduits, voire même annulés. Plus de </w:t>
      </w:r>
      <w:r w:rsidR="00A26602">
        <w:rPr>
          <w:rFonts w:asciiTheme="majorHAnsi" w:hAnsiTheme="majorHAnsi"/>
          <w:lang w:val="fr-CA"/>
        </w:rPr>
        <w:t>256 000</w:t>
      </w:r>
      <w:r w:rsidR="006B4DD4" w:rsidRPr="009B4616">
        <w:rPr>
          <w:rFonts w:asciiTheme="majorHAnsi" w:hAnsiTheme="majorHAnsi"/>
          <w:lang w:val="fr-CA"/>
        </w:rPr>
        <w:t xml:space="preserve"> </w:t>
      </w:r>
      <w:r w:rsidR="00CE4FDD">
        <w:rPr>
          <w:rFonts w:asciiTheme="majorHAnsi" w:hAnsiTheme="majorHAnsi"/>
          <w:lang w:val="fr-CA"/>
        </w:rPr>
        <w:t xml:space="preserve">titulaires d’un prêt du PCPE ont eu recours au PAR en </w:t>
      </w:r>
      <w:r w:rsidR="009451C0" w:rsidRPr="009B4616">
        <w:rPr>
          <w:rFonts w:asciiTheme="majorHAnsi" w:hAnsiTheme="majorHAnsi"/>
          <w:lang w:val="fr-CA"/>
        </w:rPr>
        <w:t>2014</w:t>
      </w:r>
      <w:r w:rsidR="006B4DD4" w:rsidRPr="009B4616">
        <w:rPr>
          <w:rFonts w:asciiTheme="majorHAnsi" w:hAnsiTheme="majorHAnsi"/>
          <w:lang w:val="fr-CA"/>
        </w:rPr>
        <w:t>-</w:t>
      </w:r>
      <w:r w:rsidR="009451C0" w:rsidRPr="009B4616">
        <w:rPr>
          <w:rFonts w:asciiTheme="majorHAnsi" w:hAnsiTheme="majorHAnsi"/>
          <w:lang w:val="fr-CA"/>
        </w:rPr>
        <w:t>2015</w:t>
      </w:r>
      <w:r w:rsidR="006B4DD4" w:rsidRPr="009B4616">
        <w:rPr>
          <w:rStyle w:val="FootnoteReference"/>
          <w:rFonts w:asciiTheme="majorHAnsi" w:hAnsiTheme="majorHAnsi"/>
          <w:lang w:val="fr-CA"/>
        </w:rPr>
        <w:footnoteReference w:id="5"/>
      </w:r>
      <w:r w:rsidR="00CE4FDD">
        <w:rPr>
          <w:rFonts w:asciiTheme="majorHAnsi" w:hAnsiTheme="majorHAnsi"/>
          <w:lang w:val="fr-CA"/>
        </w:rPr>
        <w:t>.</w:t>
      </w:r>
      <w:r w:rsidR="006B4DD4" w:rsidRPr="009B4616">
        <w:rPr>
          <w:rFonts w:asciiTheme="majorHAnsi" w:hAnsiTheme="majorHAnsi"/>
          <w:lang w:val="fr-CA"/>
        </w:rPr>
        <w:t xml:space="preserve"> </w:t>
      </w:r>
    </w:p>
    <w:p w14:paraId="76DAF8C9" w14:textId="77777777" w:rsidR="009451C0" w:rsidRPr="009B4616" w:rsidRDefault="009451C0" w:rsidP="00063BAE">
      <w:pPr>
        <w:rPr>
          <w:rFonts w:asciiTheme="majorHAnsi" w:hAnsiTheme="majorHAnsi"/>
          <w:lang w:val="fr-CA"/>
        </w:rPr>
      </w:pPr>
    </w:p>
    <w:p w14:paraId="5792690B" w14:textId="19584FD5" w:rsidR="009451C0" w:rsidRPr="009B4616" w:rsidRDefault="00CE4FDD" w:rsidP="00063BAE">
      <w:pPr>
        <w:rPr>
          <w:rFonts w:asciiTheme="majorHAnsi" w:hAnsiTheme="majorHAnsi"/>
          <w:lang w:val="fr-CA"/>
        </w:rPr>
      </w:pPr>
      <w:r>
        <w:rPr>
          <w:rFonts w:asciiTheme="majorHAnsi" w:hAnsiTheme="majorHAnsi"/>
          <w:lang w:val="fr-CA"/>
        </w:rPr>
        <w:t>Le gouvernement fédéral a également créé un programme d’aide financière aux étudiants de niveau postsecondaire qui s’adresse aux Premières Nations et aux Inuits, dans le cadre du Programme d’aide financière aux étudiants de niveau postsecondaire (PAEP). Le financement versé en vertu de ce programme vise à couvrir les frais de scolarité, les livres, les déplacements et d’autres dépenses liées au coût de la vie.</w:t>
      </w:r>
      <w:r w:rsidR="009451C0" w:rsidRPr="009B4616">
        <w:rPr>
          <w:rFonts w:asciiTheme="majorHAnsi" w:hAnsiTheme="majorHAnsi"/>
          <w:lang w:val="fr-CA"/>
        </w:rPr>
        <w:t xml:space="preserve"> </w:t>
      </w:r>
    </w:p>
    <w:p w14:paraId="7CE30C2C" w14:textId="198446D9" w:rsidR="003732F8" w:rsidRPr="009B4616" w:rsidRDefault="00CE4FDD" w:rsidP="005957DE">
      <w:pPr>
        <w:pStyle w:val="Heading1"/>
        <w:rPr>
          <w:lang w:val="fr-CA"/>
        </w:rPr>
      </w:pPr>
      <w:bookmarkStart w:id="5" w:name="_Toc514316684"/>
      <w:r>
        <w:rPr>
          <w:lang w:val="fr-CA"/>
        </w:rPr>
        <w:t>Aperçu des politiques et arguments de l’ACAE</w:t>
      </w:r>
      <w:bookmarkEnd w:id="5"/>
      <w:r w:rsidR="00C80BEF">
        <w:rPr>
          <w:lang w:val="fr-CA"/>
        </w:rPr>
        <w:t xml:space="preserve"> </w:t>
      </w:r>
    </w:p>
    <w:p w14:paraId="5AD4D282" w14:textId="77777777" w:rsidR="0012434A" w:rsidRPr="009B4616" w:rsidRDefault="0012434A" w:rsidP="003732F8">
      <w:pPr>
        <w:rPr>
          <w:rFonts w:asciiTheme="majorHAnsi" w:hAnsiTheme="majorHAnsi"/>
          <w:b/>
          <w:lang w:val="fr-CA"/>
        </w:rPr>
      </w:pPr>
    </w:p>
    <w:p w14:paraId="319CB2FF" w14:textId="619D4AF9" w:rsidR="0012434A" w:rsidRPr="009B4616" w:rsidRDefault="00CE4FDD" w:rsidP="003732F8">
      <w:pPr>
        <w:rPr>
          <w:rFonts w:asciiTheme="majorHAnsi" w:hAnsiTheme="majorHAnsi"/>
          <w:lang w:val="fr-CA"/>
        </w:rPr>
      </w:pPr>
      <w:r>
        <w:rPr>
          <w:rFonts w:asciiTheme="majorHAnsi" w:hAnsiTheme="majorHAnsi"/>
          <w:lang w:val="fr-CA"/>
        </w:rPr>
        <w:t xml:space="preserve">L’ACAE défend plusieurs politiques en matière d’aide financière aux étudiants, </w:t>
      </w:r>
      <w:r w:rsidR="009161C2">
        <w:rPr>
          <w:rFonts w:asciiTheme="majorHAnsi" w:hAnsiTheme="majorHAnsi"/>
          <w:lang w:val="fr-CA"/>
        </w:rPr>
        <w:t>d</w:t>
      </w:r>
      <w:r>
        <w:rPr>
          <w:rFonts w:asciiTheme="majorHAnsi" w:hAnsiTheme="majorHAnsi"/>
          <w:lang w:val="fr-CA"/>
        </w:rPr>
        <w:t xml:space="preserve">ans le but de rendre les études supérieures accessibles et abordables pour </w:t>
      </w:r>
      <w:r w:rsidR="009161C2">
        <w:rPr>
          <w:rFonts w:asciiTheme="majorHAnsi" w:hAnsiTheme="majorHAnsi"/>
          <w:lang w:val="fr-CA"/>
        </w:rPr>
        <w:t xml:space="preserve">tous </w:t>
      </w:r>
      <w:r>
        <w:rPr>
          <w:rFonts w:asciiTheme="majorHAnsi" w:hAnsiTheme="majorHAnsi"/>
          <w:lang w:val="fr-CA"/>
        </w:rPr>
        <w:t xml:space="preserve">les Canadiens, incluant les groupes historiquement sous-représentés dans les établissements d’enseignement postsecondaire. Les politiques de l’ACAE visant à favoriser l’accessibilité </w:t>
      </w:r>
      <w:r>
        <w:rPr>
          <w:rFonts w:asciiTheme="majorHAnsi" w:hAnsiTheme="majorHAnsi"/>
          <w:lang w:val="fr-CA"/>
        </w:rPr>
        <w:lastRenderedPageBreak/>
        <w:t>et l’</w:t>
      </w:r>
      <w:proofErr w:type="spellStart"/>
      <w:r>
        <w:rPr>
          <w:rFonts w:asciiTheme="majorHAnsi" w:hAnsiTheme="majorHAnsi"/>
          <w:lang w:val="fr-CA"/>
        </w:rPr>
        <w:t>abordabilité</w:t>
      </w:r>
      <w:proofErr w:type="spellEnd"/>
      <w:r>
        <w:rPr>
          <w:rFonts w:asciiTheme="majorHAnsi" w:hAnsiTheme="majorHAnsi"/>
          <w:lang w:val="fr-CA"/>
        </w:rPr>
        <w:t xml:space="preserve"> des études postsecondaires grâce à un système d’aide financière amélioré sont décrites dans les sections suivantes du présent rapport.</w:t>
      </w:r>
    </w:p>
    <w:p w14:paraId="241F9922" w14:textId="77777777" w:rsidR="003732F8" w:rsidRPr="009B4616" w:rsidRDefault="003732F8" w:rsidP="003732F8">
      <w:pPr>
        <w:rPr>
          <w:rFonts w:asciiTheme="majorHAnsi" w:hAnsiTheme="majorHAnsi"/>
          <w:lang w:val="fr-CA"/>
        </w:rPr>
      </w:pPr>
    </w:p>
    <w:p w14:paraId="6B4273C8" w14:textId="7CCBB8DE" w:rsidR="00954218" w:rsidRPr="009B4616" w:rsidRDefault="009161C2" w:rsidP="004902CF">
      <w:pPr>
        <w:pStyle w:val="Heading2"/>
        <w:rPr>
          <w:lang w:val="fr-CA"/>
        </w:rPr>
      </w:pPr>
      <w:bookmarkStart w:id="6" w:name="_Toc514316685"/>
      <w:r>
        <w:rPr>
          <w:lang w:val="fr-CA"/>
        </w:rPr>
        <w:t>Le Programme d’aide aux étudiantes de niveau postsecondaire (PAEP)</w:t>
      </w:r>
      <w:bookmarkEnd w:id="6"/>
      <w:r w:rsidR="00954218" w:rsidRPr="009B4616">
        <w:rPr>
          <w:lang w:val="fr-CA"/>
        </w:rPr>
        <w:t xml:space="preserve"> </w:t>
      </w:r>
    </w:p>
    <w:p w14:paraId="6F60B5F7" w14:textId="77777777" w:rsidR="003732F8" w:rsidRPr="009B4616" w:rsidRDefault="003732F8" w:rsidP="003732F8">
      <w:pPr>
        <w:rPr>
          <w:rFonts w:asciiTheme="majorHAnsi" w:hAnsiTheme="majorHAnsi"/>
          <w:lang w:val="fr-CA"/>
        </w:rPr>
      </w:pPr>
    </w:p>
    <w:p w14:paraId="3FD96B0A" w14:textId="11E98005" w:rsidR="0005087E" w:rsidRPr="009B4616" w:rsidRDefault="009161C2" w:rsidP="0005087E">
      <w:pPr>
        <w:jc w:val="both"/>
        <w:rPr>
          <w:rFonts w:asciiTheme="majorHAnsi" w:hAnsiTheme="majorHAnsi"/>
          <w:lang w:val="fr-CA"/>
        </w:rPr>
      </w:pPr>
      <w:r>
        <w:rPr>
          <w:rFonts w:asciiTheme="majorHAnsi" w:hAnsiTheme="majorHAnsi"/>
          <w:lang w:val="fr-CA"/>
        </w:rPr>
        <w:t>Les Autochtones forment le segment de la population canadienne dont la croissance est la plus rapide. Entre 1971 et 2001, la populati</w:t>
      </w:r>
      <w:r w:rsidR="00B07B52">
        <w:rPr>
          <w:rFonts w:asciiTheme="majorHAnsi" w:hAnsiTheme="majorHAnsi"/>
          <w:lang w:val="fr-CA"/>
        </w:rPr>
        <w:t>on autochtone a augmenté de 322 </w:t>
      </w:r>
      <w:r>
        <w:rPr>
          <w:rFonts w:asciiTheme="majorHAnsi" w:hAnsiTheme="majorHAnsi"/>
          <w:lang w:val="fr-CA"/>
        </w:rPr>
        <w:t xml:space="preserve">% par rapport </w:t>
      </w:r>
      <w:r w:rsidR="00B07B52">
        <w:rPr>
          <w:rFonts w:asciiTheme="majorHAnsi" w:hAnsiTheme="majorHAnsi"/>
          <w:lang w:val="fr-CA"/>
        </w:rPr>
        <w:t>à 37 </w:t>
      </w:r>
      <w:r>
        <w:rPr>
          <w:rFonts w:asciiTheme="majorHAnsi" w:hAnsiTheme="majorHAnsi"/>
          <w:lang w:val="fr-CA"/>
        </w:rPr>
        <w:t>% pour la population non autochtone</w:t>
      </w:r>
      <w:r w:rsidR="0005087E" w:rsidRPr="009B4616">
        <w:rPr>
          <w:rStyle w:val="FootnoteReference"/>
          <w:rFonts w:asciiTheme="majorHAnsi" w:hAnsiTheme="majorHAnsi"/>
          <w:lang w:val="fr-CA"/>
        </w:rPr>
        <w:footnoteReference w:id="6"/>
      </w:r>
      <w:r>
        <w:rPr>
          <w:rFonts w:asciiTheme="majorHAnsi" w:hAnsiTheme="majorHAnsi"/>
          <w:lang w:val="fr-CA"/>
        </w:rPr>
        <w:t xml:space="preserve">. La tendance </w:t>
      </w:r>
      <w:r w:rsidR="00B07B52">
        <w:rPr>
          <w:rFonts w:asciiTheme="majorHAnsi" w:hAnsiTheme="majorHAnsi"/>
          <w:lang w:val="fr-CA"/>
        </w:rPr>
        <w:t>se poursuit aujourd’hui. Entre 2006 et 2011, la population autochtone a augmenté de 20 %, alors que la population non autochtone n’a cru que de 5,2 % au cours de la même période</w:t>
      </w:r>
      <w:r w:rsidR="0005087E" w:rsidRPr="009B4616">
        <w:rPr>
          <w:rStyle w:val="FootnoteReference"/>
          <w:rFonts w:asciiTheme="majorHAnsi" w:hAnsiTheme="majorHAnsi"/>
          <w:lang w:val="fr-CA"/>
        </w:rPr>
        <w:footnoteReference w:id="7"/>
      </w:r>
      <w:r w:rsidR="00B07B52">
        <w:rPr>
          <w:rFonts w:asciiTheme="majorHAnsi" w:hAnsiTheme="majorHAnsi"/>
          <w:lang w:val="fr-CA"/>
        </w:rPr>
        <w:t>.</w:t>
      </w:r>
      <w:r w:rsidR="0005087E" w:rsidRPr="009B4616">
        <w:rPr>
          <w:rFonts w:asciiTheme="majorHAnsi" w:hAnsiTheme="majorHAnsi"/>
          <w:lang w:val="fr-CA"/>
        </w:rPr>
        <w:t xml:space="preserve"> </w:t>
      </w:r>
    </w:p>
    <w:p w14:paraId="0CC63A0B" w14:textId="77777777" w:rsidR="0005087E" w:rsidRPr="009B4616" w:rsidRDefault="0005087E" w:rsidP="0005087E">
      <w:pPr>
        <w:jc w:val="both"/>
        <w:rPr>
          <w:rFonts w:asciiTheme="majorHAnsi" w:hAnsiTheme="majorHAnsi"/>
          <w:lang w:val="fr-CA"/>
        </w:rPr>
      </w:pPr>
    </w:p>
    <w:p w14:paraId="4638C9F8" w14:textId="1FA04F8C" w:rsidR="003732F8" w:rsidRPr="009B4616" w:rsidRDefault="00B07B52" w:rsidP="003732F8">
      <w:pPr>
        <w:jc w:val="both"/>
        <w:rPr>
          <w:rFonts w:asciiTheme="majorHAnsi" w:hAnsiTheme="majorHAnsi"/>
          <w:lang w:val="fr-CA"/>
        </w:rPr>
      </w:pPr>
      <w:r>
        <w:rPr>
          <w:rFonts w:asciiTheme="majorHAnsi" w:hAnsiTheme="majorHAnsi"/>
          <w:lang w:val="fr-CA"/>
        </w:rPr>
        <w:t>Les statistiques montrent que les Autochtones du Canada continuent d’être confrontés à des obstacles aux études postsecondaires. Selon Statistique Canada, près de 10 % des Autochtones détenaient un diplôme universitaire en 2011, par rapport à environ 27 % pour l’ensemble de la population canadienne</w:t>
      </w:r>
      <w:r w:rsidR="0005087E" w:rsidRPr="009B4616">
        <w:rPr>
          <w:rStyle w:val="FootnoteCharacters"/>
          <w:rFonts w:asciiTheme="majorHAnsi" w:hAnsiTheme="majorHAnsi"/>
          <w:lang w:val="fr-CA"/>
        </w:rPr>
        <w:footnoteReference w:id="8"/>
      </w:r>
      <w:r>
        <w:rPr>
          <w:rFonts w:asciiTheme="majorHAnsi" w:hAnsiTheme="majorHAnsi"/>
          <w:lang w:val="fr-CA"/>
        </w:rPr>
        <w:t>. Plusieurs raisons expliquent cette situation</w:t>
      </w:r>
      <w:r w:rsidR="003732F8" w:rsidRPr="009B4616">
        <w:rPr>
          <w:rStyle w:val="FootnoteReference"/>
          <w:rFonts w:asciiTheme="majorHAnsi" w:hAnsiTheme="majorHAnsi"/>
          <w:lang w:val="fr-CA"/>
        </w:rPr>
        <w:footnoteReference w:id="9"/>
      </w:r>
      <w:r>
        <w:rPr>
          <w:rFonts w:asciiTheme="majorHAnsi" w:hAnsiTheme="majorHAnsi"/>
          <w:lang w:val="fr-CA"/>
        </w:rPr>
        <w:t>. Premièrement, l’héritage des obstacles historiques qui visaient l’assimilation culturelle des Autochtones. En plus de l’expérience traumatisante vécue par de nombreux enfants et de nombreuses familles autochtones soumis au système des pensionnats</w:t>
      </w:r>
      <w:r w:rsidR="002075F0" w:rsidRPr="009B4616">
        <w:rPr>
          <w:rStyle w:val="FootnoteReference"/>
          <w:rFonts w:asciiTheme="majorHAnsi" w:hAnsiTheme="majorHAnsi"/>
          <w:lang w:val="fr-CA"/>
        </w:rPr>
        <w:footnoteReference w:id="10"/>
      </w:r>
      <w:r>
        <w:rPr>
          <w:rFonts w:asciiTheme="majorHAnsi" w:hAnsiTheme="majorHAnsi"/>
          <w:lang w:val="fr-CA"/>
        </w:rPr>
        <w:t xml:space="preserve">, la </w:t>
      </w:r>
      <w:r w:rsidRPr="00B07B52">
        <w:rPr>
          <w:rFonts w:asciiTheme="majorHAnsi" w:hAnsiTheme="majorHAnsi"/>
          <w:i/>
          <w:lang w:val="fr-CA"/>
        </w:rPr>
        <w:t>Loi sur les Indiens</w:t>
      </w:r>
      <w:r>
        <w:rPr>
          <w:rFonts w:asciiTheme="majorHAnsi" w:hAnsiTheme="majorHAnsi"/>
          <w:lang w:val="fr-CA"/>
        </w:rPr>
        <w:t xml:space="preserve"> leur interdisait l’accès aux études postsecondaires, à moins de renoncer à leur statut, à leurs droits et à leur identité</w:t>
      </w:r>
      <w:r w:rsidR="00BD2DF3" w:rsidRPr="009B4616">
        <w:rPr>
          <w:rStyle w:val="FootnoteReference"/>
          <w:rFonts w:asciiTheme="majorHAnsi" w:hAnsiTheme="majorHAnsi"/>
          <w:lang w:val="fr-CA"/>
        </w:rPr>
        <w:footnoteReference w:id="11"/>
      </w:r>
      <w:r>
        <w:rPr>
          <w:rFonts w:asciiTheme="majorHAnsi" w:hAnsiTheme="majorHAnsi"/>
          <w:lang w:val="fr-CA"/>
        </w:rPr>
        <w:t>.</w:t>
      </w:r>
      <w:r w:rsidR="003732F8" w:rsidRPr="009B4616">
        <w:rPr>
          <w:rFonts w:asciiTheme="majorHAnsi" w:hAnsiTheme="majorHAnsi"/>
          <w:lang w:val="fr-CA"/>
        </w:rPr>
        <w:t xml:space="preserve"> </w:t>
      </w:r>
    </w:p>
    <w:p w14:paraId="0BA90291" w14:textId="77777777" w:rsidR="003732F8" w:rsidRPr="009B4616" w:rsidRDefault="003732F8" w:rsidP="003732F8">
      <w:pPr>
        <w:jc w:val="both"/>
        <w:rPr>
          <w:rFonts w:asciiTheme="majorHAnsi" w:hAnsiTheme="majorHAnsi"/>
          <w:lang w:val="fr-CA"/>
        </w:rPr>
      </w:pPr>
    </w:p>
    <w:p w14:paraId="02E692B9" w14:textId="3BAA543B" w:rsidR="003732F8" w:rsidRPr="009B4616" w:rsidRDefault="00B07B52" w:rsidP="003732F8">
      <w:pPr>
        <w:jc w:val="both"/>
        <w:rPr>
          <w:rFonts w:asciiTheme="majorHAnsi" w:hAnsiTheme="majorHAnsi"/>
          <w:lang w:val="fr-CA"/>
        </w:rPr>
      </w:pPr>
      <w:r>
        <w:rPr>
          <w:rFonts w:asciiTheme="majorHAnsi" w:hAnsiTheme="majorHAnsi"/>
          <w:lang w:val="fr-CA"/>
        </w:rPr>
        <w:t xml:space="preserve">En ce qui concerne particulièrement la question du financement des EP des membres des Premières Nations signataires des traités, l’offre de ressources financières par les gouvernements fédéraux successifs n’a pas suivi la croissance de cette population, ni la demande. La croissance du PAEP, le principal mécanisme de financement des étudiants </w:t>
      </w:r>
      <w:r>
        <w:rPr>
          <w:rFonts w:asciiTheme="majorHAnsi" w:hAnsiTheme="majorHAnsi"/>
          <w:lang w:val="fr-CA"/>
        </w:rPr>
        <w:lastRenderedPageBreak/>
        <w:t xml:space="preserve">autochtones et </w:t>
      </w:r>
      <w:proofErr w:type="spellStart"/>
      <w:r>
        <w:rPr>
          <w:rFonts w:asciiTheme="majorHAnsi" w:hAnsiTheme="majorHAnsi"/>
          <w:lang w:val="fr-CA"/>
        </w:rPr>
        <w:t>inuits</w:t>
      </w:r>
      <w:proofErr w:type="spellEnd"/>
      <w:r>
        <w:rPr>
          <w:rFonts w:asciiTheme="majorHAnsi" w:hAnsiTheme="majorHAnsi"/>
          <w:lang w:val="fr-CA"/>
        </w:rPr>
        <w:t xml:space="preserve">, a été plafonné à </w:t>
      </w:r>
      <w:r w:rsidR="00A26602">
        <w:rPr>
          <w:rFonts w:asciiTheme="majorHAnsi" w:hAnsiTheme="majorHAnsi"/>
          <w:lang w:val="fr-CA"/>
        </w:rPr>
        <w:t>2 </w:t>
      </w:r>
      <w:r>
        <w:rPr>
          <w:rFonts w:asciiTheme="majorHAnsi" w:hAnsiTheme="majorHAnsi"/>
          <w:lang w:val="fr-CA"/>
        </w:rPr>
        <w:t xml:space="preserve">% de 1996 jusqu’au budget de 2017, </w:t>
      </w:r>
      <w:r w:rsidR="000344B6">
        <w:rPr>
          <w:rFonts w:asciiTheme="majorHAnsi" w:hAnsiTheme="majorHAnsi"/>
          <w:lang w:val="fr-CA"/>
        </w:rPr>
        <w:t xml:space="preserve">obligeant ainsi ses administrateurs à répartir des ressources déjà limitées entre un nombre de plus en plus élevé d’étudiants. Même si la population des jeunes Autochtones inscrits âgés de 15 à 30 ans a augmenté de 30 % de </w:t>
      </w:r>
      <w:r w:rsidR="0049240C" w:rsidRPr="009B4616">
        <w:rPr>
          <w:rFonts w:asciiTheme="majorHAnsi" w:hAnsiTheme="majorHAnsi"/>
          <w:lang w:val="fr-CA"/>
        </w:rPr>
        <w:t xml:space="preserve">2004 </w:t>
      </w:r>
      <w:r w:rsidR="000344B6">
        <w:rPr>
          <w:rFonts w:asciiTheme="majorHAnsi" w:hAnsiTheme="majorHAnsi"/>
          <w:lang w:val="fr-CA"/>
        </w:rPr>
        <w:t xml:space="preserve">à </w:t>
      </w:r>
      <w:r w:rsidR="0049240C" w:rsidRPr="009B4616">
        <w:rPr>
          <w:rFonts w:asciiTheme="majorHAnsi" w:hAnsiTheme="majorHAnsi"/>
          <w:lang w:val="fr-CA"/>
        </w:rPr>
        <w:t xml:space="preserve">2014, </w:t>
      </w:r>
      <w:r w:rsidR="000344B6">
        <w:rPr>
          <w:rFonts w:asciiTheme="majorHAnsi" w:hAnsiTheme="majorHAnsi"/>
          <w:lang w:val="fr-CA"/>
        </w:rPr>
        <w:t>le financement du PAEP n’a augmenté que de 13 % au cours de la même période</w:t>
      </w:r>
      <w:r w:rsidR="0049240C" w:rsidRPr="009B4616">
        <w:rPr>
          <w:rFonts w:asciiTheme="majorHAnsi" w:hAnsiTheme="majorHAnsi"/>
          <w:vertAlign w:val="superscript"/>
          <w:lang w:val="fr-CA"/>
        </w:rPr>
        <w:footnoteReference w:id="12"/>
      </w:r>
      <w:r w:rsidR="000344B6">
        <w:rPr>
          <w:rFonts w:asciiTheme="majorHAnsi" w:hAnsiTheme="majorHAnsi"/>
          <w:lang w:val="fr-CA"/>
        </w:rPr>
        <w:t>.</w:t>
      </w:r>
      <w:r w:rsidR="00190815" w:rsidRPr="009B4616">
        <w:rPr>
          <w:rFonts w:asciiTheme="majorHAnsi" w:hAnsiTheme="majorHAnsi"/>
          <w:lang w:val="fr-CA"/>
        </w:rPr>
        <w:t xml:space="preserve"> </w:t>
      </w:r>
    </w:p>
    <w:p w14:paraId="451637DE" w14:textId="77777777" w:rsidR="00CA4399" w:rsidRPr="009B4616" w:rsidRDefault="00CA4399" w:rsidP="00CA4399">
      <w:pPr>
        <w:jc w:val="both"/>
        <w:rPr>
          <w:rFonts w:asciiTheme="majorHAnsi" w:hAnsiTheme="majorHAnsi"/>
          <w:lang w:val="fr-CA"/>
        </w:rPr>
      </w:pPr>
    </w:p>
    <w:p w14:paraId="2EC518DD" w14:textId="1C1ECB41" w:rsidR="009B711D" w:rsidRPr="009B4616" w:rsidRDefault="0087104A" w:rsidP="003732F8">
      <w:pPr>
        <w:jc w:val="both"/>
        <w:rPr>
          <w:rFonts w:asciiTheme="majorHAnsi" w:hAnsiTheme="majorHAnsi"/>
          <w:lang w:val="fr-CA"/>
        </w:rPr>
      </w:pPr>
      <w:r>
        <w:rPr>
          <w:rFonts w:asciiTheme="majorHAnsi" w:hAnsiTheme="majorHAnsi"/>
          <w:lang w:val="fr-CA"/>
        </w:rPr>
        <w:t xml:space="preserve">L’administration locale du financement de l’éducation des Premières Nations est essentielle pour surmonter les obstacles culturels, sociaux, géographiques et historiques uniques auxquels ont été confrontés les Premières Nations, les Métis et les Inuits en ce qui a trait à la poursuite d’études supérieures. Le rapport intitulé </w:t>
      </w:r>
      <w:r w:rsidRPr="0087104A">
        <w:rPr>
          <w:rFonts w:asciiTheme="majorHAnsi" w:hAnsiTheme="majorHAnsi"/>
          <w:i/>
          <w:lang w:val="fr-CA"/>
        </w:rPr>
        <w:t>Facteurs influençant le recours aux programmes d’aide financière aux études par les jeunes autochtones</w:t>
      </w:r>
      <w:r>
        <w:rPr>
          <w:rFonts w:asciiTheme="majorHAnsi" w:hAnsiTheme="majorHAnsi"/>
          <w:lang w:val="fr-CA"/>
        </w:rPr>
        <w:t xml:space="preserve"> soulignait l’importance de développer la capacité des communautés à </w:t>
      </w:r>
      <w:r w:rsidR="00D22CB0">
        <w:rPr>
          <w:rFonts w:asciiTheme="majorHAnsi" w:hAnsiTheme="majorHAnsi"/>
          <w:lang w:val="fr-CA"/>
        </w:rPr>
        <w:t xml:space="preserve">tisser </w:t>
      </w:r>
      <w:r>
        <w:rPr>
          <w:rFonts w:asciiTheme="majorHAnsi" w:hAnsiTheme="majorHAnsi"/>
          <w:lang w:val="fr-CA"/>
        </w:rPr>
        <w:t xml:space="preserve">un lien entre les jeunes et les études postsecondaires, </w:t>
      </w:r>
      <w:r w:rsidR="00D22CB0">
        <w:rPr>
          <w:rFonts w:asciiTheme="majorHAnsi" w:hAnsiTheme="majorHAnsi"/>
          <w:lang w:val="fr-CA"/>
        </w:rPr>
        <w:t>et révélait que le soutien structurel inadéquat ou trop faible reliant les communautés des Premières Nations avec des sources d’information externes sur les EP et la méfiance résiduelle envers la bureaucratie et les institutions non autochtones influent sur la perception de ces populations à l’égard du financement et des programmes du gouvernement</w:t>
      </w:r>
      <w:r w:rsidR="003732F8" w:rsidRPr="009B4616">
        <w:rPr>
          <w:rStyle w:val="FootnoteReference"/>
          <w:rFonts w:asciiTheme="majorHAnsi" w:hAnsiTheme="majorHAnsi"/>
          <w:lang w:val="fr-CA"/>
        </w:rPr>
        <w:footnoteReference w:id="13"/>
      </w:r>
      <w:r w:rsidR="00D22CB0">
        <w:rPr>
          <w:rFonts w:asciiTheme="majorHAnsi" w:hAnsiTheme="majorHAnsi"/>
          <w:lang w:val="fr-CA"/>
        </w:rPr>
        <w:t>.</w:t>
      </w:r>
      <w:r w:rsidR="00BF74D1" w:rsidRPr="009B4616">
        <w:rPr>
          <w:rFonts w:asciiTheme="majorHAnsi" w:hAnsiTheme="majorHAnsi"/>
          <w:lang w:val="fr-CA"/>
        </w:rPr>
        <w:t xml:space="preserve"> </w:t>
      </w:r>
      <w:r w:rsidR="00D22CB0">
        <w:rPr>
          <w:rFonts w:asciiTheme="majorHAnsi" w:hAnsiTheme="majorHAnsi"/>
          <w:lang w:val="fr-CA"/>
        </w:rPr>
        <w:t>Cependant, même si les conseils de bande des Premières Nations sont chargés d’administrer le PAEP, ils ne disposent d’aucun budget administratif pour couvrir les associés à cette activité, et ne reçoivent aucune aide pour former ceux qui administrent les fonds et qui peuvent proposer aux étudiants d’autres formes d’aide financière.</w:t>
      </w:r>
    </w:p>
    <w:p w14:paraId="54D3E759" w14:textId="77777777" w:rsidR="003732F8" w:rsidRPr="009B4616" w:rsidRDefault="003732F8" w:rsidP="003732F8">
      <w:pPr>
        <w:jc w:val="both"/>
        <w:rPr>
          <w:rFonts w:asciiTheme="majorHAnsi" w:hAnsiTheme="majorHAnsi"/>
          <w:lang w:val="fr-CA"/>
        </w:rPr>
      </w:pPr>
    </w:p>
    <w:p w14:paraId="605F29EE" w14:textId="621A7E0D" w:rsidR="00DA57F1" w:rsidRPr="009B4616" w:rsidRDefault="00D22CB0" w:rsidP="0060018E">
      <w:pPr>
        <w:jc w:val="both"/>
        <w:rPr>
          <w:rFonts w:asciiTheme="majorHAnsi" w:hAnsiTheme="majorHAnsi"/>
          <w:lang w:val="fr-CA"/>
        </w:rPr>
      </w:pPr>
      <w:r>
        <w:rPr>
          <w:rFonts w:asciiTheme="majorHAnsi" w:hAnsiTheme="majorHAnsi"/>
          <w:lang w:val="fr-CA"/>
        </w:rPr>
        <w:t xml:space="preserve">L’ACAE </w:t>
      </w:r>
      <w:r w:rsidR="00870854">
        <w:rPr>
          <w:rFonts w:asciiTheme="majorHAnsi" w:hAnsiTheme="majorHAnsi"/>
          <w:lang w:val="fr-CA"/>
        </w:rPr>
        <w:t xml:space="preserve">considère que le retrait, dans le budget fédéral de 2017, du plafond imposé au PAEP et l’investissement de 90 millions de dollars </w:t>
      </w:r>
      <w:r w:rsidR="003C3E6D">
        <w:rPr>
          <w:rFonts w:asciiTheme="majorHAnsi" w:hAnsiTheme="majorHAnsi"/>
          <w:lang w:val="fr-CA"/>
        </w:rPr>
        <w:t xml:space="preserve">sur deux ans </w:t>
      </w:r>
      <w:r w:rsidR="00870854">
        <w:rPr>
          <w:rFonts w:asciiTheme="majorHAnsi" w:hAnsiTheme="majorHAnsi"/>
          <w:lang w:val="fr-CA"/>
        </w:rPr>
        <w:t xml:space="preserve">dans le programme constitue un pas important vers la concrétisation de l’obligation du gouvernement fédéral de soutenir tous les étudiants autochtones et </w:t>
      </w:r>
      <w:proofErr w:type="spellStart"/>
      <w:r w:rsidR="00870854">
        <w:rPr>
          <w:rFonts w:asciiTheme="majorHAnsi" w:hAnsiTheme="majorHAnsi"/>
          <w:lang w:val="fr-CA"/>
        </w:rPr>
        <w:t>inuits</w:t>
      </w:r>
      <w:proofErr w:type="spellEnd"/>
      <w:r w:rsidR="00870854">
        <w:rPr>
          <w:rFonts w:asciiTheme="majorHAnsi" w:hAnsiTheme="majorHAnsi"/>
          <w:lang w:val="fr-CA"/>
        </w:rPr>
        <w:t xml:space="preserve"> admissibles. </w:t>
      </w:r>
      <w:r w:rsidR="00201EC3">
        <w:rPr>
          <w:rFonts w:asciiTheme="majorHAnsi" w:hAnsiTheme="majorHAnsi"/>
          <w:lang w:val="fr-CA"/>
        </w:rPr>
        <w:t>Cependant, il reste encore beaucoup à faire. Comme l’a récemment souligné l’Assemblée des Premières Nations (APN), le sous</w:t>
      </w:r>
      <w:r w:rsidR="003C3E6D">
        <w:rPr>
          <w:rFonts w:asciiTheme="majorHAnsi" w:hAnsiTheme="majorHAnsi"/>
          <w:lang w:val="fr-CA"/>
        </w:rPr>
        <w:noBreakHyphen/>
      </w:r>
      <w:r w:rsidR="00201EC3">
        <w:rPr>
          <w:rFonts w:asciiTheme="majorHAnsi" w:hAnsiTheme="majorHAnsi"/>
          <w:lang w:val="fr-CA"/>
        </w:rPr>
        <w:t xml:space="preserve">financement du PAEP pendant des décennies fait en sorte que </w:t>
      </w:r>
      <w:r w:rsidR="003C3E6D">
        <w:rPr>
          <w:rFonts w:asciiTheme="majorHAnsi" w:hAnsiTheme="majorHAnsi"/>
          <w:lang w:val="fr-CA"/>
        </w:rPr>
        <w:t xml:space="preserve">la contribution par étudiant est </w:t>
      </w:r>
      <w:r w:rsidR="00201EC3">
        <w:rPr>
          <w:rFonts w:asciiTheme="majorHAnsi" w:hAnsiTheme="majorHAnsi"/>
          <w:lang w:val="fr-CA"/>
        </w:rPr>
        <w:t xml:space="preserve">bien en-deçà des coûts réels. L’APN demande une augmentation </w:t>
      </w:r>
      <w:r w:rsidR="003C3E6D">
        <w:rPr>
          <w:rFonts w:asciiTheme="majorHAnsi" w:hAnsiTheme="majorHAnsi"/>
          <w:lang w:val="fr-CA"/>
        </w:rPr>
        <w:t xml:space="preserve">de la contribution </w:t>
      </w:r>
      <w:r w:rsidR="00201EC3">
        <w:rPr>
          <w:rFonts w:asciiTheme="majorHAnsi" w:hAnsiTheme="majorHAnsi"/>
          <w:lang w:val="fr-CA"/>
        </w:rPr>
        <w:t xml:space="preserve">par étudiant à </w:t>
      </w:r>
      <w:r w:rsidR="00A26602">
        <w:rPr>
          <w:rFonts w:asciiTheme="majorHAnsi" w:hAnsiTheme="majorHAnsi"/>
          <w:lang w:val="fr-CA"/>
        </w:rPr>
        <w:t>17 307 </w:t>
      </w:r>
      <w:r w:rsidR="00201EC3">
        <w:rPr>
          <w:rFonts w:asciiTheme="majorHAnsi" w:hAnsiTheme="majorHAnsi"/>
          <w:lang w:val="fr-CA"/>
        </w:rPr>
        <w:t>$</w:t>
      </w:r>
      <w:r w:rsidR="00C139E0" w:rsidRPr="009B4616">
        <w:rPr>
          <w:rFonts w:asciiTheme="majorHAnsi" w:hAnsiTheme="majorHAnsi"/>
          <w:lang w:val="fr-CA"/>
        </w:rPr>
        <w:t xml:space="preserve">, </w:t>
      </w:r>
      <w:r w:rsidR="00201EC3">
        <w:rPr>
          <w:rFonts w:asciiTheme="majorHAnsi" w:hAnsiTheme="majorHAnsi"/>
          <w:lang w:val="fr-CA"/>
        </w:rPr>
        <w:t xml:space="preserve">au lieu du montant actuel établi à </w:t>
      </w:r>
      <w:r w:rsidR="00A26602">
        <w:rPr>
          <w:rFonts w:asciiTheme="majorHAnsi" w:hAnsiTheme="majorHAnsi"/>
          <w:lang w:val="fr-CA"/>
        </w:rPr>
        <w:t>13 407 </w:t>
      </w:r>
      <w:r w:rsidR="00201EC3">
        <w:rPr>
          <w:rFonts w:asciiTheme="majorHAnsi" w:hAnsiTheme="majorHAnsi"/>
          <w:lang w:val="fr-CA"/>
        </w:rPr>
        <w:t>$</w:t>
      </w:r>
      <w:r w:rsidR="00C139E0" w:rsidRPr="009B4616">
        <w:rPr>
          <w:rFonts w:asciiTheme="majorHAnsi" w:hAnsiTheme="majorHAnsi"/>
          <w:lang w:val="fr-CA"/>
        </w:rPr>
        <w:t xml:space="preserve">. </w:t>
      </w:r>
      <w:r w:rsidR="00201EC3">
        <w:rPr>
          <w:rFonts w:asciiTheme="majorHAnsi" w:hAnsiTheme="majorHAnsi"/>
          <w:lang w:val="fr-CA"/>
        </w:rPr>
        <w:t>L’ACAE appuie cette demande et continuera de défendre l’objectif de réduire l’arriéré du PAEP qui s’est accumulé pendant ces nombreu</w:t>
      </w:r>
      <w:r w:rsidR="003C3E6D">
        <w:rPr>
          <w:rFonts w:asciiTheme="majorHAnsi" w:hAnsiTheme="majorHAnsi"/>
          <w:lang w:val="fr-CA"/>
        </w:rPr>
        <w:t>s</w:t>
      </w:r>
      <w:r w:rsidR="00201EC3">
        <w:rPr>
          <w:rFonts w:asciiTheme="majorHAnsi" w:hAnsiTheme="majorHAnsi"/>
          <w:lang w:val="fr-CA"/>
        </w:rPr>
        <w:t xml:space="preserve">es années </w:t>
      </w:r>
      <w:r w:rsidR="003C3E6D">
        <w:rPr>
          <w:rFonts w:asciiTheme="majorHAnsi" w:hAnsiTheme="majorHAnsi"/>
          <w:lang w:val="fr-CA"/>
        </w:rPr>
        <w:t xml:space="preserve">où la hausse du financement du programme était </w:t>
      </w:r>
      <w:r w:rsidR="00A26602">
        <w:rPr>
          <w:rFonts w:asciiTheme="majorHAnsi" w:hAnsiTheme="majorHAnsi"/>
          <w:lang w:val="fr-CA"/>
        </w:rPr>
        <w:t>plafonnée</w:t>
      </w:r>
      <w:r w:rsidR="003C3E6D">
        <w:rPr>
          <w:rFonts w:asciiTheme="majorHAnsi" w:hAnsiTheme="majorHAnsi"/>
          <w:lang w:val="fr-CA"/>
        </w:rPr>
        <w:t xml:space="preserve"> à </w:t>
      </w:r>
      <w:r w:rsidR="00A26602">
        <w:rPr>
          <w:rFonts w:asciiTheme="majorHAnsi" w:hAnsiTheme="majorHAnsi"/>
          <w:lang w:val="fr-CA"/>
        </w:rPr>
        <w:t>2 </w:t>
      </w:r>
      <w:r w:rsidR="003C3E6D">
        <w:rPr>
          <w:rFonts w:asciiTheme="majorHAnsi" w:hAnsiTheme="majorHAnsi"/>
          <w:lang w:val="fr-CA"/>
        </w:rPr>
        <w:t xml:space="preserve">%. Pour promouvoir l’accessibilité aux études postsecondaires pour les étudiants autochtones, l’ACAE souligne l’importance de ce qui suit : </w:t>
      </w:r>
      <w:r w:rsidR="00B741E6" w:rsidRPr="009B4616">
        <w:rPr>
          <w:rFonts w:asciiTheme="majorHAnsi" w:hAnsiTheme="majorHAnsi"/>
          <w:lang w:val="fr-CA"/>
        </w:rPr>
        <w:t xml:space="preserve"> </w:t>
      </w:r>
    </w:p>
    <w:p w14:paraId="3DD87F2E" w14:textId="77777777" w:rsidR="00DA57F1" w:rsidRPr="009B4616" w:rsidRDefault="00DA57F1" w:rsidP="00DA57F1">
      <w:pPr>
        <w:jc w:val="both"/>
        <w:rPr>
          <w:rFonts w:asciiTheme="majorHAnsi" w:hAnsiTheme="majorHAnsi"/>
          <w:lang w:val="fr-CA"/>
        </w:rPr>
      </w:pPr>
    </w:p>
    <w:p w14:paraId="3593DAE2" w14:textId="6E71AE15" w:rsidR="00DA57F1" w:rsidRPr="009B4616" w:rsidRDefault="003C3E6D" w:rsidP="00DA57F1">
      <w:pPr>
        <w:pStyle w:val="ListParagraph"/>
        <w:numPr>
          <w:ilvl w:val="0"/>
          <w:numId w:val="20"/>
        </w:numPr>
        <w:jc w:val="both"/>
        <w:rPr>
          <w:rStyle w:val="apple-style-span"/>
          <w:rFonts w:asciiTheme="majorHAnsi" w:hAnsiTheme="majorHAnsi" w:cs="Times New Roman"/>
          <w:lang w:val="fr-CA"/>
        </w:rPr>
      </w:pPr>
      <w:r>
        <w:rPr>
          <w:rFonts w:asciiTheme="majorHAnsi" w:hAnsiTheme="majorHAnsi" w:cs="Times New Roman"/>
          <w:lang w:val="fr-CA"/>
        </w:rPr>
        <w:t xml:space="preserve">Reconnaître l’EP comme un droit pour les membres des nations signataires des traités, lorsque des promesses en matière d’éducation ont été formulées dans le </w:t>
      </w:r>
      <w:r>
        <w:rPr>
          <w:rFonts w:asciiTheme="majorHAnsi" w:hAnsiTheme="majorHAnsi" w:cs="Times New Roman"/>
          <w:lang w:val="fr-CA"/>
        </w:rPr>
        <w:lastRenderedPageBreak/>
        <w:t>texte des traités, les documents connexes et l’histoire orale des parties concernées.</w:t>
      </w:r>
    </w:p>
    <w:p w14:paraId="4A916870" w14:textId="1CCDF1EE" w:rsidR="00A351AB" w:rsidRPr="009B4616" w:rsidRDefault="003C3E6D" w:rsidP="00DA57F1">
      <w:pPr>
        <w:pStyle w:val="ListParagraph"/>
        <w:numPr>
          <w:ilvl w:val="0"/>
          <w:numId w:val="20"/>
        </w:numPr>
        <w:jc w:val="both"/>
        <w:rPr>
          <w:rFonts w:asciiTheme="majorHAnsi" w:hAnsiTheme="majorHAnsi" w:cs="Times New Roman"/>
          <w:lang w:val="fr-CA"/>
        </w:rPr>
      </w:pPr>
      <w:r>
        <w:rPr>
          <w:rFonts w:asciiTheme="majorHAnsi" w:hAnsiTheme="majorHAnsi" w:cs="Times New Roman"/>
          <w:lang w:val="fr-CA"/>
        </w:rPr>
        <w:t xml:space="preserve">Le </w:t>
      </w:r>
      <w:r w:rsidR="003345F7">
        <w:rPr>
          <w:rFonts w:asciiTheme="majorHAnsi" w:hAnsiTheme="majorHAnsi" w:cs="Times New Roman"/>
          <w:lang w:val="fr-CA"/>
        </w:rPr>
        <w:t xml:space="preserve">gouvernement fédéral doit éliminer l’arriéré du PAEP causé par le plafonnement à </w:t>
      </w:r>
      <w:r w:rsidR="00A26602">
        <w:rPr>
          <w:rFonts w:asciiTheme="majorHAnsi" w:hAnsiTheme="majorHAnsi" w:cs="Times New Roman"/>
          <w:lang w:val="fr-CA"/>
        </w:rPr>
        <w:t>2 </w:t>
      </w:r>
      <w:r w:rsidR="003345F7">
        <w:rPr>
          <w:rFonts w:asciiTheme="majorHAnsi" w:hAnsiTheme="majorHAnsi" w:cs="Times New Roman"/>
          <w:lang w:val="fr-CA"/>
        </w:rPr>
        <w:t>% de l’augmentation du financement du programme, et financer pleinement le programme à partir de maintenant.</w:t>
      </w:r>
      <w:r w:rsidR="00AE0BE6" w:rsidRPr="009B4616">
        <w:rPr>
          <w:rFonts w:asciiTheme="majorHAnsi" w:hAnsiTheme="majorHAnsi" w:cs="Times New Roman"/>
          <w:lang w:val="fr-CA"/>
        </w:rPr>
        <w:t xml:space="preserve"> </w:t>
      </w:r>
    </w:p>
    <w:p w14:paraId="0440DB69" w14:textId="4447F789" w:rsidR="00DA57F1" w:rsidRPr="009B4616" w:rsidRDefault="003345F7" w:rsidP="00DA57F1">
      <w:pPr>
        <w:pStyle w:val="ListParagraph"/>
        <w:numPr>
          <w:ilvl w:val="0"/>
          <w:numId w:val="20"/>
        </w:numPr>
        <w:jc w:val="both"/>
        <w:rPr>
          <w:rFonts w:asciiTheme="majorHAnsi" w:hAnsiTheme="majorHAnsi" w:cs="Times New Roman"/>
          <w:lang w:val="fr-CA"/>
        </w:rPr>
      </w:pPr>
      <w:r>
        <w:rPr>
          <w:rFonts w:asciiTheme="majorHAnsi" w:hAnsiTheme="majorHAnsi" w:cs="Times New Roman"/>
          <w:lang w:val="fr-CA"/>
        </w:rPr>
        <w:t xml:space="preserve">S’assurer que l’aide financière destinée à tous les étudiants autochtones et </w:t>
      </w:r>
      <w:proofErr w:type="spellStart"/>
      <w:r>
        <w:rPr>
          <w:rFonts w:asciiTheme="majorHAnsi" w:hAnsiTheme="majorHAnsi" w:cs="Times New Roman"/>
          <w:lang w:val="fr-CA"/>
        </w:rPr>
        <w:t>inuits</w:t>
      </w:r>
      <w:proofErr w:type="spellEnd"/>
      <w:r>
        <w:rPr>
          <w:rFonts w:asciiTheme="majorHAnsi" w:hAnsiTheme="majorHAnsi" w:cs="Times New Roman"/>
          <w:lang w:val="fr-CA"/>
        </w:rPr>
        <w:t xml:space="preserve"> admissibles soit fondée sur les coûts réels des frais de scolarité et des frais de subsistance, indexés annuellement pour refléter l’augmentation de ces dépenses.</w:t>
      </w:r>
    </w:p>
    <w:p w14:paraId="79AE6D4C" w14:textId="22B7EE6B" w:rsidR="004229D6" w:rsidRPr="009B4616" w:rsidRDefault="003345F7" w:rsidP="00DA57F1">
      <w:pPr>
        <w:pStyle w:val="ListParagraph"/>
        <w:numPr>
          <w:ilvl w:val="0"/>
          <w:numId w:val="20"/>
        </w:numPr>
        <w:jc w:val="both"/>
        <w:rPr>
          <w:rFonts w:asciiTheme="majorHAnsi" w:hAnsiTheme="majorHAnsi" w:cs="Times New Roman"/>
          <w:lang w:val="fr-CA"/>
        </w:rPr>
      </w:pPr>
      <w:r>
        <w:rPr>
          <w:rFonts w:asciiTheme="majorHAnsi" w:hAnsiTheme="majorHAnsi" w:cs="Times New Roman"/>
          <w:color w:val="000000"/>
          <w:lang w:val="fr-CA"/>
        </w:rPr>
        <w:t>Financement versé par le gouvernement fédéral aux conseils de bande pour l’administration du PAEP</w:t>
      </w:r>
      <w:r w:rsidR="004229D6" w:rsidRPr="009B4616">
        <w:rPr>
          <w:rFonts w:asciiTheme="majorHAnsi" w:hAnsiTheme="majorHAnsi" w:cs="Times New Roman"/>
          <w:color w:val="000000"/>
          <w:lang w:val="fr-CA"/>
        </w:rPr>
        <w:t>.</w:t>
      </w:r>
      <w:r w:rsidR="00954218" w:rsidRPr="009B4616">
        <w:rPr>
          <w:rFonts w:asciiTheme="majorHAnsi" w:hAnsiTheme="majorHAnsi" w:cs="Times New Roman"/>
          <w:color w:val="000000"/>
          <w:lang w:val="fr-CA"/>
        </w:rPr>
        <w:t xml:space="preserve"> </w:t>
      </w:r>
    </w:p>
    <w:p w14:paraId="0D41046F" w14:textId="5749472E" w:rsidR="004229D6" w:rsidRPr="009B4616" w:rsidRDefault="003345F7" w:rsidP="00DA57F1">
      <w:pPr>
        <w:pStyle w:val="ListParagraph"/>
        <w:numPr>
          <w:ilvl w:val="0"/>
          <w:numId w:val="20"/>
        </w:numPr>
        <w:jc w:val="both"/>
        <w:rPr>
          <w:rFonts w:asciiTheme="majorHAnsi" w:hAnsiTheme="majorHAnsi" w:cs="Times New Roman"/>
          <w:lang w:val="fr-CA"/>
        </w:rPr>
      </w:pPr>
      <w:r>
        <w:rPr>
          <w:rFonts w:asciiTheme="majorHAnsi" w:hAnsiTheme="majorHAnsi" w:cs="Times New Roman"/>
          <w:color w:val="000000"/>
          <w:lang w:val="fr-CA"/>
        </w:rPr>
        <w:t>Création d’une aide financière spéciale pour les Métis et Premières Nations hors réserve.</w:t>
      </w:r>
      <w:r w:rsidR="0043512D" w:rsidRPr="009B4616">
        <w:rPr>
          <w:rFonts w:asciiTheme="majorHAnsi" w:hAnsiTheme="majorHAnsi" w:cs="Times New Roman"/>
          <w:color w:val="000000"/>
          <w:lang w:val="fr-CA"/>
        </w:rPr>
        <w:t xml:space="preserve"> </w:t>
      </w:r>
    </w:p>
    <w:p w14:paraId="472DED50" w14:textId="6521C22B" w:rsidR="00954218" w:rsidRPr="009B4616" w:rsidRDefault="003345F7" w:rsidP="00DA57F1">
      <w:pPr>
        <w:pStyle w:val="ListParagraph"/>
        <w:numPr>
          <w:ilvl w:val="0"/>
          <w:numId w:val="20"/>
        </w:numPr>
        <w:jc w:val="both"/>
        <w:rPr>
          <w:rFonts w:asciiTheme="majorHAnsi" w:hAnsiTheme="majorHAnsi" w:cs="Times New Roman"/>
          <w:lang w:val="fr-CA"/>
        </w:rPr>
      </w:pPr>
      <w:r>
        <w:rPr>
          <w:rFonts w:asciiTheme="majorHAnsi" w:hAnsiTheme="majorHAnsi" w:cs="Times New Roman"/>
          <w:color w:val="000000"/>
          <w:lang w:val="fr-CA"/>
        </w:rPr>
        <w:t>Financement adéquat des établissements d’études supérieures autochtones.</w:t>
      </w:r>
      <w:r w:rsidR="00954218" w:rsidRPr="009B4616">
        <w:rPr>
          <w:rFonts w:asciiTheme="majorHAnsi" w:hAnsiTheme="majorHAnsi" w:cs="Times New Roman"/>
          <w:color w:val="000000"/>
          <w:lang w:val="fr-CA"/>
        </w:rPr>
        <w:t xml:space="preserve"> </w:t>
      </w:r>
    </w:p>
    <w:p w14:paraId="3D1B82AE" w14:textId="77777777" w:rsidR="00AC7326" w:rsidRPr="009B4616" w:rsidRDefault="00AC7326" w:rsidP="00AC7326">
      <w:pPr>
        <w:jc w:val="both"/>
        <w:rPr>
          <w:rFonts w:asciiTheme="majorHAnsi" w:hAnsiTheme="majorHAnsi"/>
          <w:lang w:val="fr-CA"/>
        </w:rPr>
      </w:pPr>
    </w:p>
    <w:p w14:paraId="47F5E94F" w14:textId="77777777" w:rsidR="00DA57F1" w:rsidRPr="009B4616" w:rsidRDefault="00DA57F1" w:rsidP="00DA57F1">
      <w:pPr>
        <w:jc w:val="both"/>
        <w:rPr>
          <w:rFonts w:asciiTheme="majorHAnsi" w:hAnsiTheme="majorHAnsi"/>
          <w:lang w:val="fr-CA"/>
        </w:rPr>
      </w:pPr>
    </w:p>
    <w:p w14:paraId="07A47228" w14:textId="4A4AF3D2" w:rsidR="007D1923" w:rsidRPr="009B4616" w:rsidRDefault="003345F7" w:rsidP="004902CF">
      <w:pPr>
        <w:pStyle w:val="Heading2"/>
        <w:rPr>
          <w:lang w:val="fr-CA"/>
        </w:rPr>
      </w:pPr>
      <w:bookmarkStart w:id="7" w:name="_Toc514316686"/>
      <w:r>
        <w:rPr>
          <w:lang w:val="fr-CA"/>
        </w:rPr>
        <w:t>Élargir la portée des bourses canadiennes pour étudiants et les améliorer</w:t>
      </w:r>
      <w:bookmarkEnd w:id="7"/>
      <w:r>
        <w:rPr>
          <w:lang w:val="fr-CA"/>
        </w:rPr>
        <w:t xml:space="preserve"> </w:t>
      </w:r>
    </w:p>
    <w:p w14:paraId="4ABC1F74" w14:textId="77777777" w:rsidR="007D1923" w:rsidRPr="009B4616" w:rsidRDefault="007D1923" w:rsidP="007D1923">
      <w:pPr>
        <w:pStyle w:val="NoSpacing"/>
        <w:jc w:val="both"/>
        <w:rPr>
          <w:rFonts w:asciiTheme="majorHAnsi" w:hAnsiTheme="majorHAnsi"/>
          <w:sz w:val="24"/>
          <w:szCs w:val="24"/>
          <w:lang w:val="fr-CA"/>
        </w:rPr>
      </w:pPr>
    </w:p>
    <w:p w14:paraId="2E0F8473" w14:textId="13A55194" w:rsidR="007D1923" w:rsidRPr="009B4616" w:rsidRDefault="003345F7" w:rsidP="007D1923">
      <w:pPr>
        <w:pStyle w:val="NoSpacing"/>
        <w:jc w:val="both"/>
        <w:rPr>
          <w:rFonts w:asciiTheme="majorHAnsi" w:hAnsiTheme="majorHAnsi"/>
          <w:sz w:val="24"/>
          <w:szCs w:val="24"/>
          <w:lang w:val="fr-CA"/>
        </w:rPr>
      </w:pPr>
      <w:r>
        <w:rPr>
          <w:rFonts w:asciiTheme="majorHAnsi" w:hAnsiTheme="majorHAnsi"/>
          <w:sz w:val="24"/>
          <w:szCs w:val="24"/>
          <w:lang w:val="fr-CA"/>
        </w:rPr>
        <w:t>Même si les bourses canadiennes pour étudiants (BCE) visent à « augmenter les taux de participation et d’achèvement de l’éducation postsecondaire, surtout parmi les groupes sous-représentés »</w:t>
      </w:r>
      <w:r w:rsidR="007D1923" w:rsidRPr="009B4616">
        <w:rPr>
          <w:rStyle w:val="FootnoteReference"/>
          <w:rFonts w:asciiTheme="majorHAnsi" w:hAnsiTheme="majorHAnsi"/>
          <w:sz w:val="24"/>
          <w:szCs w:val="24"/>
          <w:lang w:val="fr-CA"/>
        </w:rPr>
        <w:footnoteReference w:id="14"/>
      </w:r>
      <w:r>
        <w:rPr>
          <w:rFonts w:asciiTheme="majorHAnsi" w:hAnsiTheme="majorHAnsi"/>
          <w:sz w:val="24"/>
          <w:szCs w:val="24"/>
          <w:lang w:val="fr-CA"/>
        </w:rPr>
        <w:t>, l’incidence de ces bourses pourrait être améliorée si l’on en élargissait la portée.</w:t>
      </w:r>
      <w:r w:rsidR="007D1923" w:rsidRPr="009B4616">
        <w:rPr>
          <w:rFonts w:asciiTheme="majorHAnsi" w:hAnsiTheme="majorHAnsi"/>
          <w:sz w:val="24"/>
          <w:szCs w:val="24"/>
          <w:lang w:val="fr-CA"/>
        </w:rPr>
        <w:t xml:space="preserve"> </w:t>
      </w:r>
    </w:p>
    <w:p w14:paraId="24590B6B" w14:textId="77777777" w:rsidR="007D1923" w:rsidRPr="009B4616" w:rsidRDefault="007D1923" w:rsidP="007D1923">
      <w:pPr>
        <w:pStyle w:val="NoSpacing"/>
        <w:jc w:val="both"/>
        <w:rPr>
          <w:rFonts w:asciiTheme="majorHAnsi" w:hAnsiTheme="majorHAnsi"/>
          <w:sz w:val="24"/>
          <w:szCs w:val="24"/>
          <w:lang w:val="fr-CA"/>
        </w:rPr>
      </w:pPr>
    </w:p>
    <w:p w14:paraId="0717C0F8" w14:textId="7C2EC5B7" w:rsidR="007D1923" w:rsidRPr="009B4616" w:rsidRDefault="005277AC" w:rsidP="007D1923">
      <w:pPr>
        <w:pStyle w:val="NoSpacing"/>
        <w:jc w:val="both"/>
        <w:rPr>
          <w:rFonts w:asciiTheme="majorHAnsi" w:hAnsiTheme="majorHAnsi"/>
          <w:sz w:val="24"/>
          <w:szCs w:val="24"/>
          <w:lang w:val="fr-CA"/>
        </w:rPr>
      </w:pPr>
      <w:r>
        <w:rPr>
          <w:rFonts w:asciiTheme="majorHAnsi" w:hAnsiTheme="majorHAnsi"/>
          <w:sz w:val="24"/>
          <w:szCs w:val="24"/>
          <w:lang w:val="fr-CA"/>
        </w:rPr>
        <w:t>Auparavant, les bourses étaient versées par le gouvernement fédéral en fonction de l’évaluation des besoins de l’étudiant; en vertu des BCE, un étudiant est admissible à une bourse en fonction de seuils de revenu progressifs. Cependant, le fait de ne recourir qu’aux seuils de revenus pour déterminer l’admissibilité à une bourse signifie que certains étudiants ayant besoin d’une aide financière ne peuvent pas bénéficier de ce type d’aide non remboursable. Par exemple, un étudiant provenant d’une région où le revenu moyen est élevé, et où le coût de la vie est par conséquent élevé, risque de ne pas obtenir une aide suffisante dans le cadre des BCE.</w:t>
      </w:r>
      <w:r w:rsidR="007D1923" w:rsidRPr="009B4616">
        <w:rPr>
          <w:rFonts w:asciiTheme="majorHAnsi" w:hAnsiTheme="majorHAnsi"/>
          <w:sz w:val="24"/>
          <w:szCs w:val="24"/>
          <w:lang w:val="fr-CA"/>
        </w:rPr>
        <w:t xml:space="preserve"> </w:t>
      </w:r>
    </w:p>
    <w:p w14:paraId="3552AD4E" w14:textId="77777777" w:rsidR="007D1923" w:rsidRPr="009B4616" w:rsidRDefault="007D1923" w:rsidP="007D1923">
      <w:pPr>
        <w:rPr>
          <w:rFonts w:asciiTheme="majorHAnsi" w:hAnsiTheme="majorHAnsi"/>
          <w:lang w:val="fr-CA"/>
        </w:rPr>
      </w:pPr>
    </w:p>
    <w:p w14:paraId="510BF6DF" w14:textId="2CDD1036" w:rsidR="00773072" w:rsidRPr="009B4616" w:rsidRDefault="00493AD7" w:rsidP="007D1923">
      <w:pPr>
        <w:rPr>
          <w:rFonts w:asciiTheme="majorHAnsi" w:hAnsiTheme="majorHAnsi"/>
          <w:lang w:val="fr-CA"/>
        </w:rPr>
      </w:pPr>
      <w:r>
        <w:rPr>
          <w:rFonts w:asciiTheme="majorHAnsi" w:hAnsiTheme="majorHAnsi"/>
          <w:lang w:val="fr-CA"/>
        </w:rPr>
        <w:t>Même si cette approche est pratique pour les administrateurs, l’ACAE s’oppose à l’utilisation des classifications de revenu en tant qu’unique déterminant de l’admissibilité aux BCE. L’ACAE juge que les bourses d’études doivent servir à améliorer l’accès de tous les groupes sous-représentés, en plus des étudiants dont les besoins sont importants, et à éviter l’accumulation de dettes d’études déraisonnables et insurmontables. Le fait de ne miser que sur la classification du revenu écarte de trop nombreux étudiants dont la capacité de poursuivre des études supérieures dépend des bourses.</w:t>
      </w:r>
      <w:r w:rsidR="007D1923" w:rsidRPr="009B4616">
        <w:rPr>
          <w:rFonts w:asciiTheme="majorHAnsi" w:hAnsiTheme="majorHAnsi"/>
          <w:lang w:val="fr-CA"/>
        </w:rPr>
        <w:t xml:space="preserve"> </w:t>
      </w:r>
    </w:p>
    <w:p w14:paraId="5D55117E" w14:textId="77777777" w:rsidR="00773072" w:rsidRPr="009B4616" w:rsidRDefault="00773072" w:rsidP="007D1923">
      <w:pPr>
        <w:rPr>
          <w:rFonts w:asciiTheme="majorHAnsi" w:hAnsiTheme="majorHAnsi"/>
          <w:lang w:val="fr-CA"/>
        </w:rPr>
      </w:pPr>
    </w:p>
    <w:p w14:paraId="3FCF608E" w14:textId="73939B0F" w:rsidR="007D1923" w:rsidRPr="009B4616" w:rsidRDefault="00493AD7" w:rsidP="004441E1">
      <w:pPr>
        <w:pStyle w:val="ListParagraph"/>
        <w:numPr>
          <w:ilvl w:val="0"/>
          <w:numId w:val="28"/>
        </w:numPr>
        <w:rPr>
          <w:rFonts w:asciiTheme="majorHAnsi" w:hAnsiTheme="majorHAnsi"/>
          <w:lang w:val="fr-CA"/>
        </w:rPr>
      </w:pPr>
      <w:r>
        <w:rPr>
          <w:rFonts w:asciiTheme="majorHAnsi" w:hAnsiTheme="majorHAnsi"/>
          <w:lang w:val="fr-CA"/>
        </w:rPr>
        <w:t>L’ACAE recommande également de cibler les groupes sous-représentés et les étudiants dont les besoins financiers sont importants grâce à décaissement plus diversifié des BCE.</w:t>
      </w:r>
      <w:r w:rsidR="007D1923" w:rsidRPr="009B4616">
        <w:rPr>
          <w:rFonts w:asciiTheme="majorHAnsi" w:hAnsiTheme="majorHAnsi"/>
          <w:lang w:val="fr-CA"/>
        </w:rPr>
        <w:t xml:space="preserve"> </w:t>
      </w:r>
    </w:p>
    <w:p w14:paraId="11B7EB8D" w14:textId="77777777" w:rsidR="007D1923" w:rsidRPr="009B4616" w:rsidRDefault="007D1923" w:rsidP="007D1923">
      <w:pPr>
        <w:rPr>
          <w:rFonts w:asciiTheme="majorHAnsi" w:hAnsiTheme="majorHAnsi"/>
          <w:lang w:val="fr-CA"/>
        </w:rPr>
      </w:pPr>
    </w:p>
    <w:p w14:paraId="57D42A08" w14:textId="315E8208" w:rsidR="007D1923" w:rsidRPr="009B4616" w:rsidRDefault="00493AD7" w:rsidP="004441E1">
      <w:pPr>
        <w:pStyle w:val="ListParagraph"/>
        <w:numPr>
          <w:ilvl w:val="0"/>
          <w:numId w:val="28"/>
        </w:numPr>
        <w:rPr>
          <w:rFonts w:asciiTheme="majorHAnsi" w:hAnsiTheme="majorHAnsi"/>
          <w:lang w:val="fr-CA"/>
        </w:rPr>
      </w:pPr>
      <w:r>
        <w:rPr>
          <w:rFonts w:asciiTheme="majorHAnsi" w:hAnsiTheme="majorHAnsi"/>
          <w:lang w:val="fr-CA"/>
        </w:rPr>
        <w:t>L’ACAE croit que les BCE devraient être indexées à la composante « éducation » de l’indice des prix à la consommation (IPC), afin de protéger le pouvoir d’achat des étudiants bénéficiant d’une bourse, et ce, pendant toute leur période d’admissibilité.</w:t>
      </w:r>
    </w:p>
    <w:p w14:paraId="6446B541" w14:textId="77777777" w:rsidR="007D1923" w:rsidRPr="009B4616" w:rsidRDefault="007D1923" w:rsidP="00DA57F1">
      <w:pPr>
        <w:jc w:val="both"/>
        <w:rPr>
          <w:rFonts w:asciiTheme="majorHAnsi" w:hAnsiTheme="majorHAnsi"/>
          <w:lang w:val="fr-CA"/>
        </w:rPr>
      </w:pPr>
    </w:p>
    <w:p w14:paraId="732DD47B" w14:textId="3EB66FC2" w:rsidR="00631189" w:rsidRPr="009B4616" w:rsidRDefault="00965719" w:rsidP="004902CF">
      <w:pPr>
        <w:pStyle w:val="Heading2"/>
        <w:rPr>
          <w:lang w:val="fr-CA"/>
        </w:rPr>
      </w:pPr>
      <w:bookmarkStart w:id="8" w:name="_Toc514316687"/>
      <w:r>
        <w:rPr>
          <w:lang w:val="fr-CA"/>
        </w:rPr>
        <w:t>Créer une bourse</w:t>
      </w:r>
      <w:r w:rsidR="00493AD7">
        <w:rPr>
          <w:lang w:val="fr-CA"/>
        </w:rPr>
        <w:t xml:space="preserve"> pour les étudiants des cycles supérieurs ayant des besoins financiers importants</w:t>
      </w:r>
      <w:bookmarkEnd w:id="8"/>
      <w:r w:rsidR="00493AD7">
        <w:rPr>
          <w:lang w:val="fr-CA"/>
        </w:rPr>
        <w:t xml:space="preserve"> </w:t>
      </w:r>
    </w:p>
    <w:p w14:paraId="403D70CA" w14:textId="77777777" w:rsidR="00631189" w:rsidRPr="009B4616" w:rsidRDefault="00631189" w:rsidP="00631189">
      <w:pPr>
        <w:jc w:val="both"/>
        <w:rPr>
          <w:rFonts w:asciiTheme="majorHAnsi" w:hAnsiTheme="majorHAnsi"/>
          <w:lang w:val="fr-CA"/>
        </w:rPr>
      </w:pPr>
    </w:p>
    <w:p w14:paraId="101CC3D6" w14:textId="44AF217A" w:rsidR="00631189" w:rsidRPr="009B4616" w:rsidRDefault="00965719" w:rsidP="00631189">
      <w:pPr>
        <w:jc w:val="both"/>
        <w:rPr>
          <w:rFonts w:asciiTheme="majorHAnsi" w:hAnsiTheme="majorHAnsi"/>
          <w:lang w:val="fr-CA" w:eastAsia="en-CA"/>
        </w:rPr>
      </w:pPr>
      <w:r>
        <w:rPr>
          <w:rFonts w:asciiTheme="majorHAnsi" w:hAnsiTheme="majorHAnsi"/>
          <w:lang w:val="fr-CA" w:eastAsia="en-CA"/>
        </w:rPr>
        <w:t xml:space="preserve">Le </w:t>
      </w:r>
      <w:r w:rsidR="00694402">
        <w:rPr>
          <w:rFonts w:asciiTheme="majorHAnsi" w:hAnsiTheme="majorHAnsi"/>
          <w:lang w:val="fr-CA" w:eastAsia="en-CA"/>
        </w:rPr>
        <w:t>bien</w:t>
      </w:r>
      <w:r w:rsidR="00694402">
        <w:rPr>
          <w:rFonts w:asciiTheme="majorHAnsi" w:hAnsiTheme="majorHAnsi"/>
          <w:lang w:val="fr-CA" w:eastAsia="en-CA"/>
        </w:rPr>
        <w:noBreakHyphen/>
      </w:r>
      <w:r>
        <w:rPr>
          <w:rFonts w:asciiTheme="majorHAnsi" w:hAnsiTheme="majorHAnsi"/>
          <w:lang w:val="fr-CA" w:eastAsia="en-CA"/>
        </w:rPr>
        <w:t>être économique et social des pays développés est en grande partie relié à leur capacité d’optimiser le capital humain de leurs populations respectives</w:t>
      </w:r>
      <w:r w:rsidR="00631189" w:rsidRPr="009B4616">
        <w:rPr>
          <w:rStyle w:val="FootnoteReference"/>
          <w:rFonts w:asciiTheme="majorHAnsi" w:hAnsiTheme="majorHAnsi"/>
          <w:lang w:val="fr-CA" w:eastAsia="en-CA"/>
        </w:rPr>
        <w:footnoteReference w:id="15"/>
      </w:r>
      <w:r>
        <w:rPr>
          <w:rFonts w:asciiTheme="majorHAnsi" w:hAnsiTheme="majorHAnsi"/>
          <w:lang w:val="fr-CA" w:eastAsia="en-CA"/>
        </w:rPr>
        <w:t xml:space="preserve">. Même si le Canada excelle dans la promotion des études postsecondaires, le taux de diplomation </w:t>
      </w:r>
      <w:r w:rsidR="00694402">
        <w:rPr>
          <w:rFonts w:asciiTheme="majorHAnsi" w:hAnsiTheme="majorHAnsi"/>
          <w:lang w:val="fr-CA" w:eastAsia="en-CA"/>
        </w:rPr>
        <w:t>aux cycles supérieurs est considérablement plus faible ici que dans d’autres pays comparables, comme les États-Unis, l’Allemagne, l’Italie et l’Irlande</w:t>
      </w:r>
      <w:r w:rsidR="00631189" w:rsidRPr="009B4616">
        <w:rPr>
          <w:rFonts w:asciiTheme="majorHAnsi" w:hAnsiTheme="majorHAnsi"/>
          <w:vertAlign w:val="superscript"/>
          <w:lang w:val="fr-CA" w:eastAsia="en-CA"/>
        </w:rPr>
        <w:footnoteReference w:id="16"/>
      </w:r>
      <w:r w:rsidR="00694402">
        <w:rPr>
          <w:rFonts w:asciiTheme="majorHAnsi" w:hAnsiTheme="majorHAnsi"/>
          <w:lang w:val="fr-CA" w:eastAsia="en-CA"/>
        </w:rPr>
        <w:t>.</w:t>
      </w:r>
      <w:r w:rsidR="00631189" w:rsidRPr="009B4616">
        <w:rPr>
          <w:rFonts w:asciiTheme="majorHAnsi" w:hAnsiTheme="majorHAnsi"/>
          <w:lang w:val="fr-CA" w:eastAsia="en-CA"/>
        </w:rPr>
        <w:t xml:space="preserve">  </w:t>
      </w:r>
    </w:p>
    <w:p w14:paraId="3A91A309" w14:textId="77777777" w:rsidR="00631189" w:rsidRPr="009B4616" w:rsidRDefault="00631189" w:rsidP="00631189">
      <w:pPr>
        <w:jc w:val="both"/>
        <w:rPr>
          <w:rFonts w:asciiTheme="majorHAnsi" w:hAnsiTheme="majorHAnsi"/>
          <w:iCs/>
          <w:lang w:val="fr-CA"/>
        </w:rPr>
      </w:pPr>
    </w:p>
    <w:p w14:paraId="00287640" w14:textId="29D05605" w:rsidR="00631189" w:rsidRPr="009B4616" w:rsidRDefault="00694402" w:rsidP="00631189">
      <w:pPr>
        <w:jc w:val="both"/>
        <w:rPr>
          <w:rFonts w:asciiTheme="majorHAnsi" w:hAnsiTheme="majorHAnsi"/>
          <w:lang w:val="fr-CA"/>
        </w:rPr>
      </w:pPr>
      <w:r>
        <w:rPr>
          <w:rFonts w:asciiTheme="majorHAnsi" w:hAnsiTheme="majorHAnsi"/>
          <w:lang w:val="fr-CA"/>
        </w:rPr>
        <w:t xml:space="preserve">Le gouvernement fédéral soutient les étudiants des cycles supérieurs essentiellement par le truchement de programmes de bourses axés sur le mérite. Les bourses versées par le Conseil de recherches en sciences humaines (CRSH), le Conseil de recherches en sciences naturelles et en génie (CRSNG) et les Instituts de recherche en santé du Canada (IRSC) permettent aux étudiants les plus prometteurs aux niveaux de la maîtrise, du doctorat et du </w:t>
      </w:r>
      <w:proofErr w:type="spellStart"/>
      <w:r w:rsidR="00623B40">
        <w:rPr>
          <w:rFonts w:asciiTheme="majorHAnsi" w:hAnsiTheme="majorHAnsi"/>
          <w:lang w:val="fr-CA"/>
        </w:rPr>
        <w:t>postdoctorat</w:t>
      </w:r>
      <w:proofErr w:type="spellEnd"/>
      <w:r>
        <w:rPr>
          <w:rFonts w:asciiTheme="majorHAnsi" w:hAnsiTheme="majorHAnsi"/>
          <w:lang w:val="fr-CA"/>
        </w:rPr>
        <w:t xml:space="preserve"> de bénéficier d’un financement pour poursuivre leur formation. Même s’il s’agit d’une source précieuse, seuls les étudiants qui participent à des programmes de recherche (plutôt que professionnels) sont admissibles à une bourse du CRSH, du CRSNG et des IRSC (collectivement appelés les trois organismes subventionnaires). La nature sélective de ce financement écarte donc un grand nombre d’étudiants des cycles supérieurs</w:t>
      </w:r>
      <w:r w:rsidR="00631189" w:rsidRPr="009B4616">
        <w:rPr>
          <w:rFonts w:asciiTheme="majorHAnsi" w:hAnsiTheme="majorHAnsi"/>
          <w:color w:val="000000" w:themeColor="text1"/>
          <w:lang w:val="fr-CA"/>
        </w:rPr>
        <w:t>.</w:t>
      </w:r>
    </w:p>
    <w:p w14:paraId="2B4D30E5" w14:textId="77777777" w:rsidR="00631189" w:rsidRPr="009B4616" w:rsidRDefault="00631189" w:rsidP="00631189">
      <w:pPr>
        <w:jc w:val="both"/>
        <w:rPr>
          <w:rFonts w:asciiTheme="majorHAnsi" w:hAnsiTheme="majorHAnsi"/>
          <w:lang w:val="fr-CA"/>
        </w:rPr>
      </w:pPr>
    </w:p>
    <w:p w14:paraId="4B598B26" w14:textId="3D718CA8" w:rsidR="00631189" w:rsidRPr="009B4616" w:rsidRDefault="00694402" w:rsidP="00631189">
      <w:pPr>
        <w:jc w:val="both"/>
        <w:rPr>
          <w:rFonts w:asciiTheme="majorHAnsi" w:hAnsiTheme="majorHAnsi"/>
          <w:color w:val="000000" w:themeColor="text1"/>
          <w:lang w:val="fr-CA"/>
        </w:rPr>
      </w:pPr>
      <w:r>
        <w:rPr>
          <w:rFonts w:asciiTheme="majorHAnsi" w:hAnsiTheme="majorHAnsi"/>
          <w:lang w:val="fr-CA"/>
        </w:rPr>
        <w:t>Les frais de scolarité des programmes professionnels et d’études supérieures ont augmenté de façon constante au cours des dernières années</w:t>
      </w:r>
      <w:r w:rsidR="00B97509" w:rsidRPr="009B4616">
        <w:rPr>
          <w:rStyle w:val="FootnoteReference"/>
          <w:rFonts w:asciiTheme="majorHAnsi" w:hAnsiTheme="majorHAnsi"/>
          <w:lang w:val="fr-CA"/>
        </w:rPr>
        <w:footnoteReference w:id="17"/>
      </w:r>
      <w:r>
        <w:rPr>
          <w:rFonts w:asciiTheme="majorHAnsi" w:hAnsiTheme="majorHAnsi"/>
          <w:lang w:val="fr-CA"/>
        </w:rPr>
        <w:t>.</w:t>
      </w:r>
      <w:r w:rsidR="00AD3395">
        <w:rPr>
          <w:rFonts w:asciiTheme="majorHAnsi" w:hAnsiTheme="majorHAnsi"/>
          <w:lang w:val="fr-CA"/>
        </w:rPr>
        <w:t xml:space="preserve"> Les étudiants au premier cycle, qui sont ceux qui devront décider ou non de poursuivre des études supérieures, doivent également assumer un fardeau financier qui s’alourdit sans cesse. Parmi ceux qui ont terminé leurs études avec une dette en 2015, par exemple, les titulaires d’un </w:t>
      </w:r>
      <w:r w:rsidR="00AD3395">
        <w:rPr>
          <w:rFonts w:asciiTheme="majorHAnsi" w:hAnsiTheme="majorHAnsi"/>
          <w:lang w:val="fr-CA"/>
        </w:rPr>
        <w:lastRenderedPageBreak/>
        <w:t xml:space="preserve">baccalauréat avaient accumulé une dette moyenne de plus de </w:t>
      </w:r>
      <w:r w:rsidR="00A26602">
        <w:rPr>
          <w:rFonts w:asciiTheme="majorHAnsi" w:hAnsiTheme="majorHAnsi"/>
          <w:color w:val="000000" w:themeColor="text1"/>
          <w:lang w:val="fr-CA"/>
        </w:rPr>
        <w:t>26 000 </w:t>
      </w:r>
      <w:r w:rsidR="00AD3395">
        <w:rPr>
          <w:rFonts w:asciiTheme="majorHAnsi" w:hAnsiTheme="majorHAnsi"/>
          <w:color w:val="000000" w:themeColor="text1"/>
          <w:lang w:val="fr-CA"/>
        </w:rPr>
        <w:t>$</w:t>
      </w:r>
      <w:r w:rsidR="007253E3" w:rsidRPr="009B4616">
        <w:rPr>
          <w:rStyle w:val="FootnoteReference"/>
          <w:rFonts w:asciiTheme="majorHAnsi" w:hAnsiTheme="majorHAnsi"/>
          <w:color w:val="000000" w:themeColor="text1"/>
          <w:lang w:val="fr-CA"/>
        </w:rPr>
        <w:footnoteReference w:id="18"/>
      </w:r>
      <w:r w:rsidR="00623B40">
        <w:rPr>
          <w:rFonts w:asciiTheme="majorHAnsi" w:hAnsiTheme="majorHAnsi"/>
          <w:color w:val="000000" w:themeColor="text1"/>
          <w:lang w:val="fr-CA"/>
        </w:rPr>
        <w:t xml:space="preserve">. </w:t>
      </w:r>
      <w:r w:rsidR="00AD3395">
        <w:rPr>
          <w:rFonts w:asciiTheme="majorHAnsi" w:hAnsiTheme="majorHAnsi"/>
          <w:color w:val="000000" w:themeColor="text1"/>
          <w:lang w:val="fr-CA"/>
        </w:rPr>
        <w:t>Cette dette limite non seulement la probabilité que ces étudiants poursuivent des études aux cycles supérieurs, mais les données laissent entendre qu’il existe également un lien entre le financement et les taux de diplomation pour ceux qui entament de telles études. Le financement insuffisant des programmes d’études supérieures est lié à un taux d’attrition élevé</w:t>
      </w:r>
      <w:r w:rsidR="001E2A57" w:rsidRPr="009B4616">
        <w:rPr>
          <w:rStyle w:val="FootnoteReference"/>
          <w:rFonts w:asciiTheme="majorHAnsi" w:hAnsiTheme="majorHAnsi"/>
          <w:color w:val="000000" w:themeColor="text1"/>
          <w:lang w:val="fr-CA"/>
        </w:rPr>
        <w:footnoteReference w:id="19"/>
      </w:r>
      <w:r w:rsidR="00AD3395">
        <w:rPr>
          <w:rFonts w:asciiTheme="majorHAnsi" w:hAnsiTheme="majorHAnsi"/>
          <w:color w:val="000000" w:themeColor="text1"/>
          <w:lang w:val="fr-CA"/>
        </w:rPr>
        <w:t>.</w:t>
      </w:r>
      <w:r w:rsidR="00631189" w:rsidRPr="009B4616">
        <w:rPr>
          <w:rFonts w:asciiTheme="majorHAnsi" w:hAnsiTheme="majorHAnsi"/>
          <w:color w:val="000000" w:themeColor="text1"/>
          <w:lang w:val="fr-CA"/>
        </w:rPr>
        <w:t xml:space="preserve"> </w:t>
      </w:r>
    </w:p>
    <w:p w14:paraId="453BFD62" w14:textId="77777777" w:rsidR="00631189" w:rsidRPr="009B4616" w:rsidRDefault="00631189" w:rsidP="00631189">
      <w:pPr>
        <w:jc w:val="both"/>
        <w:rPr>
          <w:rFonts w:asciiTheme="majorHAnsi" w:hAnsiTheme="majorHAnsi"/>
          <w:lang w:val="fr-CA"/>
        </w:rPr>
      </w:pPr>
    </w:p>
    <w:p w14:paraId="52E5E4EF" w14:textId="08A0A1BF" w:rsidR="00631189" w:rsidRPr="009B4616" w:rsidRDefault="00AD3395" w:rsidP="00631189">
      <w:pPr>
        <w:jc w:val="both"/>
        <w:rPr>
          <w:rFonts w:asciiTheme="majorHAnsi" w:hAnsiTheme="majorHAnsi"/>
          <w:strike/>
          <w:color w:val="FF0000"/>
          <w:lang w:val="fr-CA"/>
        </w:rPr>
      </w:pPr>
      <w:r>
        <w:rPr>
          <w:rFonts w:asciiTheme="majorHAnsi" w:hAnsiTheme="majorHAnsi"/>
          <w:lang w:val="fr-CA"/>
        </w:rPr>
        <w:t xml:space="preserve">En 2009, le gouvernement fédéral a introduit les BCE, qui ne sont offertes qu’aux étudiants des collèges et du premier cycle. </w:t>
      </w:r>
      <w:r w:rsidR="00373EA7">
        <w:rPr>
          <w:rFonts w:asciiTheme="majorHAnsi" w:hAnsiTheme="majorHAnsi"/>
          <w:lang w:val="fr-CA"/>
        </w:rPr>
        <w:t>L’ACAE s’inquiète du fait qu’il n’existe aucun programme de bourses national pour aider les étudiants des cycles supérieurs qui ont des besoins financiers élevés. Les données indiquent que la dette constitue un obstacle qui freine la poursuite des études supérieures au Canada, au détriment des perspectives individuelles et des avantages que représente pour la société une population active hautement éduquée. Cette situation est particulièrement préoccupante car elle constitue un frein aux études supérieures pour les étudiants à faible revenu et d’autres groupes sous-représentés.</w:t>
      </w:r>
    </w:p>
    <w:p w14:paraId="273E4D67" w14:textId="77777777" w:rsidR="00E73313" w:rsidRPr="009B4616" w:rsidRDefault="00E73313" w:rsidP="00631189">
      <w:pPr>
        <w:jc w:val="both"/>
        <w:rPr>
          <w:rFonts w:asciiTheme="majorHAnsi" w:hAnsiTheme="majorHAnsi"/>
          <w:lang w:val="fr-CA"/>
        </w:rPr>
      </w:pPr>
    </w:p>
    <w:p w14:paraId="0FA0FE3D" w14:textId="3466DE72" w:rsidR="00773072" w:rsidRPr="009B4616" w:rsidRDefault="00373EA7" w:rsidP="004441E1">
      <w:pPr>
        <w:pStyle w:val="ListParagraph"/>
        <w:numPr>
          <w:ilvl w:val="0"/>
          <w:numId w:val="29"/>
        </w:numPr>
        <w:jc w:val="both"/>
        <w:rPr>
          <w:rFonts w:asciiTheme="majorHAnsi" w:hAnsiTheme="majorHAnsi" w:cs="Times New Roman"/>
          <w:lang w:val="fr-CA"/>
        </w:rPr>
      </w:pPr>
      <w:r>
        <w:rPr>
          <w:rFonts w:asciiTheme="majorHAnsi" w:hAnsiTheme="majorHAnsi" w:cs="Times New Roman"/>
          <w:lang w:val="fr-CA"/>
        </w:rPr>
        <w:t>L’ACAE demande que les fonds des BCE soient également offerts à tous les étudiants des cycles supérieurs admissibles.</w:t>
      </w:r>
      <w:r w:rsidR="0046121D" w:rsidRPr="009B4616">
        <w:rPr>
          <w:rFonts w:asciiTheme="majorHAnsi" w:hAnsiTheme="majorHAnsi" w:cs="Times New Roman"/>
          <w:lang w:val="fr-CA"/>
        </w:rPr>
        <w:t xml:space="preserve"> </w:t>
      </w:r>
    </w:p>
    <w:p w14:paraId="588C7A2B" w14:textId="0E8BAB48" w:rsidR="00631189" w:rsidRPr="009B4616" w:rsidRDefault="00373EA7" w:rsidP="004441E1">
      <w:pPr>
        <w:pStyle w:val="ListParagraph"/>
        <w:numPr>
          <w:ilvl w:val="0"/>
          <w:numId w:val="29"/>
        </w:numPr>
        <w:jc w:val="both"/>
        <w:rPr>
          <w:rFonts w:asciiTheme="majorHAnsi" w:hAnsiTheme="majorHAnsi" w:cs="Times New Roman"/>
          <w:lang w:val="fr-CA"/>
        </w:rPr>
      </w:pPr>
      <w:r>
        <w:rPr>
          <w:rFonts w:asciiTheme="majorHAnsi" w:hAnsiTheme="majorHAnsi" w:cs="Times New Roman"/>
          <w:lang w:val="fr-CA"/>
        </w:rPr>
        <w:t>L’ACAE juge également que les fonds des BCE destinés aux étudiants des cycles supérieurs devraient tenir compte des disparités du coût de la vie entre les communautés d’étude</w:t>
      </w:r>
      <w:r w:rsidR="00631189" w:rsidRPr="009B4616">
        <w:rPr>
          <w:rFonts w:asciiTheme="majorHAnsi" w:hAnsiTheme="majorHAnsi" w:cs="Times New Roman"/>
          <w:lang w:val="fr-CA"/>
        </w:rPr>
        <w:t>.</w:t>
      </w:r>
    </w:p>
    <w:p w14:paraId="3A3A8C86" w14:textId="77777777" w:rsidR="00631189" w:rsidRPr="009B4616" w:rsidRDefault="00631189" w:rsidP="00DA57F1">
      <w:pPr>
        <w:jc w:val="both"/>
        <w:rPr>
          <w:rFonts w:asciiTheme="majorHAnsi" w:hAnsiTheme="majorHAnsi"/>
          <w:lang w:val="fr-CA"/>
        </w:rPr>
      </w:pPr>
    </w:p>
    <w:p w14:paraId="403CB155" w14:textId="387CBFFF" w:rsidR="000E4AD1" w:rsidRPr="009B4616" w:rsidRDefault="00373EA7" w:rsidP="004902CF">
      <w:pPr>
        <w:pStyle w:val="Heading2"/>
        <w:rPr>
          <w:lang w:val="fr-CA"/>
        </w:rPr>
      </w:pPr>
      <w:bookmarkStart w:id="9" w:name="_Toc514316688"/>
      <w:r>
        <w:rPr>
          <w:lang w:val="fr-CA"/>
        </w:rPr>
        <w:t xml:space="preserve">Soutenir les étudiants </w:t>
      </w:r>
      <w:r w:rsidR="00A278C6">
        <w:rPr>
          <w:rFonts w:cs="Times New Roman"/>
          <w:lang w:val="fr-CA"/>
        </w:rPr>
        <w:t>handicapés</w:t>
      </w:r>
      <w:bookmarkEnd w:id="9"/>
      <w:r>
        <w:rPr>
          <w:lang w:val="fr-CA"/>
        </w:rPr>
        <w:t xml:space="preserve"> </w:t>
      </w:r>
    </w:p>
    <w:p w14:paraId="736BE85C" w14:textId="77777777" w:rsidR="000E4AD1" w:rsidRPr="009B4616" w:rsidRDefault="000E4AD1" w:rsidP="00DA57F1">
      <w:pPr>
        <w:jc w:val="both"/>
        <w:rPr>
          <w:rFonts w:asciiTheme="majorHAnsi" w:hAnsiTheme="majorHAnsi"/>
          <w:lang w:val="fr-CA"/>
        </w:rPr>
      </w:pPr>
    </w:p>
    <w:p w14:paraId="18F7DFA3" w14:textId="7089A67B" w:rsidR="004109EE" w:rsidRPr="009B4616" w:rsidRDefault="00373EA7" w:rsidP="00DA57F1">
      <w:pPr>
        <w:jc w:val="both"/>
        <w:rPr>
          <w:rFonts w:asciiTheme="majorHAnsi" w:hAnsiTheme="majorHAnsi"/>
          <w:lang w:val="fr-CA"/>
        </w:rPr>
      </w:pPr>
      <w:r>
        <w:rPr>
          <w:rFonts w:asciiTheme="majorHAnsi" w:hAnsiTheme="majorHAnsi"/>
          <w:lang w:val="fr-CA"/>
        </w:rPr>
        <w:t xml:space="preserve">Les Canadiens handicapés font face à des obstacles particulièrement difficiles à surmonter en ce qui a trait à la poursuite et à l’achèvement d’études postsecondaires. Selon Statistique Canada, « alors que </w:t>
      </w:r>
      <w:r w:rsidR="00A26602">
        <w:rPr>
          <w:rFonts w:asciiTheme="majorHAnsi" w:hAnsiTheme="majorHAnsi"/>
          <w:lang w:val="fr-CA"/>
        </w:rPr>
        <w:t>27 </w:t>
      </w:r>
      <w:r>
        <w:rPr>
          <w:rFonts w:asciiTheme="majorHAnsi" w:hAnsiTheme="majorHAnsi"/>
          <w:lang w:val="fr-CA"/>
        </w:rPr>
        <w:t xml:space="preserve">% des Canadiens de 25 à 64 ans sans incapacité détenaient un grade universitaire au niveau du baccalauréat ou supérieur à celui-ci, la proportion de personnes ayant une incapacité s’établissait à </w:t>
      </w:r>
      <w:r w:rsidR="00A26602">
        <w:rPr>
          <w:rFonts w:asciiTheme="majorHAnsi" w:hAnsiTheme="majorHAnsi"/>
          <w:lang w:val="fr-CA"/>
        </w:rPr>
        <w:t>14 </w:t>
      </w:r>
      <w:r>
        <w:rPr>
          <w:rFonts w:asciiTheme="majorHAnsi" w:hAnsiTheme="majorHAnsi"/>
          <w:lang w:val="fr-CA"/>
        </w:rPr>
        <w:t>% »</w:t>
      </w:r>
      <w:r w:rsidR="008C29AF" w:rsidRPr="009B4616">
        <w:rPr>
          <w:rStyle w:val="FootnoteReference"/>
          <w:rFonts w:asciiTheme="majorHAnsi" w:hAnsiTheme="majorHAnsi"/>
          <w:lang w:val="fr-CA"/>
        </w:rPr>
        <w:footnoteReference w:id="20"/>
      </w:r>
      <w:r w:rsidR="00443D89">
        <w:rPr>
          <w:rFonts w:asciiTheme="majorHAnsi" w:hAnsiTheme="majorHAnsi"/>
          <w:lang w:val="fr-CA"/>
        </w:rPr>
        <w:t>.</w:t>
      </w:r>
      <w:r w:rsidR="00DE6AE0" w:rsidRPr="009B4616">
        <w:rPr>
          <w:rFonts w:asciiTheme="majorHAnsi" w:hAnsiTheme="majorHAnsi"/>
          <w:lang w:val="fr-CA"/>
        </w:rPr>
        <w:t xml:space="preserve"> </w:t>
      </w:r>
      <w:r w:rsidR="00443D89">
        <w:rPr>
          <w:rFonts w:asciiTheme="majorHAnsi" w:hAnsiTheme="majorHAnsi"/>
          <w:lang w:val="fr-CA"/>
        </w:rPr>
        <w:t xml:space="preserve">Les obstacles aux EP peuvent avoir des répercussions durables sur les possibilités de carrière et la </w:t>
      </w:r>
      <w:r w:rsidR="00443D89">
        <w:rPr>
          <w:rFonts w:asciiTheme="majorHAnsi" w:hAnsiTheme="majorHAnsi"/>
          <w:lang w:val="fr-CA"/>
        </w:rPr>
        <w:lastRenderedPageBreak/>
        <w:t>rémunération</w:t>
      </w:r>
      <w:r w:rsidR="00CD59BE" w:rsidRPr="009B4616">
        <w:rPr>
          <w:rStyle w:val="FootnoteReference"/>
          <w:rFonts w:asciiTheme="majorHAnsi" w:hAnsiTheme="majorHAnsi"/>
          <w:lang w:val="fr-CA"/>
        </w:rPr>
        <w:footnoteReference w:id="21"/>
      </w:r>
      <w:r w:rsidR="00443D89">
        <w:rPr>
          <w:rFonts w:asciiTheme="majorHAnsi" w:hAnsiTheme="majorHAnsi"/>
          <w:lang w:val="fr-CA"/>
        </w:rPr>
        <w:t>. Les données qui montrent que « les personnes ayant une incapacité qui possédaient un haut niveau de scolarité étaient beaucoup plus susceptibles d’avoir un emploi que celles qui avaient fait des études moins avancées »</w:t>
      </w:r>
      <w:r w:rsidR="00CD59BE" w:rsidRPr="009B4616">
        <w:rPr>
          <w:rStyle w:val="FootnoteReference"/>
          <w:rFonts w:asciiTheme="majorHAnsi" w:hAnsiTheme="majorHAnsi"/>
          <w:lang w:val="fr-CA"/>
        </w:rPr>
        <w:footnoteReference w:id="22"/>
      </w:r>
      <w:r w:rsidR="00443D89">
        <w:rPr>
          <w:rFonts w:asciiTheme="majorHAnsi" w:hAnsiTheme="majorHAnsi"/>
          <w:lang w:val="fr-CA"/>
        </w:rPr>
        <w:t xml:space="preserve"> soulignent l’importance de l’accès aux EP. </w:t>
      </w:r>
    </w:p>
    <w:p w14:paraId="7B673E44" w14:textId="77777777" w:rsidR="006E34D2" w:rsidRPr="009B4616" w:rsidRDefault="006E34D2" w:rsidP="00DA57F1">
      <w:pPr>
        <w:jc w:val="both"/>
        <w:rPr>
          <w:rFonts w:asciiTheme="majorHAnsi" w:hAnsiTheme="majorHAnsi"/>
          <w:lang w:val="fr-CA"/>
        </w:rPr>
      </w:pPr>
    </w:p>
    <w:p w14:paraId="795D0A3C" w14:textId="253141FE" w:rsidR="006E34D2" w:rsidRPr="009B4616" w:rsidRDefault="00653442" w:rsidP="00DA57F1">
      <w:pPr>
        <w:jc w:val="both"/>
        <w:rPr>
          <w:rFonts w:asciiTheme="majorHAnsi" w:hAnsiTheme="majorHAnsi"/>
          <w:lang w:val="fr-CA"/>
        </w:rPr>
      </w:pPr>
      <w:r>
        <w:rPr>
          <w:rFonts w:asciiTheme="majorHAnsi" w:hAnsiTheme="majorHAnsi"/>
          <w:lang w:val="fr-CA"/>
        </w:rPr>
        <w:t>On a observé certaines améliorations au cours des dernières années. Les étudiants handicapés sont plus nombreux que jamais à poursuivre des études postsecondaires</w:t>
      </w:r>
      <w:r w:rsidR="00EB75E7" w:rsidRPr="009B4616">
        <w:rPr>
          <w:rStyle w:val="FootnoteReference"/>
          <w:rFonts w:asciiTheme="majorHAnsi" w:hAnsiTheme="majorHAnsi"/>
          <w:lang w:val="fr-CA"/>
        </w:rPr>
        <w:footnoteReference w:id="23"/>
      </w:r>
      <w:r w:rsidR="00031359" w:rsidRPr="009B4616">
        <w:rPr>
          <w:rFonts w:asciiTheme="majorHAnsi" w:hAnsiTheme="majorHAnsi"/>
          <w:lang w:val="fr-CA"/>
        </w:rPr>
        <w:t xml:space="preserve"> </w:t>
      </w:r>
      <w:r>
        <w:rPr>
          <w:rFonts w:asciiTheme="majorHAnsi" w:hAnsiTheme="majorHAnsi"/>
          <w:lang w:val="fr-CA"/>
        </w:rPr>
        <w:t>et Statistique Canada a constaté en 2012 que les Canadiens avec ou sans incapacités obtiennent des diplômes de niveau collégial à peu près dans les mêmes proportions</w:t>
      </w:r>
      <w:r w:rsidR="008A29B3" w:rsidRPr="009B4616">
        <w:rPr>
          <w:rStyle w:val="FootnoteReference"/>
          <w:rFonts w:asciiTheme="majorHAnsi" w:hAnsiTheme="majorHAnsi"/>
          <w:lang w:val="fr-CA"/>
        </w:rPr>
        <w:footnoteReference w:id="24"/>
      </w:r>
      <w:r w:rsidR="00623B40">
        <w:rPr>
          <w:rFonts w:asciiTheme="majorHAnsi" w:hAnsiTheme="majorHAnsi"/>
          <w:lang w:val="fr-CA"/>
        </w:rPr>
        <w:t xml:space="preserve">. </w:t>
      </w:r>
      <w:r>
        <w:rPr>
          <w:rFonts w:asciiTheme="majorHAnsi" w:hAnsiTheme="majorHAnsi"/>
          <w:lang w:val="fr-CA"/>
        </w:rPr>
        <w:t xml:space="preserve">Le nombre de bourses pour étudiants ayant une incapacité permanente versées en </w:t>
      </w:r>
      <w:r w:rsidR="004120B3" w:rsidRPr="009B4616">
        <w:rPr>
          <w:rFonts w:asciiTheme="majorHAnsi" w:hAnsiTheme="majorHAnsi"/>
          <w:lang w:val="fr-CA"/>
        </w:rPr>
        <w:t xml:space="preserve">2014-2015 </w:t>
      </w:r>
      <w:r>
        <w:rPr>
          <w:rFonts w:asciiTheme="majorHAnsi" w:hAnsiTheme="majorHAnsi"/>
          <w:lang w:val="fr-CA"/>
        </w:rPr>
        <w:t xml:space="preserve">a augmenté de </w:t>
      </w:r>
      <w:r w:rsidR="00A26602">
        <w:rPr>
          <w:rFonts w:asciiTheme="majorHAnsi" w:hAnsiTheme="majorHAnsi"/>
          <w:lang w:val="fr-CA"/>
        </w:rPr>
        <w:t>8,1 </w:t>
      </w:r>
      <w:r w:rsidR="0048331B" w:rsidRPr="009B4616">
        <w:rPr>
          <w:rFonts w:asciiTheme="majorHAnsi" w:hAnsiTheme="majorHAnsi"/>
          <w:lang w:val="fr-CA"/>
        </w:rPr>
        <w:t xml:space="preserve">% </w:t>
      </w:r>
      <w:r>
        <w:rPr>
          <w:rFonts w:asciiTheme="majorHAnsi" w:hAnsiTheme="majorHAnsi"/>
          <w:lang w:val="fr-CA"/>
        </w:rPr>
        <w:t xml:space="preserve">par rapport à l’année précédente, ce qui </w:t>
      </w:r>
      <w:r w:rsidR="007316AB">
        <w:rPr>
          <w:rFonts w:asciiTheme="majorHAnsi" w:hAnsiTheme="majorHAnsi"/>
          <w:lang w:val="fr-CA"/>
        </w:rPr>
        <w:t>laisse entendre que les étudiants sont mieux informés des options de financement des EP et y ont davantage accès</w:t>
      </w:r>
      <w:r w:rsidR="004120B3" w:rsidRPr="009B4616">
        <w:rPr>
          <w:rStyle w:val="FootnoteReference"/>
          <w:rFonts w:asciiTheme="majorHAnsi" w:hAnsiTheme="majorHAnsi"/>
          <w:lang w:val="fr-CA"/>
        </w:rPr>
        <w:footnoteReference w:id="25"/>
      </w:r>
      <w:r w:rsidR="007316AB">
        <w:rPr>
          <w:rFonts w:asciiTheme="majorHAnsi" w:hAnsiTheme="majorHAnsi"/>
          <w:lang w:val="fr-CA"/>
        </w:rPr>
        <w:t>.</w:t>
      </w:r>
      <w:r w:rsidR="004120B3" w:rsidRPr="009B4616">
        <w:rPr>
          <w:rFonts w:asciiTheme="majorHAnsi" w:hAnsiTheme="majorHAnsi"/>
          <w:lang w:val="fr-CA"/>
        </w:rPr>
        <w:t xml:space="preserve"> </w:t>
      </w:r>
    </w:p>
    <w:p w14:paraId="1C58CEA9" w14:textId="77777777" w:rsidR="00A179A9" w:rsidRPr="009B4616" w:rsidRDefault="00A179A9" w:rsidP="00DA57F1">
      <w:pPr>
        <w:jc w:val="both"/>
        <w:rPr>
          <w:rFonts w:asciiTheme="majorHAnsi" w:hAnsiTheme="majorHAnsi"/>
          <w:lang w:val="fr-CA"/>
        </w:rPr>
      </w:pPr>
    </w:p>
    <w:p w14:paraId="2842CC98" w14:textId="74EE927B" w:rsidR="00591634" w:rsidRPr="009B4616" w:rsidRDefault="007316AB" w:rsidP="00DA57F1">
      <w:pPr>
        <w:jc w:val="both"/>
        <w:rPr>
          <w:rFonts w:asciiTheme="majorHAnsi" w:hAnsiTheme="majorHAnsi"/>
          <w:lang w:val="fr-CA"/>
        </w:rPr>
      </w:pPr>
      <w:r>
        <w:rPr>
          <w:rFonts w:asciiTheme="majorHAnsi" w:hAnsiTheme="majorHAnsi"/>
          <w:lang w:val="fr-CA"/>
        </w:rPr>
        <w:t>Même si ces tendances sont encourageantes, il n’en reste pas moins que la poursuite d’études postsecondaires s’accompagne de pressions financières importantes et uniques pour les étudiants handicapés. Les EP sont souvent plus coûteuses pour les étudiants handicapés, pour diverses raisons, incluant le coût des accommodements, équipements et services requis, la nécessité d’étaler leur formation sur une plus longue période</w:t>
      </w:r>
      <w:r w:rsidR="00591634" w:rsidRPr="009B4616">
        <w:rPr>
          <w:rStyle w:val="FootnoteReference"/>
          <w:rFonts w:asciiTheme="majorHAnsi" w:hAnsiTheme="majorHAnsi"/>
          <w:lang w:val="fr-CA"/>
        </w:rPr>
        <w:footnoteReference w:id="26"/>
      </w:r>
      <w:r>
        <w:rPr>
          <w:rFonts w:asciiTheme="majorHAnsi" w:hAnsiTheme="majorHAnsi"/>
          <w:lang w:val="fr-CA"/>
        </w:rPr>
        <w:t xml:space="preserve"> et les obstacles au travail à temps partiel. Selon Statistique Canada, 30 % des étudiants handicapés ont révélé qu’il leur fallait plus de temps pour terminer leur niveau </w:t>
      </w:r>
      <w:r>
        <w:rPr>
          <w:rFonts w:asciiTheme="majorHAnsi" w:hAnsiTheme="majorHAnsi"/>
          <w:lang w:val="fr-CA"/>
        </w:rPr>
        <w:lastRenderedPageBreak/>
        <w:t>de formation</w:t>
      </w:r>
      <w:r w:rsidR="007022C1" w:rsidRPr="009B4616">
        <w:rPr>
          <w:rStyle w:val="FootnoteReference"/>
          <w:rFonts w:asciiTheme="majorHAnsi" w:hAnsiTheme="majorHAnsi"/>
          <w:lang w:val="fr-CA"/>
        </w:rPr>
        <w:footnoteReference w:id="27"/>
      </w:r>
      <w:r>
        <w:rPr>
          <w:rFonts w:asciiTheme="majorHAnsi" w:hAnsiTheme="majorHAnsi"/>
          <w:lang w:val="fr-CA"/>
        </w:rPr>
        <w:t xml:space="preserve">. Un rapport du Sénat souligne que 16 % des étudiants handicapés ont quitté l’école avant de terminer leur formation, alors que près d’un tiers de ces étudiants ont réduit leur nombre de cours. En outre, le rapport indique </w:t>
      </w:r>
      <w:r w:rsidR="00623B40">
        <w:rPr>
          <w:rFonts w:asciiTheme="majorHAnsi" w:hAnsiTheme="majorHAnsi"/>
          <w:lang w:val="fr-CA"/>
        </w:rPr>
        <w:t xml:space="preserve">que </w:t>
      </w:r>
      <w:r>
        <w:rPr>
          <w:rFonts w:asciiTheme="majorHAnsi" w:hAnsiTheme="majorHAnsi"/>
          <w:lang w:val="fr-CA"/>
        </w:rPr>
        <w:t>« </w:t>
      </w:r>
      <w:r w:rsidR="00A26602">
        <w:rPr>
          <w:rFonts w:asciiTheme="majorHAnsi" w:hAnsiTheme="majorHAnsi"/>
          <w:lang w:val="fr-CA"/>
        </w:rPr>
        <w:t>19,7 </w:t>
      </w:r>
      <w:r>
        <w:rPr>
          <w:rFonts w:asciiTheme="majorHAnsi" w:hAnsiTheme="majorHAnsi"/>
          <w:lang w:val="fr-CA"/>
        </w:rPr>
        <w:t>% des jeunes handicapés âgés de 15 à 24 ans ont dû s’absenter de l’école pendant une longue période à cause de leur incapacité »</w:t>
      </w:r>
      <w:r w:rsidR="00A179A9" w:rsidRPr="009B4616">
        <w:rPr>
          <w:rStyle w:val="FootnoteReference"/>
          <w:rFonts w:asciiTheme="majorHAnsi" w:hAnsiTheme="majorHAnsi"/>
          <w:lang w:val="fr-CA"/>
        </w:rPr>
        <w:footnoteReference w:id="28"/>
      </w:r>
      <w:r>
        <w:rPr>
          <w:rFonts w:asciiTheme="majorHAnsi" w:hAnsiTheme="majorHAnsi"/>
          <w:lang w:val="fr-CA"/>
        </w:rPr>
        <w:t>.</w:t>
      </w:r>
      <w:r w:rsidR="00A179A9" w:rsidRPr="009B4616">
        <w:rPr>
          <w:rFonts w:asciiTheme="majorHAnsi" w:hAnsiTheme="majorHAnsi"/>
          <w:lang w:val="fr-CA"/>
        </w:rPr>
        <w:t xml:space="preserve"> </w:t>
      </w:r>
      <w:r>
        <w:rPr>
          <w:rFonts w:asciiTheme="majorHAnsi" w:hAnsiTheme="majorHAnsi"/>
          <w:lang w:val="fr-CA"/>
        </w:rPr>
        <w:t xml:space="preserve">Ces facteurs contribuent à un taux de diplomation global plus faible et à des coûts plus élevés. </w:t>
      </w:r>
    </w:p>
    <w:p w14:paraId="5F7976B3" w14:textId="77777777" w:rsidR="00591634" w:rsidRPr="009B4616" w:rsidRDefault="00591634" w:rsidP="00DA57F1">
      <w:pPr>
        <w:jc w:val="both"/>
        <w:rPr>
          <w:rFonts w:asciiTheme="majorHAnsi" w:hAnsiTheme="majorHAnsi"/>
          <w:lang w:val="fr-CA"/>
        </w:rPr>
      </w:pPr>
    </w:p>
    <w:p w14:paraId="1A9177DD" w14:textId="1A7BA13A" w:rsidR="00A179A9" w:rsidRPr="009B4616" w:rsidRDefault="00E426A1" w:rsidP="00DA57F1">
      <w:pPr>
        <w:jc w:val="both"/>
        <w:rPr>
          <w:rFonts w:asciiTheme="majorHAnsi" w:hAnsiTheme="majorHAnsi"/>
          <w:lang w:val="fr-CA"/>
        </w:rPr>
      </w:pPr>
      <w:r>
        <w:rPr>
          <w:rFonts w:asciiTheme="majorHAnsi" w:hAnsiTheme="majorHAnsi"/>
          <w:lang w:val="fr-CA"/>
        </w:rPr>
        <w:t xml:space="preserve">Pour remédier à ces problèmes, le PCPE offre la bourse pour étudiants ayant une incapacité, directe et non remboursable, d’une valeur de </w:t>
      </w:r>
      <w:r w:rsidR="00A26602">
        <w:rPr>
          <w:rFonts w:asciiTheme="majorHAnsi" w:hAnsiTheme="majorHAnsi"/>
          <w:lang w:val="fr-CA"/>
        </w:rPr>
        <w:t>2 000 </w:t>
      </w:r>
      <w:r>
        <w:rPr>
          <w:rFonts w:asciiTheme="majorHAnsi" w:hAnsiTheme="majorHAnsi"/>
          <w:lang w:val="fr-CA"/>
        </w:rPr>
        <w:t>$ par année. Même s’il s’agit d’une importante source de financement, la valeur de cette bourse n’a pas augmenté depuis son introduction, en 2009, contrairement à d’autres options de la BCE, dont la valeur a augmenté et les seuils d’admissibilité ont été élargis dans les budgets fédéraux de 2016 et 2017.</w:t>
      </w:r>
      <w:r w:rsidR="004231F2" w:rsidRPr="009B4616">
        <w:rPr>
          <w:rFonts w:asciiTheme="majorHAnsi" w:hAnsiTheme="majorHAnsi"/>
          <w:lang w:val="fr-CA"/>
        </w:rPr>
        <w:t xml:space="preserve"> </w:t>
      </w:r>
    </w:p>
    <w:p w14:paraId="7C319629" w14:textId="77777777" w:rsidR="00591634" w:rsidRPr="009B4616" w:rsidRDefault="00591634" w:rsidP="00DA57F1">
      <w:pPr>
        <w:jc w:val="both"/>
        <w:rPr>
          <w:rFonts w:asciiTheme="majorHAnsi" w:hAnsiTheme="majorHAnsi"/>
          <w:lang w:val="fr-CA"/>
        </w:rPr>
      </w:pPr>
    </w:p>
    <w:p w14:paraId="254574E8" w14:textId="4F23643A" w:rsidR="003703A1" w:rsidRPr="009B4616" w:rsidRDefault="00E426A1" w:rsidP="0066577B">
      <w:pPr>
        <w:jc w:val="both"/>
        <w:rPr>
          <w:rFonts w:asciiTheme="majorHAnsi" w:hAnsiTheme="majorHAnsi"/>
          <w:lang w:val="fr-CA"/>
        </w:rPr>
      </w:pPr>
      <w:r>
        <w:rPr>
          <w:rFonts w:asciiTheme="majorHAnsi" w:hAnsiTheme="majorHAnsi"/>
          <w:lang w:val="fr-CA"/>
        </w:rPr>
        <w:t xml:space="preserve">La définition « d’incapacité permanente » fournie dans le PCPE présente un défi additionnel pour de nombreux étudiants. Le programme précise qu’il s’agit </w:t>
      </w:r>
      <w:r w:rsidR="003E4A82">
        <w:rPr>
          <w:rFonts w:asciiTheme="majorHAnsi" w:hAnsiTheme="majorHAnsi"/>
          <w:lang w:val="fr-CA"/>
        </w:rPr>
        <w:t>« </w:t>
      </w:r>
      <w:r>
        <w:rPr>
          <w:rFonts w:asciiTheme="majorHAnsi" w:hAnsiTheme="majorHAnsi"/>
          <w:lang w:val="fr-CA"/>
        </w:rPr>
        <w:t>d’une limitation fonctionnelle causée par un état d’incapacité physique ou mentale qui réduit la capacité d’une personne de mener les activités quotidiennes nécessaires pour participer à des études de niveau postsecondaire ou au marché du travail et dont la durée prévue est la durée de vie probable de celle-ci</w:t>
      </w:r>
      <w:r w:rsidR="003E4A82">
        <w:rPr>
          <w:rFonts w:asciiTheme="majorHAnsi" w:hAnsiTheme="majorHAnsi"/>
          <w:lang w:val="fr-CA"/>
        </w:rPr>
        <w:t> </w:t>
      </w:r>
      <w:r>
        <w:rPr>
          <w:rFonts w:asciiTheme="majorHAnsi" w:hAnsiTheme="majorHAnsi"/>
          <w:lang w:val="fr-CA"/>
        </w:rPr>
        <w:t>»</w:t>
      </w:r>
      <w:r w:rsidR="003703A1" w:rsidRPr="009B4616">
        <w:rPr>
          <w:rStyle w:val="FootnoteReference"/>
          <w:rFonts w:asciiTheme="majorHAnsi" w:hAnsiTheme="majorHAnsi"/>
          <w:lang w:val="fr-CA"/>
        </w:rPr>
        <w:footnoteReference w:id="29"/>
      </w:r>
      <w:r>
        <w:rPr>
          <w:rFonts w:asciiTheme="majorHAnsi" w:hAnsiTheme="majorHAnsi"/>
          <w:lang w:val="fr-CA"/>
        </w:rPr>
        <w:t>.</w:t>
      </w:r>
      <w:r w:rsidR="00680A13" w:rsidRPr="009B4616">
        <w:rPr>
          <w:rFonts w:asciiTheme="majorHAnsi" w:hAnsiTheme="majorHAnsi"/>
          <w:lang w:val="fr-CA"/>
        </w:rPr>
        <w:t xml:space="preserve"> </w:t>
      </w:r>
      <w:r w:rsidR="003E4A82">
        <w:rPr>
          <w:rFonts w:asciiTheme="majorHAnsi" w:hAnsiTheme="majorHAnsi"/>
          <w:lang w:val="fr-CA"/>
        </w:rPr>
        <w:t xml:space="preserve">Cette définition est importante car elle détermine l’admissibilité à la BCE pour les étudiants ayant une incapacité permanente ainsi qu’à la Bourse servant à l’achat d’équipement et de services, qui prévoit jusqu’à </w:t>
      </w:r>
      <w:r w:rsidR="00A26602">
        <w:rPr>
          <w:rFonts w:asciiTheme="majorHAnsi" w:hAnsiTheme="majorHAnsi"/>
          <w:lang w:val="fr-CA"/>
        </w:rPr>
        <w:t>8 000 </w:t>
      </w:r>
      <w:r w:rsidR="003E4A82">
        <w:rPr>
          <w:rFonts w:asciiTheme="majorHAnsi" w:hAnsiTheme="majorHAnsi"/>
          <w:lang w:val="fr-CA"/>
        </w:rPr>
        <w:t>$ pour l’achat des équipements et services nécessaires à la poursuite d’études postsecondaires. Malheureusement, cette définition impose un seuil très élevé qui est restrictif et difficile à atteindre pour de nombreux étudiants, particulièrement ceux dont l’incapacité est épisodique ou ceux qui souffrent de problèmes de santé mentale.</w:t>
      </w:r>
      <w:r w:rsidR="00680A13" w:rsidRPr="009B4616">
        <w:rPr>
          <w:rFonts w:asciiTheme="majorHAnsi" w:hAnsiTheme="majorHAnsi"/>
          <w:lang w:val="fr-CA"/>
        </w:rPr>
        <w:t xml:space="preserve"> </w:t>
      </w:r>
    </w:p>
    <w:p w14:paraId="4290C5D7" w14:textId="77777777" w:rsidR="00680A13" w:rsidRPr="009B4616" w:rsidRDefault="00680A13" w:rsidP="00DA57F1">
      <w:pPr>
        <w:jc w:val="both"/>
        <w:rPr>
          <w:rFonts w:asciiTheme="majorHAnsi" w:hAnsiTheme="majorHAnsi"/>
          <w:lang w:val="fr-CA"/>
        </w:rPr>
      </w:pPr>
    </w:p>
    <w:p w14:paraId="541409DA" w14:textId="2B97C441" w:rsidR="00680A13" w:rsidRPr="009B4616" w:rsidRDefault="003E4A82" w:rsidP="00DA57F1">
      <w:pPr>
        <w:jc w:val="both"/>
        <w:rPr>
          <w:rFonts w:asciiTheme="majorHAnsi" w:hAnsiTheme="majorHAnsi"/>
          <w:lang w:val="fr-CA"/>
        </w:rPr>
      </w:pPr>
      <w:r>
        <w:rPr>
          <w:rFonts w:asciiTheme="majorHAnsi" w:hAnsiTheme="majorHAnsi"/>
          <w:lang w:val="fr-CA"/>
        </w:rPr>
        <w:t xml:space="preserve">En opposition à la définition du PCPE, l’Association nationale des étudiant-e-s handicapé-e-s au niveau postsecondaire </w:t>
      </w:r>
      <w:r w:rsidR="00680A13" w:rsidRPr="009B4616">
        <w:rPr>
          <w:rFonts w:asciiTheme="majorHAnsi" w:hAnsiTheme="majorHAnsi"/>
          <w:lang w:val="fr-CA"/>
        </w:rPr>
        <w:t xml:space="preserve">(NEADS) </w:t>
      </w:r>
      <w:r>
        <w:rPr>
          <w:rFonts w:asciiTheme="majorHAnsi" w:hAnsiTheme="majorHAnsi"/>
          <w:lang w:val="fr-CA"/>
        </w:rPr>
        <w:t xml:space="preserve">recommande aux fournisseurs de services aux personnes handicapées d’utiliser une définition </w:t>
      </w:r>
      <w:r w:rsidR="00041CB1">
        <w:rPr>
          <w:rFonts w:asciiTheme="majorHAnsi" w:hAnsiTheme="majorHAnsi"/>
          <w:lang w:val="fr-CA"/>
        </w:rPr>
        <w:t xml:space="preserve">plus souple </w:t>
      </w:r>
      <w:r>
        <w:rPr>
          <w:rFonts w:asciiTheme="majorHAnsi" w:hAnsiTheme="majorHAnsi"/>
          <w:lang w:val="fr-CA"/>
        </w:rPr>
        <w:t xml:space="preserve">de l’invalidité et explique que « les questions relatives à la condition des personnes handicapées sont complexes. Elles comportent souvent de multiples facettes et il faut les aborder avec souplesse et créativité pour trouver des mesures d’adaptation efficaces. De plus, une solution efficace pour une personne peut ne pas convenir à une autre. </w:t>
      </w:r>
      <w:r w:rsidR="00CF45AF">
        <w:rPr>
          <w:rFonts w:asciiTheme="majorHAnsi" w:hAnsiTheme="majorHAnsi"/>
          <w:lang w:val="fr-CA"/>
        </w:rPr>
        <w:t xml:space="preserve">Faire preuve de </w:t>
      </w:r>
      <w:r w:rsidR="00CF45AF">
        <w:rPr>
          <w:rFonts w:asciiTheme="majorHAnsi" w:hAnsiTheme="majorHAnsi"/>
          <w:lang w:val="fr-CA"/>
        </w:rPr>
        <w:lastRenderedPageBreak/>
        <w:t>souplesse, c’est être capable de suivre les lignes directrices tout en prenant en considération la situation et les particularités de chaque personne. » Les auteurs recommandent également « d’éviter de définir l’incapacité de façon rigide et de limiter l’application des politiques aux personnes qui souffrent d’une incapacité permanente puisque certaines incapacités – comme les aff</w:t>
      </w:r>
      <w:r w:rsidR="00041CB1">
        <w:rPr>
          <w:rFonts w:asciiTheme="majorHAnsi" w:hAnsiTheme="majorHAnsi"/>
          <w:lang w:val="fr-CA"/>
        </w:rPr>
        <w:t>e</w:t>
      </w:r>
      <w:r w:rsidR="00CF45AF">
        <w:rPr>
          <w:rFonts w:asciiTheme="majorHAnsi" w:hAnsiTheme="majorHAnsi"/>
          <w:lang w:val="fr-CA"/>
        </w:rPr>
        <w:t>ctions chroniques ou les maladies mentales – sont épisodiques. Même si elles ne se manifestent pas en permanence, certaines incapacités peuvent tout de même exiger des mesures d’adaptation »</w:t>
      </w:r>
      <w:r w:rsidR="00D73BC8" w:rsidRPr="009B4616">
        <w:rPr>
          <w:rStyle w:val="FootnoteReference"/>
          <w:rFonts w:asciiTheme="majorHAnsi" w:hAnsiTheme="majorHAnsi"/>
          <w:lang w:val="fr-CA"/>
        </w:rPr>
        <w:footnoteReference w:id="30"/>
      </w:r>
      <w:r w:rsidR="00CF45AF">
        <w:rPr>
          <w:rFonts w:asciiTheme="majorHAnsi" w:hAnsiTheme="majorHAnsi"/>
          <w:lang w:val="fr-CA"/>
        </w:rPr>
        <w:t>.</w:t>
      </w:r>
      <w:r w:rsidR="00712290" w:rsidRPr="009B4616">
        <w:rPr>
          <w:rFonts w:asciiTheme="majorHAnsi" w:hAnsiTheme="majorHAnsi"/>
          <w:lang w:val="fr-CA"/>
        </w:rPr>
        <w:t xml:space="preserve"> </w:t>
      </w:r>
      <w:r w:rsidR="00CF45AF">
        <w:rPr>
          <w:rFonts w:asciiTheme="majorHAnsi" w:hAnsiTheme="majorHAnsi"/>
          <w:lang w:val="fr-CA"/>
        </w:rPr>
        <w:t xml:space="preserve">Une révision de la définition du PCPE aiderait à répondre aux besoins d’un plus grand nombre d’étudiants qui </w:t>
      </w:r>
      <w:r w:rsidR="00041CB1">
        <w:rPr>
          <w:rFonts w:asciiTheme="majorHAnsi" w:hAnsiTheme="majorHAnsi"/>
          <w:lang w:val="fr-CA"/>
        </w:rPr>
        <w:t xml:space="preserve">doivent surmonter des obstacles financiers aux EP liés à un handicap ou un problème de santé mentale. </w:t>
      </w:r>
    </w:p>
    <w:p w14:paraId="6EE4ADA2" w14:textId="77777777" w:rsidR="00680A13" w:rsidRPr="009B4616" w:rsidRDefault="00680A13" w:rsidP="00DA57F1">
      <w:pPr>
        <w:jc w:val="both"/>
        <w:rPr>
          <w:rFonts w:asciiTheme="majorHAnsi" w:hAnsiTheme="majorHAnsi"/>
          <w:lang w:val="fr-CA"/>
        </w:rPr>
      </w:pPr>
    </w:p>
    <w:p w14:paraId="2137C55F" w14:textId="7F02AE77" w:rsidR="003703A1" w:rsidRPr="009B4616" w:rsidRDefault="00041CB1" w:rsidP="00DA57F1">
      <w:pPr>
        <w:jc w:val="both"/>
        <w:rPr>
          <w:rFonts w:asciiTheme="majorHAnsi" w:hAnsiTheme="majorHAnsi"/>
          <w:lang w:val="fr-CA"/>
        </w:rPr>
      </w:pPr>
      <w:r>
        <w:rPr>
          <w:rFonts w:asciiTheme="majorHAnsi" w:hAnsiTheme="majorHAnsi"/>
          <w:lang w:val="fr-CA"/>
        </w:rPr>
        <w:t xml:space="preserve">Enfin, notons l’absence d’options de congés pour motifs médicaux prévus pour les étudiants qui ont recours à l’aide financière du PCPE. Cette option aiderait de nombreux étudiants, et tout particulièrement les étudiants handicapés et ceux qui souffrent de problèmes de santé mentale et doivent interrompre temporairement leurs études. Dans le cadre des règles actuelles, un étudiant détenant des prêts qui cesse ses études a droit à une période de </w:t>
      </w:r>
      <w:r w:rsidR="00623B40">
        <w:rPr>
          <w:rFonts w:asciiTheme="majorHAnsi" w:hAnsiTheme="majorHAnsi"/>
          <w:lang w:val="fr-CA"/>
        </w:rPr>
        <w:t>non-remboursement</w:t>
      </w:r>
      <w:r>
        <w:rPr>
          <w:rFonts w:asciiTheme="majorHAnsi" w:hAnsiTheme="majorHAnsi"/>
          <w:lang w:val="fr-CA"/>
        </w:rPr>
        <w:t xml:space="preserve"> de six mois, pendant laquelle il n’est pas tenu de rembourser ses prêts; par contre, les intérêts continuent de s’accumuler. Après cette période de six mois, les remboursements reprennent. Le gouvernement offre le Programme d’aide au remboursement (PAR) pour venir en aide aux étudiants dont le revenu est inférieur à </w:t>
      </w:r>
      <w:r w:rsidR="00A26602">
        <w:rPr>
          <w:rFonts w:asciiTheme="majorHAnsi" w:hAnsiTheme="majorHAnsi"/>
          <w:lang w:val="fr-CA"/>
        </w:rPr>
        <w:t>25 000 </w:t>
      </w:r>
      <w:r>
        <w:rPr>
          <w:rFonts w:asciiTheme="majorHAnsi" w:hAnsiTheme="majorHAnsi"/>
          <w:lang w:val="fr-CA"/>
        </w:rPr>
        <w:t xml:space="preserve">$; en outre, le PAR propose des options particulières aux étudiants handicapés. Cependant, le programme n’est pas conçu pour répondre aux besoins des étudiants qui </w:t>
      </w:r>
      <w:r w:rsidR="002829E8">
        <w:rPr>
          <w:rFonts w:asciiTheme="majorHAnsi" w:hAnsiTheme="majorHAnsi"/>
          <w:lang w:val="fr-CA"/>
        </w:rPr>
        <w:t>interrompent leurs études pendant un an ou deux pour des raisons de santé, mais qui ont pleinement l’intention de les terminer.</w:t>
      </w:r>
    </w:p>
    <w:p w14:paraId="210E248C" w14:textId="77777777" w:rsidR="00A179A9" w:rsidRPr="009B4616" w:rsidRDefault="00A179A9" w:rsidP="00DA57F1">
      <w:pPr>
        <w:jc w:val="both"/>
        <w:rPr>
          <w:rFonts w:asciiTheme="majorHAnsi" w:hAnsiTheme="majorHAnsi"/>
          <w:lang w:val="fr-CA"/>
        </w:rPr>
      </w:pPr>
    </w:p>
    <w:p w14:paraId="366CCC7C" w14:textId="73054E3B" w:rsidR="00773072" w:rsidRPr="009B4616" w:rsidRDefault="00953E5F" w:rsidP="00DA57F1">
      <w:pPr>
        <w:jc w:val="both"/>
        <w:rPr>
          <w:rFonts w:asciiTheme="majorHAnsi" w:hAnsiTheme="majorHAnsi"/>
          <w:lang w:val="fr-CA"/>
        </w:rPr>
      </w:pPr>
      <w:r>
        <w:rPr>
          <w:rFonts w:asciiTheme="majorHAnsi" w:hAnsiTheme="majorHAnsi"/>
          <w:lang w:val="fr-CA"/>
        </w:rPr>
        <w:t>Pour éliminer les obstacles financiers aux EP des étudiants handicapés, l’ACAE recommande ce qui suit </w:t>
      </w:r>
      <w:r w:rsidR="00773072" w:rsidRPr="009B4616">
        <w:rPr>
          <w:rFonts w:asciiTheme="majorHAnsi" w:hAnsiTheme="majorHAnsi"/>
          <w:lang w:val="fr-CA"/>
        </w:rPr>
        <w:t>:</w:t>
      </w:r>
      <w:r w:rsidR="008C67EE" w:rsidRPr="009B4616">
        <w:rPr>
          <w:rFonts w:asciiTheme="majorHAnsi" w:hAnsiTheme="majorHAnsi"/>
          <w:lang w:val="fr-CA"/>
        </w:rPr>
        <w:t xml:space="preserve"> </w:t>
      </w:r>
    </w:p>
    <w:p w14:paraId="5C8F20A9" w14:textId="77777777" w:rsidR="00773072" w:rsidRPr="009B4616" w:rsidRDefault="00773072" w:rsidP="004441E1">
      <w:pPr>
        <w:pStyle w:val="ListParagraph"/>
        <w:jc w:val="both"/>
        <w:rPr>
          <w:rFonts w:asciiTheme="majorHAnsi" w:hAnsiTheme="majorHAnsi" w:cs="Times New Roman"/>
          <w:lang w:val="fr-CA"/>
        </w:rPr>
      </w:pPr>
    </w:p>
    <w:p w14:paraId="3A02CA72" w14:textId="4F6C4AC7" w:rsidR="00A179A9" w:rsidRPr="009B4616" w:rsidRDefault="00953E5F" w:rsidP="004441E1">
      <w:pPr>
        <w:pStyle w:val="ListParagraph"/>
        <w:numPr>
          <w:ilvl w:val="0"/>
          <w:numId w:val="30"/>
        </w:numPr>
        <w:jc w:val="both"/>
        <w:rPr>
          <w:rFonts w:asciiTheme="majorHAnsi" w:hAnsiTheme="majorHAnsi" w:cs="Times New Roman"/>
          <w:lang w:val="fr-CA"/>
        </w:rPr>
      </w:pPr>
      <w:r>
        <w:rPr>
          <w:rFonts w:asciiTheme="majorHAnsi" w:hAnsiTheme="majorHAnsi" w:cs="Times New Roman"/>
          <w:lang w:val="fr-CA"/>
        </w:rPr>
        <w:t xml:space="preserve">Le gouvernement fédéral devrait augmenter la valeur de la Bourse pour étudiants ayant une incapacité permanente de </w:t>
      </w:r>
      <w:r w:rsidR="00A26602">
        <w:rPr>
          <w:rFonts w:asciiTheme="majorHAnsi" w:hAnsiTheme="majorHAnsi" w:cs="Times New Roman"/>
          <w:lang w:val="fr-CA"/>
        </w:rPr>
        <w:t>50 </w:t>
      </w:r>
      <w:r>
        <w:rPr>
          <w:rFonts w:asciiTheme="majorHAnsi" w:hAnsiTheme="majorHAnsi" w:cs="Times New Roman"/>
          <w:lang w:val="fr-CA"/>
        </w:rPr>
        <w:t>%, conformément aux récents changements apportés à la BCE, et relier la valeur future de la bourse à l’indice des prix à la consommation.</w:t>
      </w:r>
      <w:r w:rsidR="008C67EE" w:rsidRPr="009B4616">
        <w:rPr>
          <w:rFonts w:asciiTheme="majorHAnsi" w:hAnsiTheme="majorHAnsi" w:cs="Times New Roman"/>
          <w:lang w:val="fr-CA"/>
        </w:rPr>
        <w:t xml:space="preserve"> </w:t>
      </w:r>
    </w:p>
    <w:p w14:paraId="498976FF" w14:textId="77777777" w:rsidR="008C67EE" w:rsidRPr="009B4616" w:rsidRDefault="008C67EE" w:rsidP="00DA57F1">
      <w:pPr>
        <w:jc w:val="both"/>
        <w:rPr>
          <w:rFonts w:asciiTheme="majorHAnsi" w:hAnsiTheme="majorHAnsi"/>
          <w:lang w:val="fr-CA"/>
        </w:rPr>
      </w:pPr>
    </w:p>
    <w:p w14:paraId="52B32007" w14:textId="3676B34B" w:rsidR="008C67EE" w:rsidRPr="009B4616" w:rsidRDefault="00953E5F" w:rsidP="004441E1">
      <w:pPr>
        <w:pStyle w:val="ListParagraph"/>
        <w:numPr>
          <w:ilvl w:val="0"/>
          <w:numId w:val="30"/>
        </w:numPr>
        <w:jc w:val="both"/>
        <w:rPr>
          <w:rFonts w:asciiTheme="majorHAnsi" w:hAnsiTheme="majorHAnsi" w:cs="Times New Roman"/>
          <w:lang w:val="fr-CA"/>
        </w:rPr>
      </w:pPr>
      <w:r>
        <w:rPr>
          <w:rFonts w:asciiTheme="majorHAnsi" w:hAnsiTheme="majorHAnsi" w:cs="Times New Roman"/>
          <w:lang w:val="fr-CA"/>
        </w:rPr>
        <w:t>Le PCPE devrait revoir sa définition « d’incapacité permanente », en consultation avec les intervenants, pour s’assurer qu’elle répond mieux aux besoins variés des étudiants, incluant les étudiants handicapés, ceux qui souffrent de maladie chronique ou de conditions épisodiques, et ceux qui ont des problèmes de santé mentale.</w:t>
      </w:r>
      <w:r w:rsidR="00A06109" w:rsidRPr="009B4616">
        <w:rPr>
          <w:rFonts w:asciiTheme="majorHAnsi" w:hAnsiTheme="majorHAnsi" w:cs="Times New Roman"/>
          <w:lang w:val="fr-CA"/>
        </w:rPr>
        <w:t xml:space="preserve"> </w:t>
      </w:r>
    </w:p>
    <w:p w14:paraId="2E6B2042" w14:textId="77777777" w:rsidR="00773072" w:rsidRPr="009B4616" w:rsidRDefault="00773072" w:rsidP="004441E1">
      <w:pPr>
        <w:jc w:val="both"/>
        <w:rPr>
          <w:rFonts w:asciiTheme="majorHAnsi" w:hAnsiTheme="majorHAnsi"/>
          <w:lang w:val="fr-CA"/>
        </w:rPr>
      </w:pPr>
    </w:p>
    <w:p w14:paraId="78BE0FA5" w14:textId="7FBC6BCB" w:rsidR="00773072" w:rsidRPr="009B4616" w:rsidRDefault="00953E5F" w:rsidP="004441E1">
      <w:pPr>
        <w:pStyle w:val="ListParagraph"/>
        <w:numPr>
          <w:ilvl w:val="0"/>
          <w:numId w:val="30"/>
        </w:numPr>
        <w:jc w:val="both"/>
        <w:rPr>
          <w:rFonts w:asciiTheme="majorHAnsi" w:hAnsiTheme="majorHAnsi" w:cs="Times New Roman"/>
          <w:lang w:val="fr-CA"/>
        </w:rPr>
      </w:pPr>
      <w:r>
        <w:rPr>
          <w:rFonts w:asciiTheme="majorHAnsi" w:hAnsiTheme="majorHAnsi" w:cs="Times New Roman"/>
          <w:lang w:val="fr-CA"/>
        </w:rPr>
        <w:lastRenderedPageBreak/>
        <w:t>Le PCPE devrait offrir une option de congé pour motifs médicaux d’au moins deux ans, permettant ainsi aux emprunteurs d’interrompre temporairement leurs études pour des raisons de santé, sans remboursement de prêts et sans cumul d’intérêts. Ce congé ne devrait pas être pris en compte dans l’établissement des limites d’aide pour toute la durée de vie.</w:t>
      </w:r>
    </w:p>
    <w:p w14:paraId="0DBE1380" w14:textId="77777777" w:rsidR="000E4AD1" w:rsidRPr="009B4616" w:rsidRDefault="000E4AD1" w:rsidP="00DA57F1">
      <w:pPr>
        <w:jc w:val="both"/>
        <w:rPr>
          <w:rFonts w:asciiTheme="majorHAnsi" w:hAnsiTheme="majorHAnsi"/>
          <w:lang w:val="fr-CA"/>
        </w:rPr>
      </w:pPr>
    </w:p>
    <w:p w14:paraId="349A8328" w14:textId="77777777" w:rsidR="004544E8" w:rsidRPr="009B4616" w:rsidRDefault="004544E8" w:rsidP="003D1C23">
      <w:pPr>
        <w:rPr>
          <w:rFonts w:asciiTheme="majorHAnsi" w:hAnsiTheme="majorHAnsi"/>
          <w:b/>
          <w:lang w:val="fr-CA"/>
        </w:rPr>
      </w:pPr>
    </w:p>
    <w:p w14:paraId="26A67285" w14:textId="77777777" w:rsidR="004544E8" w:rsidRPr="009B4616" w:rsidRDefault="004544E8" w:rsidP="003D1C23">
      <w:pPr>
        <w:rPr>
          <w:rFonts w:asciiTheme="majorHAnsi" w:hAnsiTheme="majorHAnsi"/>
          <w:b/>
          <w:lang w:val="fr-CA"/>
        </w:rPr>
      </w:pPr>
    </w:p>
    <w:p w14:paraId="5A841BC0" w14:textId="77777777" w:rsidR="004544E8" w:rsidRPr="009B4616" w:rsidRDefault="004544E8" w:rsidP="003D1C23">
      <w:pPr>
        <w:rPr>
          <w:rFonts w:asciiTheme="majorHAnsi" w:hAnsiTheme="majorHAnsi"/>
          <w:b/>
          <w:lang w:val="fr-CA"/>
        </w:rPr>
      </w:pPr>
    </w:p>
    <w:p w14:paraId="192980E0" w14:textId="77777777" w:rsidR="004544E8" w:rsidRPr="009B4616" w:rsidRDefault="004544E8" w:rsidP="003D1C23">
      <w:pPr>
        <w:rPr>
          <w:rFonts w:asciiTheme="majorHAnsi" w:hAnsiTheme="majorHAnsi"/>
          <w:b/>
          <w:lang w:val="fr-CA"/>
        </w:rPr>
      </w:pPr>
    </w:p>
    <w:p w14:paraId="16F20DE3" w14:textId="47335B7C" w:rsidR="003D1C23" w:rsidRPr="009B4616" w:rsidRDefault="00953E5F" w:rsidP="004902CF">
      <w:pPr>
        <w:pStyle w:val="Heading2"/>
        <w:rPr>
          <w:lang w:val="fr-CA"/>
        </w:rPr>
      </w:pPr>
      <w:bookmarkStart w:id="10" w:name="_Toc514316689"/>
      <w:r>
        <w:rPr>
          <w:lang w:val="fr-CA"/>
        </w:rPr>
        <w:t>S’assurer que les prêts du PCPE augmentent en fonction des besoins des étudiants</w:t>
      </w:r>
      <w:bookmarkEnd w:id="10"/>
      <w:r>
        <w:rPr>
          <w:lang w:val="fr-CA"/>
        </w:rPr>
        <w:t xml:space="preserve"> </w:t>
      </w:r>
    </w:p>
    <w:p w14:paraId="5F0B8CAA" w14:textId="77777777" w:rsidR="003D1C23" w:rsidRPr="009B4616" w:rsidRDefault="003D1C23" w:rsidP="003D1C23">
      <w:pPr>
        <w:rPr>
          <w:rFonts w:asciiTheme="majorHAnsi" w:hAnsiTheme="majorHAnsi"/>
          <w:lang w:val="fr-CA"/>
        </w:rPr>
      </w:pPr>
    </w:p>
    <w:p w14:paraId="59202F5F" w14:textId="52947987" w:rsidR="003D1C23" w:rsidRPr="009B4616" w:rsidRDefault="00953E5F" w:rsidP="003D1C23">
      <w:pPr>
        <w:jc w:val="both"/>
        <w:rPr>
          <w:rFonts w:asciiTheme="majorHAnsi" w:hAnsiTheme="majorHAnsi"/>
          <w:lang w:val="fr-CA" w:eastAsia="en-CA"/>
        </w:rPr>
      </w:pPr>
      <w:r>
        <w:rPr>
          <w:rFonts w:asciiTheme="majorHAnsi" w:hAnsiTheme="majorHAnsi"/>
          <w:lang w:val="fr-CA" w:eastAsia="en-CA"/>
        </w:rPr>
        <w:t>Même si les dettes excessives constituent un problème grave, des prêts abordables peuvent être un mécanisme de soutien essentiel pour les étudiants qui poursuivent des études supérieures. Ces prêts doivent être suffisants pour couvrir les coûts d’une formation postsecondaire.</w:t>
      </w:r>
    </w:p>
    <w:p w14:paraId="42C632A4" w14:textId="77777777" w:rsidR="003D1C23" w:rsidRPr="009B4616" w:rsidRDefault="003D1C23" w:rsidP="003D1C23">
      <w:pPr>
        <w:jc w:val="both"/>
        <w:rPr>
          <w:rFonts w:asciiTheme="majorHAnsi" w:hAnsiTheme="majorHAnsi"/>
          <w:lang w:val="fr-CA" w:eastAsia="en-CA"/>
        </w:rPr>
      </w:pPr>
    </w:p>
    <w:p w14:paraId="4891A355" w14:textId="54D393BD" w:rsidR="003D1C23" w:rsidRPr="009B4616" w:rsidRDefault="00953E5F" w:rsidP="003D1C23">
      <w:pPr>
        <w:jc w:val="both"/>
        <w:rPr>
          <w:rFonts w:asciiTheme="majorHAnsi" w:hAnsiTheme="majorHAnsi"/>
          <w:lang w:val="fr-CA"/>
        </w:rPr>
      </w:pPr>
      <w:r>
        <w:rPr>
          <w:rFonts w:asciiTheme="majorHAnsi" w:hAnsiTheme="majorHAnsi"/>
          <w:lang w:val="fr-CA"/>
        </w:rPr>
        <w:t>La limite de prêt hebdomadaire du PCPE n’a pas augmenté depuis le budget fédéral de 2004</w:t>
      </w:r>
      <w:r w:rsidR="003D1C23" w:rsidRPr="009B4616">
        <w:rPr>
          <w:rStyle w:val="FootnoteReference"/>
          <w:rFonts w:asciiTheme="majorHAnsi" w:hAnsiTheme="majorHAnsi"/>
          <w:lang w:val="fr-CA"/>
        </w:rPr>
        <w:footnoteReference w:id="31"/>
      </w:r>
      <w:r>
        <w:rPr>
          <w:rFonts w:asciiTheme="majorHAnsi" w:hAnsiTheme="majorHAnsi"/>
          <w:lang w:val="fr-CA"/>
        </w:rPr>
        <w:t>.</w:t>
      </w:r>
      <w:r w:rsidR="003D1C23" w:rsidRPr="009B4616">
        <w:rPr>
          <w:rFonts w:asciiTheme="majorHAnsi" w:hAnsiTheme="majorHAnsi"/>
          <w:lang w:val="fr-CA"/>
        </w:rPr>
        <w:t xml:space="preserve"> </w:t>
      </w:r>
      <w:r w:rsidR="00342345">
        <w:rPr>
          <w:rFonts w:asciiTheme="majorHAnsi" w:hAnsiTheme="majorHAnsi"/>
          <w:lang w:val="fr-CA"/>
        </w:rPr>
        <w:t xml:space="preserve">Au cours de la même période, le coût des frais de scolarité et des frais obligatoires, ainsi que le coût de la vie, ont tous augmenté. Par conséquent, </w:t>
      </w:r>
      <w:r w:rsidR="00A26602">
        <w:rPr>
          <w:rFonts w:asciiTheme="majorHAnsi" w:hAnsiTheme="majorHAnsi"/>
          <w:lang w:val="fr-CA"/>
        </w:rPr>
        <w:t>31 </w:t>
      </w:r>
      <w:r w:rsidR="00342345">
        <w:rPr>
          <w:rFonts w:asciiTheme="majorHAnsi" w:hAnsiTheme="majorHAnsi"/>
          <w:lang w:val="fr-CA"/>
        </w:rPr>
        <w:t>% des étudiants canadiens ont atteint leur limite de prêt, ce qui signifie qu’ils ont des besoins financiers qui sont supérieurs au financement dont ils peuvent se prévaloir</w:t>
      </w:r>
      <w:r w:rsidR="003D1C23" w:rsidRPr="009B4616">
        <w:rPr>
          <w:rStyle w:val="FootnoteReference"/>
          <w:rFonts w:asciiTheme="majorHAnsi" w:hAnsiTheme="majorHAnsi"/>
          <w:lang w:val="fr-CA" w:eastAsia="en-CA"/>
        </w:rPr>
        <w:footnoteReference w:id="32"/>
      </w:r>
      <w:r w:rsidR="00342345">
        <w:rPr>
          <w:rFonts w:asciiTheme="majorHAnsi" w:hAnsiTheme="majorHAnsi"/>
          <w:lang w:val="fr-CA"/>
        </w:rPr>
        <w:t>.</w:t>
      </w:r>
    </w:p>
    <w:p w14:paraId="1633C0FC" w14:textId="77777777" w:rsidR="003D1C23" w:rsidRPr="009B4616" w:rsidRDefault="003D1C23" w:rsidP="003D1C23">
      <w:pPr>
        <w:jc w:val="both"/>
        <w:rPr>
          <w:rFonts w:asciiTheme="majorHAnsi" w:hAnsiTheme="majorHAnsi"/>
          <w:lang w:val="fr-CA"/>
        </w:rPr>
      </w:pPr>
    </w:p>
    <w:p w14:paraId="5A7F3380" w14:textId="04C42140" w:rsidR="003D1C23" w:rsidRPr="009B4616" w:rsidRDefault="00342345" w:rsidP="003D1C23">
      <w:pPr>
        <w:jc w:val="both"/>
        <w:rPr>
          <w:rFonts w:asciiTheme="majorHAnsi" w:hAnsiTheme="majorHAnsi"/>
          <w:lang w:val="fr-CA" w:eastAsia="en-CA"/>
        </w:rPr>
      </w:pPr>
      <w:r>
        <w:rPr>
          <w:rFonts w:asciiTheme="majorHAnsi" w:hAnsiTheme="majorHAnsi"/>
          <w:lang w:val="fr-CA" w:eastAsia="en-CA"/>
        </w:rPr>
        <w:t>Pour compenser ce manque à gagner, les étudiants sont confrontés à des choix déchirants. Ils peuvent entre autres se tourner vers des prêts privés, dont le taux d’intérêt est élevé et les conditions de remboursement très rigides. Ils peuvent également se tourner vers leur famille, qui sacrifie souvent sa propre stabilité financière pour couvrir le coût des études des enfants</w:t>
      </w:r>
      <w:r w:rsidR="003D1C23" w:rsidRPr="009B4616">
        <w:rPr>
          <w:rStyle w:val="FootnoteReference"/>
          <w:rFonts w:asciiTheme="majorHAnsi" w:hAnsiTheme="majorHAnsi"/>
          <w:lang w:val="fr-CA" w:eastAsia="en-CA"/>
        </w:rPr>
        <w:footnoteReference w:id="33"/>
      </w:r>
      <w:r>
        <w:rPr>
          <w:rFonts w:asciiTheme="majorHAnsi" w:hAnsiTheme="majorHAnsi"/>
          <w:lang w:val="fr-CA" w:eastAsia="en-CA"/>
        </w:rPr>
        <w:t>.</w:t>
      </w:r>
      <w:r w:rsidR="003D1C23" w:rsidRPr="009B4616">
        <w:rPr>
          <w:rFonts w:asciiTheme="majorHAnsi" w:hAnsiTheme="majorHAnsi"/>
          <w:lang w:val="fr-CA" w:eastAsia="en-CA"/>
        </w:rPr>
        <w:t xml:space="preserve"> </w:t>
      </w:r>
      <w:r>
        <w:rPr>
          <w:rFonts w:asciiTheme="majorHAnsi" w:hAnsiTheme="majorHAnsi"/>
          <w:lang w:val="fr-CA" w:eastAsia="en-CA"/>
        </w:rPr>
        <w:t>Le coût élevé de l’éducation ne concerne pas que les étudiants, il se répercute aussi sur les familles canadiennes.</w:t>
      </w:r>
      <w:r w:rsidR="003D1C23" w:rsidRPr="009B4616">
        <w:rPr>
          <w:rFonts w:asciiTheme="majorHAnsi" w:hAnsiTheme="majorHAnsi"/>
          <w:lang w:val="fr-CA" w:eastAsia="en-CA"/>
        </w:rPr>
        <w:t xml:space="preserve"> </w:t>
      </w:r>
    </w:p>
    <w:p w14:paraId="5CE798EE" w14:textId="77777777" w:rsidR="003D1C23" w:rsidRPr="009B4616" w:rsidRDefault="003D1C23" w:rsidP="003D1C23">
      <w:pPr>
        <w:jc w:val="both"/>
        <w:rPr>
          <w:rFonts w:asciiTheme="majorHAnsi" w:hAnsiTheme="majorHAnsi"/>
          <w:lang w:val="fr-CA" w:eastAsia="en-CA"/>
        </w:rPr>
      </w:pPr>
    </w:p>
    <w:p w14:paraId="3BE2BDB9" w14:textId="47C1C1A0" w:rsidR="003D1C23" w:rsidRPr="009B4616" w:rsidRDefault="00FD4D63" w:rsidP="003D1C23">
      <w:pPr>
        <w:jc w:val="both"/>
        <w:rPr>
          <w:rFonts w:asciiTheme="majorHAnsi" w:hAnsiTheme="majorHAnsi"/>
          <w:lang w:val="fr-CA" w:eastAsia="en-CA"/>
        </w:rPr>
      </w:pPr>
      <w:r>
        <w:rPr>
          <w:rFonts w:asciiTheme="majorHAnsi" w:hAnsiTheme="majorHAnsi"/>
          <w:lang w:val="fr-CA"/>
        </w:rPr>
        <w:t>L’augmentation de la limite de prêt hebdomadaire donnerait à près d’un demi-million d’étudiants de partout au pays</w:t>
      </w:r>
      <w:r w:rsidR="003D1C23" w:rsidRPr="009B4616">
        <w:rPr>
          <w:rStyle w:val="FootnoteReference"/>
          <w:rFonts w:asciiTheme="majorHAnsi" w:hAnsiTheme="majorHAnsi"/>
          <w:lang w:val="fr-CA"/>
        </w:rPr>
        <w:footnoteReference w:id="34"/>
      </w:r>
      <w:r w:rsidR="003D1C23" w:rsidRPr="009B4616">
        <w:rPr>
          <w:rFonts w:asciiTheme="majorHAnsi" w:hAnsiTheme="majorHAnsi"/>
          <w:lang w:val="fr-CA"/>
        </w:rPr>
        <w:t xml:space="preserve"> </w:t>
      </w:r>
      <w:r>
        <w:rPr>
          <w:rFonts w:asciiTheme="majorHAnsi" w:hAnsiTheme="majorHAnsi"/>
          <w:lang w:val="fr-CA"/>
        </w:rPr>
        <w:t xml:space="preserve">un accès aux fonds dont ils ont besoin pour poursuivre </w:t>
      </w:r>
      <w:r>
        <w:rPr>
          <w:rFonts w:asciiTheme="majorHAnsi" w:hAnsiTheme="majorHAnsi"/>
          <w:lang w:val="fr-CA"/>
        </w:rPr>
        <w:lastRenderedPageBreak/>
        <w:t xml:space="preserve">leurs études et leur formation. L’ACAE s’oppose à l’augmentation des frais de scolarité à un taux supérieur à l’inflation en invoquant le fait que ces hausses seraient insoutenables, mais une amélioration de l’accès à une aide financière abordable est essentielle pour permettre aux étudiants de suivre la hausse du coût de la vie et des frais de scolarité attribuable à l’inflation. </w:t>
      </w:r>
    </w:p>
    <w:p w14:paraId="04954531" w14:textId="77777777" w:rsidR="003D1C23" w:rsidRPr="009B4616" w:rsidRDefault="003D1C23" w:rsidP="003D1C23">
      <w:pPr>
        <w:jc w:val="both"/>
        <w:rPr>
          <w:rFonts w:asciiTheme="majorHAnsi" w:hAnsiTheme="majorHAnsi"/>
          <w:lang w:val="fr-CA" w:eastAsia="en-CA"/>
        </w:rPr>
      </w:pPr>
    </w:p>
    <w:p w14:paraId="78FF7E5C" w14:textId="30C8A1D6" w:rsidR="003F56B5" w:rsidRPr="009B4616" w:rsidRDefault="00FD4D63" w:rsidP="004441E1">
      <w:pPr>
        <w:pStyle w:val="ListParagraph"/>
        <w:numPr>
          <w:ilvl w:val="0"/>
          <w:numId w:val="31"/>
        </w:numPr>
        <w:jc w:val="both"/>
        <w:rPr>
          <w:rFonts w:asciiTheme="majorHAnsi" w:hAnsiTheme="majorHAnsi" w:cs="Times New Roman"/>
          <w:lang w:val="fr-CA" w:eastAsia="en-CA"/>
        </w:rPr>
      </w:pPr>
      <w:r>
        <w:rPr>
          <w:rFonts w:asciiTheme="majorHAnsi" w:hAnsiTheme="majorHAnsi" w:cs="Times New Roman"/>
          <w:lang w:val="fr-CA" w:eastAsia="en-CA"/>
        </w:rPr>
        <w:t>L’ACAE recommande au gouvernement fédéral d’ajuster la portion fédérale de la limite de prêt hebdomadaire en fonction des besoins réels des étudiants et des coûts de leur formation.</w:t>
      </w:r>
      <w:r w:rsidR="003D1C23" w:rsidRPr="009B4616">
        <w:rPr>
          <w:rFonts w:asciiTheme="majorHAnsi" w:hAnsiTheme="majorHAnsi" w:cs="Times New Roman"/>
          <w:lang w:val="fr-CA" w:eastAsia="en-CA"/>
        </w:rPr>
        <w:t xml:space="preserve"> </w:t>
      </w:r>
    </w:p>
    <w:p w14:paraId="0D08A4E6" w14:textId="77777777" w:rsidR="003F56B5" w:rsidRPr="009B4616" w:rsidRDefault="003F56B5" w:rsidP="004441E1">
      <w:pPr>
        <w:pStyle w:val="ListParagraph"/>
        <w:jc w:val="both"/>
        <w:rPr>
          <w:rFonts w:asciiTheme="majorHAnsi" w:hAnsiTheme="majorHAnsi" w:cs="Times New Roman"/>
          <w:lang w:val="fr-CA" w:eastAsia="en-CA"/>
        </w:rPr>
      </w:pPr>
    </w:p>
    <w:p w14:paraId="6D8C1A40" w14:textId="7D96A70B" w:rsidR="003D1C23" w:rsidRPr="009B4616" w:rsidRDefault="00FD4D63" w:rsidP="004441E1">
      <w:pPr>
        <w:pStyle w:val="ListParagraph"/>
        <w:numPr>
          <w:ilvl w:val="0"/>
          <w:numId w:val="31"/>
        </w:numPr>
        <w:jc w:val="both"/>
        <w:rPr>
          <w:rFonts w:asciiTheme="majorHAnsi" w:hAnsiTheme="majorHAnsi" w:cs="Times New Roman"/>
          <w:lang w:val="fr-CA" w:eastAsia="en-CA"/>
        </w:rPr>
      </w:pPr>
      <w:r>
        <w:rPr>
          <w:rFonts w:asciiTheme="majorHAnsi" w:hAnsiTheme="majorHAnsi" w:cs="Times New Roman"/>
          <w:lang w:val="fr-CA" w:eastAsia="en-CA"/>
        </w:rPr>
        <w:t>L’ACAE recommande également au gouvernement fédéral d’indexer la limite de prêt à la composante « éducation » de l’indice des prix à la consommation, afin de maintenir l’efficacité de ses prêts au fil du temps.</w:t>
      </w:r>
      <w:r w:rsidR="003D1C23" w:rsidRPr="009B4616">
        <w:rPr>
          <w:rFonts w:asciiTheme="majorHAnsi" w:hAnsiTheme="majorHAnsi" w:cs="Times New Roman"/>
          <w:lang w:val="fr-CA" w:eastAsia="en-CA"/>
        </w:rPr>
        <w:t xml:space="preserve"> </w:t>
      </w:r>
    </w:p>
    <w:p w14:paraId="32D804F5" w14:textId="77777777" w:rsidR="003D1C23" w:rsidRPr="009B4616" w:rsidRDefault="003D1C23" w:rsidP="003D1C23">
      <w:pPr>
        <w:jc w:val="both"/>
        <w:rPr>
          <w:rFonts w:asciiTheme="majorHAnsi" w:hAnsiTheme="majorHAnsi"/>
          <w:lang w:val="fr-CA" w:eastAsia="en-CA"/>
        </w:rPr>
      </w:pPr>
    </w:p>
    <w:p w14:paraId="49737275" w14:textId="77777777" w:rsidR="00FE2CAE" w:rsidRPr="009B4616" w:rsidRDefault="00FE2CAE" w:rsidP="003D1C23">
      <w:pPr>
        <w:jc w:val="both"/>
        <w:rPr>
          <w:rFonts w:asciiTheme="majorHAnsi" w:hAnsiTheme="majorHAnsi"/>
          <w:lang w:val="fr-CA" w:eastAsia="en-CA"/>
        </w:rPr>
      </w:pPr>
    </w:p>
    <w:p w14:paraId="6CFABEA1" w14:textId="77777777" w:rsidR="00FE2CAE" w:rsidRPr="009B4616" w:rsidRDefault="00FE2CAE" w:rsidP="003D1C23">
      <w:pPr>
        <w:jc w:val="both"/>
        <w:rPr>
          <w:rFonts w:asciiTheme="majorHAnsi" w:hAnsiTheme="majorHAnsi"/>
          <w:lang w:val="fr-CA" w:eastAsia="en-CA"/>
        </w:rPr>
      </w:pPr>
    </w:p>
    <w:p w14:paraId="244300A6" w14:textId="19FF84DB" w:rsidR="003D1C23" w:rsidRPr="009B4616" w:rsidRDefault="00FD4D63" w:rsidP="004902CF">
      <w:pPr>
        <w:pStyle w:val="Heading2"/>
        <w:rPr>
          <w:lang w:val="fr-CA" w:eastAsia="en-CA"/>
        </w:rPr>
      </w:pPr>
      <w:bookmarkStart w:id="11" w:name="_Toc514316690"/>
      <w:r>
        <w:rPr>
          <w:lang w:val="fr-CA" w:eastAsia="en-CA"/>
        </w:rPr>
        <w:t>Décaissement rapide de l’aide financière aux étudiants</w:t>
      </w:r>
      <w:bookmarkEnd w:id="11"/>
      <w:r>
        <w:rPr>
          <w:lang w:val="fr-CA" w:eastAsia="en-CA"/>
        </w:rPr>
        <w:t xml:space="preserve"> </w:t>
      </w:r>
    </w:p>
    <w:p w14:paraId="397CAB62" w14:textId="77777777" w:rsidR="003D1C23" w:rsidRPr="009B4616" w:rsidRDefault="003D1C23" w:rsidP="003D1C23">
      <w:pPr>
        <w:jc w:val="both"/>
        <w:rPr>
          <w:rFonts w:asciiTheme="majorHAnsi" w:hAnsiTheme="majorHAnsi"/>
          <w:lang w:val="fr-CA" w:eastAsia="en-CA"/>
        </w:rPr>
      </w:pPr>
    </w:p>
    <w:p w14:paraId="7EC7A896" w14:textId="4BB367FC" w:rsidR="003D1C23" w:rsidRPr="009B4616" w:rsidRDefault="00FD4D63" w:rsidP="003D1C23">
      <w:pPr>
        <w:jc w:val="both"/>
        <w:rPr>
          <w:rFonts w:asciiTheme="majorHAnsi" w:hAnsiTheme="majorHAnsi"/>
          <w:lang w:val="fr-CA"/>
        </w:rPr>
      </w:pPr>
      <w:r>
        <w:rPr>
          <w:rFonts w:asciiTheme="majorHAnsi" w:hAnsiTheme="majorHAnsi"/>
          <w:lang w:val="fr-CA"/>
        </w:rPr>
        <w:t xml:space="preserve">Les </w:t>
      </w:r>
      <w:r w:rsidR="00394DDF">
        <w:rPr>
          <w:rFonts w:asciiTheme="majorHAnsi" w:hAnsiTheme="majorHAnsi"/>
          <w:lang w:val="fr-CA"/>
        </w:rPr>
        <w:t xml:space="preserve">délais </w:t>
      </w:r>
      <w:r>
        <w:rPr>
          <w:rFonts w:asciiTheme="majorHAnsi" w:hAnsiTheme="majorHAnsi"/>
          <w:lang w:val="fr-CA"/>
        </w:rPr>
        <w:t xml:space="preserve">pour le paiement des frais de scolarité dans les universités sont fermes : les établissements exigent le paiement des droits </w:t>
      </w:r>
      <w:r w:rsidR="00394DDF">
        <w:rPr>
          <w:rFonts w:asciiTheme="majorHAnsi" w:hAnsiTheme="majorHAnsi"/>
          <w:lang w:val="fr-CA"/>
        </w:rPr>
        <w:t>lors des premiè</w:t>
      </w:r>
      <w:r>
        <w:rPr>
          <w:rFonts w:asciiTheme="majorHAnsi" w:hAnsiTheme="majorHAnsi"/>
          <w:lang w:val="fr-CA"/>
        </w:rPr>
        <w:t>res semaines de cours, ou exigent un dépôt sur ces droits afin d’autoriser les étudiants à s’inscrire aux cours</w:t>
      </w:r>
      <w:r w:rsidR="003D1C23" w:rsidRPr="009B4616">
        <w:rPr>
          <w:rStyle w:val="FootnoteReference"/>
          <w:rFonts w:asciiTheme="majorHAnsi" w:hAnsiTheme="majorHAnsi"/>
          <w:lang w:val="fr-CA"/>
        </w:rPr>
        <w:footnoteReference w:id="35"/>
      </w:r>
      <w:r>
        <w:rPr>
          <w:rFonts w:asciiTheme="majorHAnsi" w:hAnsiTheme="majorHAnsi"/>
          <w:lang w:val="fr-CA"/>
        </w:rPr>
        <w:t xml:space="preserve">. Les étudiants doivent également assumer les frais d’un déménagement, de leur hébergement et des manuels scolaires, ainsi que des autres articles nécessaires pour entreprendre leurs études. </w:t>
      </w:r>
      <w:r w:rsidR="003D1C23" w:rsidRPr="009B4616">
        <w:rPr>
          <w:rFonts w:asciiTheme="majorHAnsi" w:hAnsiTheme="majorHAnsi"/>
          <w:lang w:val="fr-CA"/>
        </w:rPr>
        <w:t xml:space="preserve">   </w:t>
      </w:r>
    </w:p>
    <w:p w14:paraId="4C9B8877" w14:textId="77777777" w:rsidR="003D1C23" w:rsidRPr="009B4616" w:rsidRDefault="003D1C23" w:rsidP="003D1C23">
      <w:pPr>
        <w:jc w:val="both"/>
        <w:rPr>
          <w:rFonts w:asciiTheme="majorHAnsi" w:hAnsiTheme="majorHAnsi"/>
          <w:lang w:val="fr-CA"/>
        </w:rPr>
      </w:pPr>
    </w:p>
    <w:p w14:paraId="05CF0E62" w14:textId="0B0819AB" w:rsidR="003D1C23" w:rsidRPr="009B4616" w:rsidRDefault="00394DDF" w:rsidP="003D1C23">
      <w:pPr>
        <w:jc w:val="both"/>
        <w:rPr>
          <w:rFonts w:asciiTheme="majorHAnsi" w:hAnsiTheme="majorHAnsi"/>
          <w:lang w:val="fr-CA"/>
        </w:rPr>
      </w:pPr>
      <w:r>
        <w:rPr>
          <w:rFonts w:asciiTheme="majorHAnsi" w:hAnsiTheme="majorHAnsi"/>
          <w:lang w:val="fr-CA"/>
        </w:rPr>
        <w:t xml:space="preserve">L’aide financière du PCPE ne peut être versée aux étudiants qu’après la première journée de leur période d’étude. Cette date est postérieure à la date de paiement dans la plupart des établissements et, par conséquent, de nombreux étudiants se retrouvent sans ressources au moment où ils en ont le plus besoin. L’absence d’avances constitue un obstacle inutile, surtout pur ceux qui n’ont pas d’autres sources de financement. </w:t>
      </w:r>
    </w:p>
    <w:p w14:paraId="73676E36" w14:textId="77777777" w:rsidR="003D1C23" w:rsidRPr="009B4616" w:rsidRDefault="003D1C23" w:rsidP="003D1C23">
      <w:pPr>
        <w:jc w:val="both"/>
        <w:rPr>
          <w:rFonts w:asciiTheme="majorHAnsi" w:hAnsiTheme="majorHAnsi"/>
          <w:lang w:val="fr-CA"/>
        </w:rPr>
      </w:pPr>
    </w:p>
    <w:p w14:paraId="1FAAB597" w14:textId="134531AE" w:rsidR="003F56B5" w:rsidRPr="009B4616" w:rsidRDefault="00F90A2A" w:rsidP="003D1C23">
      <w:pPr>
        <w:jc w:val="both"/>
        <w:rPr>
          <w:rFonts w:asciiTheme="majorHAnsi" w:hAnsiTheme="majorHAnsi"/>
          <w:lang w:val="fr-CA"/>
        </w:rPr>
      </w:pPr>
      <w:r>
        <w:rPr>
          <w:rFonts w:asciiTheme="majorHAnsi" w:hAnsiTheme="majorHAnsi"/>
          <w:lang w:val="fr-CA"/>
        </w:rPr>
        <w:t>Les coûts « immédiats » constituent un obstacle majeur pour les étudiants à faible revenu</w:t>
      </w:r>
      <w:r w:rsidR="003D1C23" w:rsidRPr="009B4616">
        <w:rPr>
          <w:rStyle w:val="FootnoteReference"/>
          <w:rFonts w:asciiTheme="majorHAnsi" w:hAnsiTheme="majorHAnsi"/>
          <w:lang w:val="fr-CA"/>
        </w:rPr>
        <w:footnoteReference w:id="36"/>
      </w:r>
      <w:r>
        <w:rPr>
          <w:rFonts w:asciiTheme="majorHAnsi" w:hAnsiTheme="majorHAnsi"/>
          <w:lang w:val="fr-CA"/>
        </w:rPr>
        <w:t>. Un décaissement plus rapide de l’aide financière aiderait à atténuer ce problème.</w:t>
      </w:r>
      <w:r w:rsidR="006E2E41" w:rsidRPr="009B4616">
        <w:rPr>
          <w:rFonts w:asciiTheme="majorHAnsi" w:hAnsiTheme="majorHAnsi"/>
          <w:lang w:val="fr-CA"/>
        </w:rPr>
        <w:t xml:space="preserve"> </w:t>
      </w:r>
    </w:p>
    <w:p w14:paraId="7CDCB775" w14:textId="77777777" w:rsidR="00AF1DDA" w:rsidRPr="009B4616" w:rsidRDefault="00AF1DDA" w:rsidP="003D1C23">
      <w:pPr>
        <w:jc w:val="both"/>
        <w:rPr>
          <w:rFonts w:asciiTheme="majorHAnsi" w:hAnsiTheme="majorHAnsi"/>
          <w:lang w:val="fr-CA"/>
        </w:rPr>
      </w:pPr>
    </w:p>
    <w:p w14:paraId="4B0FAB76" w14:textId="6AF6E9A4" w:rsidR="003D1C23" w:rsidRPr="009B4616" w:rsidRDefault="00F90A2A" w:rsidP="004441E1">
      <w:pPr>
        <w:pStyle w:val="ListParagraph"/>
        <w:numPr>
          <w:ilvl w:val="0"/>
          <w:numId w:val="32"/>
        </w:numPr>
        <w:jc w:val="both"/>
        <w:rPr>
          <w:rFonts w:asciiTheme="majorHAnsi" w:hAnsiTheme="majorHAnsi"/>
          <w:lang w:val="fr-CA"/>
        </w:rPr>
      </w:pPr>
      <w:r>
        <w:rPr>
          <w:rFonts w:asciiTheme="majorHAnsi" w:hAnsiTheme="majorHAnsi"/>
          <w:lang w:val="fr-CA"/>
        </w:rPr>
        <w:t xml:space="preserve">L’ACAE demande au gouvernement fédéral de verser l’aide financière du PCPE au moins une semaine avant le début des classes ou avant la date d’échéance </w:t>
      </w:r>
      <w:r>
        <w:rPr>
          <w:rFonts w:asciiTheme="majorHAnsi" w:hAnsiTheme="majorHAnsi"/>
          <w:lang w:val="fr-CA"/>
        </w:rPr>
        <w:lastRenderedPageBreak/>
        <w:t>pour le paiement des frais de scolarité fixée par les établissements d’enseignement postsecondaire.</w:t>
      </w:r>
    </w:p>
    <w:p w14:paraId="3331A16A" w14:textId="77777777" w:rsidR="003D1C23" w:rsidRPr="009B4616" w:rsidRDefault="003D1C23" w:rsidP="003D1C23">
      <w:pPr>
        <w:jc w:val="both"/>
        <w:rPr>
          <w:rFonts w:asciiTheme="majorHAnsi" w:hAnsiTheme="majorHAnsi"/>
          <w:lang w:val="fr-CA"/>
        </w:rPr>
      </w:pPr>
    </w:p>
    <w:p w14:paraId="120A274B" w14:textId="10CAA439" w:rsidR="003D1C23" w:rsidRPr="009B4616" w:rsidRDefault="00F90A2A" w:rsidP="004902CF">
      <w:pPr>
        <w:pStyle w:val="Heading2"/>
        <w:rPr>
          <w:lang w:val="fr-CA"/>
        </w:rPr>
      </w:pPr>
      <w:bookmarkStart w:id="12" w:name="_Toc514316691"/>
      <w:r>
        <w:rPr>
          <w:lang w:val="fr-CA"/>
        </w:rPr>
        <w:t>Réduire le taux d’intérêt des prêts d’études publics</w:t>
      </w:r>
      <w:bookmarkEnd w:id="12"/>
      <w:r>
        <w:rPr>
          <w:lang w:val="fr-CA"/>
        </w:rPr>
        <w:t xml:space="preserve"> </w:t>
      </w:r>
    </w:p>
    <w:p w14:paraId="2A921C2C" w14:textId="77777777" w:rsidR="003D1C23" w:rsidRPr="009B4616" w:rsidRDefault="003D1C23" w:rsidP="003D1C23">
      <w:pPr>
        <w:jc w:val="both"/>
        <w:rPr>
          <w:rFonts w:asciiTheme="majorHAnsi" w:hAnsiTheme="majorHAnsi"/>
          <w:lang w:val="fr-CA"/>
        </w:rPr>
      </w:pPr>
    </w:p>
    <w:p w14:paraId="424F991A" w14:textId="1AF32799" w:rsidR="003D1C23" w:rsidRPr="009B4616" w:rsidRDefault="00F90A2A" w:rsidP="003D1C23">
      <w:pPr>
        <w:jc w:val="both"/>
        <w:rPr>
          <w:rFonts w:asciiTheme="majorHAnsi" w:hAnsiTheme="majorHAnsi"/>
          <w:lang w:val="fr-CA"/>
        </w:rPr>
      </w:pPr>
      <w:r>
        <w:rPr>
          <w:rFonts w:asciiTheme="majorHAnsi" w:hAnsiTheme="majorHAnsi"/>
          <w:lang w:val="fr-CA"/>
        </w:rPr>
        <w:t>Les taux d’intérêt des prêts d’études sont bien supérieurs à ceux du marché. Les étudiants au Canada bénéficiant d’une aide financière publique paient des intérêts à un taux considérablement plus élevé que le taux préférentiel des banques, plus le coût d’emprunt du gouvernement</w:t>
      </w:r>
      <w:r w:rsidR="000E09C6" w:rsidRPr="009B4616">
        <w:rPr>
          <w:rStyle w:val="FootnoteReference"/>
          <w:rFonts w:asciiTheme="majorHAnsi" w:hAnsiTheme="majorHAnsi"/>
          <w:lang w:val="fr-CA"/>
        </w:rPr>
        <w:footnoteReference w:id="37"/>
      </w:r>
      <w:r>
        <w:rPr>
          <w:rFonts w:asciiTheme="majorHAnsi" w:hAnsiTheme="majorHAnsi"/>
          <w:lang w:val="fr-CA"/>
        </w:rPr>
        <w:t>.</w:t>
      </w:r>
    </w:p>
    <w:p w14:paraId="02B1617A" w14:textId="77777777" w:rsidR="003D1C23" w:rsidRPr="009B4616" w:rsidRDefault="003D1C23" w:rsidP="003D1C23">
      <w:pPr>
        <w:jc w:val="both"/>
        <w:rPr>
          <w:rFonts w:asciiTheme="majorHAnsi" w:hAnsiTheme="majorHAnsi"/>
          <w:lang w:val="fr-CA"/>
        </w:rPr>
      </w:pPr>
    </w:p>
    <w:p w14:paraId="6CCC746C" w14:textId="6F883F68" w:rsidR="003D1C23" w:rsidRPr="009B4616" w:rsidRDefault="00F90A2A" w:rsidP="003D1C23">
      <w:pPr>
        <w:jc w:val="both"/>
        <w:rPr>
          <w:rFonts w:asciiTheme="majorHAnsi" w:hAnsiTheme="majorHAnsi"/>
          <w:lang w:val="fr-CA"/>
        </w:rPr>
      </w:pPr>
      <w:r>
        <w:rPr>
          <w:rFonts w:asciiTheme="majorHAnsi" w:hAnsiTheme="majorHAnsi"/>
          <w:lang w:val="fr-CA"/>
        </w:rPr>
        <w:t xml:space="preserve">Les EP ne sont pas qu’un investissement individuel. Le Canada bénéficie, socialement et économiquement, d’une population éduquée et compétente. Les EP sont essentielles </w:t>
      </w:r>
      <w:r w:rsidR="00AF5700">
        <w:rPr>
          <w:rFonts w:asciiTheme="majorHAnsi" w:hAnsiTheme="majorHAnsi"/>
          <w:lang w:val="fr-CA"/>
        </w:rPr>
        <w:t xml:space="preserve">pour favoriser </w:t>
      </w:r>
      <w:r>
        <w:rPr>
          <w:rFonts w:asciiTheme="majorHAnsi" w:hAnsiTheme="majorHAnsi"/>
          <w:lang w:val="fr-CA"/>
        </w:rPr>
        <w:t>une économie concurrentielle et améliorer la qualité de vie de tous les Canadiens. Les taux d’intérêt actuels s’appliquant aux prêts d’études du Canada sont élevés et ne reflètent pas les principes du PCPE à t</w:t>
      </w:r>
      <w:r w:rsidR="00AF5700">
        <w:rPr>
          <w:rFonts w:asciiTheme="majorHAnsi" w:hAnsiTheme="majorHAnsi"/>
          <w:lang w:val="fr-CA"/>
        </w:rPr>
        <w:t>itre de programme devant bénéficier à l’ensemble de la population. Le gouvernement fédéral doit jouer un rôle plus progressiste pour réduire la dette des étudiants du Canada.</w:t>
      </w:r>
    </w:p>
    <w:p w14:paraId="7A9B46B2" w14:textId="77777777" w:rsidR="003D1C23" w:rsidRPr="009B4616" w:rsidRDefault="003D1C23" w:rsidP="003D1C23">
      <w:pPr>
        <w:jc w:val="both"/>
        <w:rPr>
          <w:rFonts w:asciiTheme="majorHAnsi" w:hAnsiTheme="majorHAnsi"/>
          <w:lang w:val="fr-CA"/>
        </w:rPr>
      </w:pPr>
    </w:p>
    <w:p w14:paraId="31F4176C" w14:textId="6AFB0395" w:rsidR="003D1C23" w:rsidRPr="009B4616" w:rsidRDefault="00AF5700" w:rsidP="003F56B5">
      <w:pPr>
        <w:pStyle w:val="ListParagraph"/>
        <w:numPr>
          <w:ilvl w:val="0"/>
          <w:numId w:val="32"/>
        </w:numPr>
        <w:jc w:val="both"/>
        <w:rPr>
          <w:rFonts w:asciiTheme="majorHAnsi" w:hAnsiTheme="majorHAnsi" w:cs="Times New Roman"/>
          <w:lang w:val="fr-CA"/>
        </w:rPr>
      </w:pPr>
      <w:r>
        <w:rPr>
          <w:rFonts w:asciiTheme="majorHAnsi" w:hAnsiTheme="majorHAnsi" w:cs="Times New Roman"/>
          <w:lang w:val="fr-CA"/>
        </w:rPr>
        <w:t>L’ACAE propose au gouvernement fédéral de réduire immédiatement les taux d’intérêt actuels sur les prêts d’études afin de refléter le coût d’emprunt réel du gouvernement, tel que défini dans le PCPE. Ces taux d’</w:t>
      </w:r>
      <w:r w:rsidR="00623B40">
        <w:rPr>
          <w:rFonts w:asciiTheme="majorHAnsi" w:hAnsiTheme="majorHAnsi" w:cs="Times New Roman"/>
          <w:lang w:val="fr-CA"/>
        </w:rPr>
        <w:t>intérêt</w:t>
      </w:r>
      <w:r>
        <w:rPr>
          <w:rFonts w:asciiTheme="majorHAnsi" w:hAnsiTheme="majorHAnsi" w:cs="Times New Roman"/>
          <w:lang w:val="fr-CA"/>
        </w:rPr>
        <w:t xml:space="preserve"> doivent être abaissés dans le but ultime d’éliminer tout intérêt payé sur des prêts d’études canadiens.</w:t>
      </w:r>
    </w:p>
    <w:p w14:paraId="7C334E57" w14:textId="77777777" w:rsidR="003D1C23" w:rsidRPr="009B4616" w:rsidRDefault="003D1C23" w:rsidP="003D1C23">
      <w:pPr>
        <w:jc w:val="both"/>
        <w:rPr>
          <w:rFonts w:asciiTheme="majorHAnsi" w:hAnsiTheme="majorHAnsi"/>
          <w:lang w:val="fr-CA"/>
        </w:rPr>
      </w:pPr>
    </w:p>
    <w:p w14:paraId="57516414" w14:textId="3394E9C9" w:rsidR="003D1C23" w:rsidRPr="009B4616" w:rsidRDefault="00AF5700" w:rsidP="004902CF">
      <w:pPr>
        <w:pStyle w:val="Heading2"/>
        <w:rPr>
          <w:lang w:val="fr-CA"/>
        </w:rPr>
      </w:pPr>
      <w:bookmarkStart w:id="13" w:name="_Toc514316692"/>
      <w:r>
        <w:rPr>
          <w:lang w:val="fr-CA"/>
        </w:rPr>
        <w:t>Séparation des taux d’intérêt publics et privés sur les prêts d’études canadiens</w:t>
      </w:r>
      <w:bookmarkEnd w:id="13"/>
      <w:r>
        <w:rPr>
          <w:lang w:val="fr-CA"/>
        </w:rPr>
        <w:t xml:space="preserve"> </w:t>
      </w:r>
    </w:p>
    <w:p w14:paraId="6879327F" w14:textId="77777777" w:rsidR="003D1C23" w:rsidRPr="009B4616" w:rsidRDefault="003D1C23" w:rsidP="003D1C23">
      <w:pPr>
        <w:jc w:val="both"/>
        <w:rPr>
          <w:rFonts w:asciiTheme="majorHAnsi" w:hAnsiTheme="majorHAnsi"/>
          <w:lang w:val="fr-CA"/>
        </w:rPr>
      </w:pPr>
    </w:p>
    <w:p w14:paraId="0C932D2C" w14:textId="31872257" w:rsidR="003D1C23" w:rsidRPr="009B4616" w:rsidRDefault="00AF5700" w:rsidP="003D1C23">
      <w:pPr>
        <w:jc w:val="both"/>
        <w:rPr>
          <w:rFonts w:asciiTheme="majorHAnsi" w:hAnsiTheme="majorHAnsi"/>
          <w:lang w:val="fr-CA"/>
        </w:rPr>
      </w:pPr>
      <w:r>
        <w:rPr>
          <w:rFonts w:asciiTheme="majorHAnsi" w:hAnsiTheme="majorHAnsi"/>
          <w:lang w:val="fr-CA"/>
        </w:rPr>
        <w:t>Tel que décrit ci-dessus, les taux d’intérêt s’appliquant aux prêts d’études canadiens sont excessivement élevés. On peut obtenir une hypothèque ou un prêt automobile à un taux inférieur à celui des prêts d’études du gouvernement. Le paiement des intérêts représente environ le quart ou le tiers du montant total remboursé. Les raisons invoquées pour expliquer cette situation comprennent les coûts associés au service des intérêts de la dette pendant que l’emprunteur est aux études et le risque que représentent ces prêts aux étudiants. Par conséquent, les taux d’intérêt reposent en partie sur le taux de défaut de paiement des étudiants. Des taux de défaut élevés entraînent forcément des taux d’intérêt plus élevés.</w:t>
      </w:r>
    </w:p>
    <w:p w14:paraId="0538AE34" w14:textId="77777777" w:rsidR="003D1C23" w:rsidRPr="009B4616" w:rsidRDefault="003D1C23" w:rsidP="003D1C23">
      <w:pPr>
        <w:jc w:val="both"/>
        <w:rPr>
          <w:rFonts w:asciiTheme="majorHAnsi" w:hAnsiTheme="majorHAnsi"/>
          <w:lang w:val="fr-CA"/>
        </w:rPr>
      </w:pPr>
    </w:p>
    <w:p w14:paraId="6A7FC3B9" w14:textId="7C592F9D" w:rsidR="003D1C23" w:rsidRPr="009B4616" w:rsidRDefault="00977832" w:rsidP="003D1C23">
      <w:pPr>
        <w:jc w:val="both"/>
        <w:rPr>
          <w:rFonts w:asciiTheme="majorHAnsi" w:hAnsiTheme="majorHAnsi"/>
          <w:lang w:val="fr-CA"/>
        </w:rPr>
      </w:pPr>
      <w:r>
        <w:rPr>
          <w:rFonts w:asciiTheme="majorHAnsi" w:hAnsiTheme="majorHAnsi"/>
          <w:lang w:val="fr-CA"/>
        </w:rPr>
        <w:t xml:space="preserve">Les étudiants qui fréquentent des établissements privés </w:t>
      </w:r>
      <w:r w:rsidR="00A413A0">
        <w:rPr>
          <w:rFonts w:asciiTheme="majorHAnsi" w:hAnsiTheme="majorHAnsi"/>
          <w:lang w:val="fr-CA"/>
        </w:rPr>
        <w:t xml:space="preserve">à </w:t>
      </w:r>
      <w:r>
        <w:rPr>
          <w:rFonts w:asciiTheme="majorHAnsi" w:hAnsiTheme="majorHAnsi"/>
          <w:lang w:val="fr-CA"/>
        </w:rPr>
        <w:t xml:space="preserve">but lucratif sont beaucoup plus susceptibles d’être en défaut de paiement que les étudiants du système public. Des études statistiques du PCPE révèlent des taux de défaut pour les établissements privés près de </w:t>
      </w:r>
      <w:r w:rsidR="00A26602">
        <w:rPr>
          <w:rFonts w:asciiTheme="majorHAnsi" w:hAnsiTheme="majorHAnsi"/>
          <w:lang w:val="fr-CA"/>
        </w:rPr>
        <w:t>52 </w:t>
      </w:r>
      <w:r>
        <w:rPr>
          <w:rFonts w:asciiTheme="majorHAnsi" w:hAnsiTheme="majorHAnsi"/>
          <w:lang w:val="fr-CA"/>
        </w:rPr>
        <w:t xml:space="preserve">% supérieurs à ceux des collèges, et </w:t>
      </w:r>
      <w:r w:rsidR="00A26602">
        <w:rPr>
          <w:rFonts w:asciiTheme="majorHAnsi" w:hAnsiTheme="majorHAnsi"/>
          <w:lang w:val="fr-CA"/>
        </w:rPr>
        <w:t>160 </w:t>
      </w:r>
      <w:r>
        <w:rPr>
          <w:rFonts w:asciiTheme="majorHAnsi" w:hAnsiTheme="majorHAnsi"/>
          <w:lang w:val="fr-CA"/>
        </w:rPr>
        <w:t xml:space="preserve">% supérieurs à ceux des </w:t>
      </w:r>
      <w:r>
        <w:rPr>
          <w:rFonts w:asciiTheme="majorHAnsi" w:hAnsiTheme="majorHAnsi"/>
          <w:lang w:val="fr-CA"/>
        </w:rPr>
        <w:lastRenderedPageBreak/>
        <w:t>universités</w:t>
      </w:r>
      <w:r w:rsidR="003D1C23" w:rsidRPr="009B4616">
        <w:rPr>
          <w:rStyle w:val="FootnoteReference"/>
          <w:rFonts w:asciiTheme="majorHAnsi" w:hAnsiTheme="majorHAnsi"/>
          <w:lang w:val="fr-CA"/>
        </w:rPr>
        <w:footnoteReference w:id="38"/>
      </w:r>
      <w:r>
        <w:rPr>
          <w:rFonts w:asciiTheme="majorHAnsi" w:hAnsiTheme="majorHAnsi"/>
          <w:lang w:val="fr-CA"/>
        </w:rPr>
        <w:t>.</w:t>
      </w:r>
      <w:r w:rsidR="003D1C23" w:rsidRPr="009B4616">
        <w:rPr>
          <w:rFonts w:asciiTheme="majorHAnsi" w:hAnsiTheme="majorHAnsi"/>
          <w:lang w:val="fr-CA"/>
        </w:rPr>
        <w:t xml:space="preserve"> </w:t>
      </w:r>
      <w:r>
        <w:rPr>
          <w:rFonts w:asciiTheme="majorHAnsi" w:hAnsiTheme="majorHAnsi"/>
          <w:lang w:val="fr-CA"/>
        </w:rPr>
        <w:t xml:space="preserve">Compte tenu de ce taux de défaut élevé pour les établissements privés </w:t>
      </w:r>
      <w:r w:rsidR="00A413A0">
        <w:rPr>
          <w:rFonts w:asciiTheme="majorHAnsi" w:hAnsiTheme="majorHAnsi"/>
          <w:lang w:val="fr-CA"/>
        </w:rPr>
        <w:t xml:space="preserve">à </w:t>
      </w:r>
      <w:r>
        <w:rPr>
          <w:rFonts w:asciiTheme="majorHAnsi" w:hAnsiTheme="majorHAnsi"/>
          <w:lang w:val="fr-CA"/>
        </w:rPr>
        <w:t>but lucratif, les taux d’</w:t>
      </w:r>
      <w:r w:rsidR="00623B40">
        <w:rPr>
          <w:rFonts w:asciiTheme="majorHAnsi" w:hAnsiTheme="majorHAnsi"/>
          <w:lang w:val="fr-CA"/>
        </w:rPr>
        <w:t>intérêt</w:t>
      </w:r>
      <w:r>
        <w:rPr>
          <w:rFonts w:asciiTheme="majorHAnsi" w:hAnsiTheme="majorHAnsi"/>
          <w:lang w:val="fr-CA"/>
        </w:rPr>
        <w:t xml:space="preserve"> cumulatifs pour l’ensemble des prêts consentis aux étudiants des établissements publics et privés </w:t>
      </w:r>
      <w:r w:rsidR="00623B40">
        <w:rPr>
          <w:rFonts w:asciiTheme="majorHAnsi" w:hAnsiTheme="majorHAnsi"/>
          <w:lang w:val="fr-CA"/>
        </w:rPr>
        <w:t>alourdissent</w:t>
      </w:r>
      <w:r>
        <w:rPr>
          <w:rFonts w:asciiTheme="majorHAnsi" w:hAnsiTheme="majorHAnsi"/>
          <w:lang w:val="fr-CA"/>
        </w:rPr>
        <w:t xml:space="preserve"> considérablement les intérêts que doivent payer les étudiants du système public. Cette situation a des répercussions négatives sur l’</w:t>
      </w:r>
      <w:proofErr w:type="spellStart"/>
      <w:r>
        <w:rPr>
          <w:rFonts w:asciiTheme="majorHAnsi" w:hAnsiTheme="majorHAnsi"/>
          <w:lang w:val="fr-CA"/>
        </w:rPr>
        <w:t>abordabilité</w:t>
      </w:r>
      <w:proofErr w:type="spellEnd"/>
      <w:r>
        <w:rPr>
          <w:rFonts w:asciiTheme="majorHAnsi" w:hAnsiTheme="majorHAnsi"/>
          <w:lang w:val="fr-CA"/>
        </w:rPr>
        <w:t xml:space="preserve"> des EP publiques.</w:t>
      </w:r>
    </w:p>
    <w:p w14:paraId="4284914F" w14:textId="77777777" w:rsidR="003D1C23" w:rsidRPr="009B4616" w:rsidRDefault="003D1C23" w:rsidP="003D1C23">
      <w:pPr>
        <w:jc w:val="both"/>
        <w:rPr>
          <w:rFonts w:asciiTheme="majorHAnsi" w:hAnsiTheme="majorHAnsi"/>
          <w:lang w:val="fr-CA"/>
        </w:rPr>
      </w:pPr>
    </w:p>
    <w:p w14:paraId="72C75C43" w14:textId="4459CF91" w:rsidR="003D1C23" w:rsidRPr="009B4616" w:rsidRDefault="00A413A0" w:rsidP="003D1C23">
      <w:pPr>
        <w:jc w:val="both"/>
        <w:rPr>
          <w:rFonts w:asciiTheme="majorHAnsi" w:hAnsiTheme="majorHAnsi"/>
          <w:lang w:val="fr-CA"/>
        </w:rPr>
      </w:pPr>
      <w:r>
        <w:rPr>
          <w:rFonts w:asciiTheme="majorHAnsi" w:hAnsiTheme="majorHAnsi"/>
          <w:lang w:val="fr-CA"/>
        </w:rPr>
        <w:t>L’ACAE croit que les étudiants du système public ne devraient pas être pénalisés pour le risque associé aux établissements d’enseignement postsecondaire privés à but lucratif.</w:t>
      </w:r>
      <w:r w:rsidR="003D1C23" w:rsidRPr="009B4616">
        <w:rPr>
          <w:rFonts w:asciiTheme="majorHAnsi" w:hAnsiTheme="majorHAnsi"/>
          <w:lang w:val="fr-CA"/>
        </w:rPr>
        <w:t xml:space="preserve"> </w:t>
      </w:r>
    </w:p>
    <w:p w14:paraId="652B6B00" w14:textId="77777777" w:rsidR="003D1C23" w:rsidRPr="009B4616" w:rsidRDefault="003D1C23" w:rsidP="003D1C23">
      <w:pPr>
        <w:jc w:val="both"/>
        <w:rPr>
          <w:rFonts w:asciiTheme="majorHAnsi" w:hAnsiTheme="majorHAnsi"/>
          <w:lang w:val="fr-CA"/>
        </w:rPr>
      </w:pPr>
    </w:p>
    <w:p w14:paraId="0A6D1CAF" w14:textId="042103B7" w:rsidR="003D1C23" w:rsidRPr="009B4616" w:rsidRDefault="00A413A0" w:rsidP="004441E1">
      <w:pPr>
        <w:pStyle w:val="ListParagraph"/>
        <w:numPr>
          <w:ilvl w:val="0"/>
          <w:numId w:val="32"/>
        </w:numPr>
        <w:jc w:val="both"/>
        <w:rPr>
          <w:rFonts w:asciiTheme="majorHAnsi" w:hAnsiTheme="majorHAnsi" w:cs="Times New Roman"/>
          <w:lang w:val="fr-CA"/>
        </w:rPr>
      </w:pPr>
      <w:r>
        <w:rPr>
          <w:rFonts w:asciiTheme="majorHAnsi" w:hAnsiTheme="majorHAnsi" w:cs="Times New Roman"/>
          <w:lang w:val="fr-CA"/>
        </w:rPr>
        <w:t>L’ACAE demande que le remboursement des prêts d’études canadiens soit séparé en fonction de deux volets distincts, soit un volet pour les emprunteurs qui ont fréquenté des établissements publics et l’autre pour ceux qui ont fréquenté des établissements privés à but lucratif. Le niveau d’intérêt payé sur des prêts d’études canadiens dans le cadre de chaque système devra être réévalué en fonction des profils de risque respectifs.</w:t>
      </w:r>
    </w:p>
    <w:p w14:paraId="56DE7F2A" w14:textId="77777777" w:rsidR="00DA57F1" w:rsidRPr="009B4616" w:rsidRDefault="00DA57F1" w:rsidP="00DA57F1">
      <w:pPr>
        <w:rPr>
          <w:rFonts w:asciiTheme="majorHAnsi" w:hAnsiTheme="majorHAnsi"/>
          <w:lang w:val="fr-CA"/>
        </w:rPr>
      </w:pPr>
    </w:p>
    <w:p w14:paraId="30C1598E" w14:textId="535F4AED" w:rsidR="00DA57F1" w:rsidRPr="009B4616" w:rsidRDefault="00816139" w:rsidP="004902CF">
      <w:pPr>
        <w:pStyle w:val="Heading2"/>
        <w:rPr>
          <w:lang w:val="fr-CA"/>
        </w:rPr>
      </w:pPr>
      <w:bookmarkStart w:id="14" w:name="_Toc514316693"/>
      <w:r>
        <w:rPr>
          <w:lang w:val="fr-CA"/>
        </w:rPr>
        <w:t>Créer un mécanisme d’appel efficace</w:t>
      </w:r>
      <w:bookmarkEnd w:id="14"/>
      <w:r>
        <w:rPr>
          <w:lang w:val="fr-CA"/>
        </w:rPr>
        <w:t xml:space="preserve"> </w:t>
      </w:r>
    </w:p>
    <w:p w14:paraId="04957AA0" w14:textId="77777777" w:rsidR="000171C5" w:rsidRPr="009B4616" w:rsidRDefault="000171C5" w:rsidP="00DA57F1">
      <w:pPr>
        <w:rPr>
          <w:rFonts w:asciiTheme="majorHAnsi" w:hAnsiTheme="majorHAnsi"/>
          <w:lang w:val="fr-CA"/>
        </w:rPr>
      </w:pPr>
    </w:p>
    <w:p w14:paraId="5640D5C3" w14:textId="3294D19C" w:rsidR="0054032C" w:rsidRPr="009B4616" w:rsidRDefault="00816139" w:rsidP="000171C5">
      <w:pPr>
        <w:jc w:val="both"/>
        <w:rPr>
          <w:rFonts w:asciiTheme="majorHAnsi" w:hAnsiTheme="majorHAnsi"/>
          <w:lang w:val="fr-CA" w:eastAsia="en-CA"/>
        </w:rPr>
      </w:pPr>
      <w:r>
        <w:rPr>
          <w:rFonts w:asciiTheme="majorHAnsi" w:hAnsiTheme="majorHAnsi"/>
          <w:lang w:val="fr-CA" w:eastAsia="en-CA"/>
        </w:rPr>
        <w:t xml:space="preserve">Le PCPE détermine l’admissibilité d’un étudiant à une aide financière au moyen d’un processus d’évaluation des besoins, qui permet de calculer les coûts et les ressources </w:t>
      </w:r>
      <w:r w:rsidR="00A52364">
        <w:rPr>
          <w:rFonts w:asciiTheme="majorHAnsi" w:hAnsiTheme="majorHAnsi"/>
          <w:lang w:val="fr-CA" w:eastAsia="en-CA"/>
        </w:rPr>
        <w:t xml:space="preserve">qu’anticipe </w:t>
      </w:r>
      <w:r>
        <w:rPr>
          <w:rFonts w:asciiTheme="majorHAnsi" w:hAnsiTheme="majorHAnsi"/>
          <w:lang w:val="fr-CA" w:eastAsia="en-CA"/>
        </w:rPr>
        <w:t xml:space="preserve">l’étudiant. Si l’on </w:t>
      </w:r>
      <w:r w:rsidR="00A52364">
        <w:rPr>
          <w:rFonts w:asciiTheme="majorHAnsi" w:hAnsiTheme="majorHAnsi"/>
          <w:lang w:val="fr-CA" w:eastAsia="en-CA"/>
        </w:rPr>
        <w:t xml:space="preserve">calcule </w:t>
      </w:r>
      <w:r>
        <w:rPr>
          <w:rFonts w:asciiTheme="majorHAnsi" w:hAnsiTheme="majorHAnsi"/>
          <w:lang w:val="fr-CA" w:eastAsia="en-CA"/>
        </w:rPr>
        <w:t>que les coûts d’un étudiant seront supérieurs à ses</w:t>
      </w:r>
      <w:r w:rsidR="00A52364">
        <w:rPr>
          <w:rFonts w:asciiTheme="majorHAnsi" w:hAnsiTheme="majorHAnsi"/>
          <w:lang w:val="fr-CA" w:eastAsia="en-CA"/>
        </w:rPr>
        <w:t xml:space="preserve"> ressources, il sera admissible</w:t>
      </w:r>
      <w:r>
        <w:rPr>
          <w:rFonts w:asciiTheme="majorHAnsi" w:hAnsiTheme="majorHAnsi"/>
          <w:lang w:val="fr-CA" w:eastAsia="en-CA"/>
        </w:rPr>
        <w:t xml:space="preserve"> à une aide financière du PCPE.</w:t>
      </w:r>
      <w:r w:rsidR="0054032C" w:rsidRPr="009B4616">
        <w:rPr>
          <w:rFonts w:asciiTheme="majorHAnsi" w:hAnsiTheme="majorHAnsi"/>
          <w:lang w:val="fr-CA" w:eastAsia="en-CA"/>
        </w:rPr>
        <w:t xml:space="preserve"> </w:t>
      </w:r>
    </w:p>
    <w:p w14:paraId="3D1ABFA7" w14:textId="77777777" w:rsidR="0054032C" w:rsidRPr="009B4616" w:rsidRDefault="0054032C" w:rsidP="000171C5">
      <w:pPr>
        <w:jc w:val="both"/>
        <w:rPr>
          <w:rFonts w:asciiTheme="majorHAnsi" w:hAnsiTheme="majorHAnsi"/>
          <w:lang w:val="fr-CA" w:eastAsia="en-CA"/>
        </w:rPr>
      </w:pPr>
    </w:p>
    <w:p w14:paraId="22263F29" w14:textId="0A1DF9FB" w:rsidR="000171C5" w:rsidRPr="009B4616" w:rsidRDefault="00A52364" w:rsidP="000171C5">
      <w:pPr>
        <w:jc w:val="both"/>
        <w:rPr>
          <w:rFonts w:asciiTheme="majorHAnsi" w:hAnsiTheme="majorHAnsi"/>
          <w:lang w:val="fr-CA" w:eastAsia="en-CA"/>
        </w:rPr>
      </w:pPr>
      <w:r>
        <w:rPr>
          <w:rFonts w:asciiTheme="majorHAnsi" w:hAnsiTheme="majorHAnsi"/>
          <w:lang w:val="fr-CA" w:eastAsia="en-CA"/>
        </w:rPr>
        <w:t>De nombreux étudiants se retrouvent dans des situations uniques qui ne sont pas prévues par le processus d’évaluation du PCPE. L’absence d’un processus d’appel national normalisé relevant du PCPE signifie que les étudiants sont obligés d’accepter les décisions, fort variables, rendues dans le cadre des programmes de prêt provinciaux et, dans certains cas, doivent accepter qu’ils n’auront droit à rien pour répondre à leurs besoins financiers qui ne sont pas couverts.</w:t>
      </w:r>
    </w:p>
    <w:p w14:paraId="3051D539" w14:textId="77777777" w:rsidR="000171C5" w:rsidRPr="009B4616" w:rsidRDefault="000171C5" w:rsidP="000171C5">
      <w:pPr>
        <w:jc w:val="both"/>
        <w:rPr>
          <w:rFonts w:asciiTheme="majorHAnsi" w:hAnsiTheme="majorHAnsi"/>
          <w:lang w:val="fr-CA" w:eastAsia="en-CA"/>
        </w:rPr>
      </w:pPr>
    </w:p>
    <w:p w14:paraId="4E6DB091" w14:textId="23B11939" w:rsidR="000171C5" w:rsidRPr="009B4616" w:rsidRDefault="00A52364" w:rsidP="000171C5">
      <w:pPr>
        <w:jc w:val="both"/>
        <w:rPr>
          <w:rFonts w:asciiTheme="majorHAnsi" w:hAnsiTheme="majorHAnsi"/>
          <w:lang w:val="fr-CA" w:eastAsia="en-CA"/>
        </w:rPr>
      </w:pPr>
      <w:r>
        <w:rPr>
          <w:rFonts w:asciiTheme="majorHAnsi" w:hAnsiTheme="majorHAnsi"/>
          <w:lang w:val="fr-CA" w:eastAsia="en-CA"/>
        </w:rPr>
        <w:t>L’ACAE demande aux responsables du PCPE de réévaluer le processus d’appel de l’évaluation des besoins pour s’assurer que les étudiants puissent obtenir l’aide dont ils ont besoin. Plus particulièrement, l’ACAE recommande ce qui suit :</w:t>
      </w:r>
    </w:p>
    <w:p w14:paraId="611B81BE" w14:textId="77777777" w:rsidR="000171C5" w:rsidRPr="009B4616" w:rsidRDefault="000171C5" w:rsidP="000171C5">
      <w:pPr>
        <w:jc w:val="both"/>
        <w:rPr>
          <w:rFonts w:asciiTheme="majorHAnsi" w:hAnsiTheme="majorHAnsi"/>
          <w:lang w:val="fr-CA" w:eastAsia="en-CA"/>
        </w:rPr>
      </w:pPr>
    </w:p>
    <w:p w14:paraId="774D3268" w14:textId="357DCA6C" w:rsidR="000171C5" w:rsidRPr="009B4616" w:rsidRDefault="00A52364" w:rsidP="000171C5">
      <w:pPr>
        <w:pStyle w:val="ListParagraph"/>
        <w:numPr>
          <w:ilvl w:val="0"/>
          <w:numId w:val="22"/>
        </w:numPr>
        <w:jc w:val="both"/>
        <w:rPr>
          <w:rFonts w:asciiTheme="majorHAnsi" w:hAnsiTheme="majorHAnsi" w:cs="Times New Roman"/>
          <w:lang w:val="fr-CA" w:eastAsia="en-CA"/>
        </w:rPr>
      </w:pPr>
      <w:r>
        <w:rPr>
          <w:rFonts w:asciiTheme="majorHAnsi" w:hAnsiTheme="majorHAnsi" w:cs="Times New Roman"/>
          <w:lang w:val="fr-CA" w:eastAsia="en-CA"/>
        </w:rPr>
        <w:t xml:space="preserve">Établir un processus d’appel pour le montant maximal de prêt et d’autres décisions relatives aux bourses. </w:t>
      </w:r>
    </w:p>
    <w:p w14:paraId="19215FE9" w14:textId="0B59C494" w:rsidR="0054032C" w:rsidRPr="009B4616" w:rsidRDefault="00A52364" w:rsidP="000171C5">
      <w:pPr>
        <w:pStyle w:val="ListParagraph"/>
        <w:numPr>
          <w:ilvl w:val="0"/>
          <w:numId w:val="21"/>
        </w:numPr>
        <w:jc w:val="both"/>
        <w:rPr>
          <w:rFonts w:asciiTheme="majorHAnsi" w:hAnsiTheme="majorHAnsi"/>
          <w:lang w:val="fr-CA"/>
        </w:rPr>
      </w:pPr>
      <w:r>
        <w:rPr>
          <w:rFonts w:asciiTheme="majorHAnsi" w:hAnsiTheme="majorHAnsi" w:cs="Times New Roman"/>
          <w:lang w:val="fr-CA" w:eastAsia="en-CA"/>
        </w:rPr>
        <w:t>Le mécanisme d’appel doit reposer sur les principes d’équité et d’efficacité pour que les étudiants obtiennent une décision rapidement.</w:t>
      </w:r>
      <w:r w:rsidR="00505794" w:rsidRPr="009B4616">
        <w:rPr>
          <w:rFonts w:asciiTheme="majorHAnsi" w:hAnsiTheme="majorHAnsi" w:cs="Times New Roman"/>
          <w:lang w:val="fr-CA" w:eastAsia="en-CA"/>
        </w:rPr>
        <w:t xml:space="preserve"> </w:t>
      </w:r>
    </w:p>
    <w:p w14:paraId="6793BE8F" w14:textId="31A99D74" w:rsidR="00505794" w:rsidRPr="009B4616" w:rsidRDefault="001E71CC" w:rsidP="000171C5">
      <w:pPr>
        <w:pStyle w:val="ListParagraph"/>
        <w:numPr>
          <w:ilvl w:val="0"/>
          <w:numId w:val="21"/>
        </w:numPr>
        <w:jc w:val="both"/>
        <w:rPr>
          <w:rFonts w:asciiTheme="majorHAnsi" w:hAnsiTheme="majorHAnsi"/>
          <w:lang w:val="fr-CA"/>
        </w:rPr>
      </w:pPr>
      <w:r>
        <w:rPr>
          <w:rFonts w:asciiTheme="majorHAnsi" w:hAnsiTheme="majorHAnsi" w:cs="Times New Roman"/>
          <w:lang w:val="fr-CA" w:eastAsia="en-CA"/>
        </w:rPr>
        <w:t xml:space="preserve">Dans le cadre du mécanisme d’appel, il faut également transmettre à l’étudiant le motif justifiant la décision rendue, ainsi que les autres options qui lui sont </w:t>
      </w:r>
      <w:r>
        <w:rPr>
          <w:rFonts w:asciiTheme="majorHAnsi" w:hAnsiTheme="majorHAnsi" w:cs="Times New Roman"/>
          <w:lang w:val="fr-CA" w:eastAsia="en-CA"/>
        </w:rPr>
        <w:lastRenderedPageBreak/>
        <w:t>offertes et les coordonnées de toute personne-ressource qui pourra lui venir en aide.</w:t>
      </w:r>
    </w:p>
    <w:p w14:paraId="2A025AAD" w14:textId="77777777" w:rsidR="000171C5" w:rsidRPr="009B4616" w:rsidRDefault="000171C5" w:rsidP="000171C5">
      <w:pPr>
        <w:rPr>
          <w:rFonts w:asciiTheme="majorHAnsi" w:hAnsiTheme="majorHAnsi"/>
          <w:lang w:val="fr-CA"/>
        </w:rPr>
      </w:pPr>
    </w:p>
    <w:p w14:paraId="2E6A5D5A" w14:textId="10B89978" w:rsidR="003D1C23" w:rsidRPr="009B4616" w:rsidRDefault="001E71CC" w:rsidP="004902CF">
      <w:pPr>
        <w:pStyle w:val="Heading2"/>
        <w:rPr>
          <w:lang w:val="fr-CA"/>
        </w:rPr>
      </w:pPr>
      <w:bookmarkStart w:id="15" w:name="_Toc514316694"/>
      <w:r>
        <w:rPr>
          <w:lang w:val="fr-CA"/>
        </w:rPr>
        <w:t xml:space="preserve">Période de </w:t>
      </w:r>
      <w:r w:rsidR="00623B40">
        <w:rPr>
          <w:lang w:val="fr-CA"/>
        </w:rPr>
        <w:t>non-remboursement</w:t>
      </w:r>
      <w:r>
        <w:rPr>
          <w:lang w:val="fr-CA"/>
        </w:rPr>
        <w:t xml:space="preserve"> libre d’intérêt</w:t>
      </w:r>
      <w:bookmarkEnd w:id="15"/>
      <w:r w:rsidR="00C872B7" w:rsidRPr="009B4616">
        <w:rPr>
          <w:lang w:val="fr-CA"/>
        </w:rPr>
        <w:t xml:space="preserve"> </w:t>
      </w:r>
    </w:p>
    <w:p w14:paraId="418C2228" w14:textId="77777777" w:rsidR="003D1C23" w:rsidRPr="009B4616" w:rsidRDefault="003D1C23" w:rsidP="003D1C23">
      <w:pPr>
        <w:jc w:val="both"/>
        <w:rPr>
          <w:rFonts w:asciiTheme="majorHAnsi" w:hAnsiTheme="majorHAnsi"/>
          <w:lang w:val="fr-CA"/>
        </w:rPr>
      </w:pPr>
    </w:p>
    <w:p w14:paraId="380737EA" w14:textId="13819ECF" w:rsidR="003D1C23" w:rsidRPr="009B4616" w:rsidRDefault="00662C45" w:rsidP="003D1C23">
      <w:pPr>
        <w:jc w:val="both"/>
        <w:rPr>
          <w:rFonts w:asciiTheme="majorHAnsi" w:hAnsiTheme="majorHAnsi"/>
          <w:lang w:val="fr-CA"/>
        </w:rPr>
      </w:pPr>
      <w:r>
        <w:rPr>
          <w:rFonts w:asciiTheme="majorHAnsi" w:hAnsiTheme="majorHAnsi"/>
          <w:lang w:val="fr-CA"/>
        </w:rPr>
        <w:t xml:space="preserve">Au moment où ils obtiennent leur diplôme, les étudiants ayant un prêt du PCPE ont droit à une période de </w:t>
      </w:r>
      <w:r w:rsidR="00623B40">
        <w:rPr>
          <w:rFonts w:asciiTheme="majorHAnsi" w:hAnsiTheme="majorHAnsi"/>
          <w:lang w:val="fr-CA"/>
        </w:rPr>
        <w:t>non-remboursement</w:t>
      </w:r>
      <w:r>
        <w:rPr>
          <w:rFonts w:asciiTheme="majorHAnsi" w:hAnsiTheme="majorHAnsi"/>
          <w:lang w:val="fr-CA"/>
        </w:rPr>
        <w:t xml:space="preserve"> de six mois. Cependant, les intérêts sur le prêt continuent de s’accumuler, ce qui alourdit encore plus la dette des étudiants.  </w:t>
      </w:r>
      <w:r w:rsidR="003D1C23" w:rsidRPr="009B4616">
        <w:rPr>
          <w:rFonts w:asciiTheme="majorHAnsi" w:hAnsiTheme="majorHAnsi"/>
          <w:lang w:val="fr-CA"/>
        </w:rPr>
        <w:t xml:space="preserve"> </w:t>
      </w:r>
    </w:p>
    <w:p w14:paraId="07F8EE9E" w14:textId="77777777" w:rsidR="003D1C23" w:rsidRPr="009B4616" w:rsidRDefault="003D1C23" w:rsidP="003D1C23">
      <w:pPr>
        <w:jc w:val="both"/>
        <w:rPr>
          <w:rFonts w:asciiTheme="majorHAnsi" w:hAnsiTheme="majorHAnsi"/>
          <w:lang w:val="fr-CA"/>
        </w:rPr>
      </w:pPr>
    </w:p>
    <w:p w14:paraId="73E6D85F" w14:textId="2DB1D511" w:rsidR="003D1C23" w:rsidRPr="009B4616" w:rsidRDefault="00662C45" w:rsidP="003D1C23">
      <w:pPr>
        <w:jc w:val="both"/>
        <w:rPr>
          <w:rFonts w:asciiTheme="majorHAnsi" w:hAnsiTheme="majorHAnsi"/>
          <w:lang w:val="fr-CA"/>
        </w:rPr>
      </w:pPr>
      <w:r>
        <w:rPr>
          <w:rFonts w:asciiTheme="majorHAnsi" w:hAnsiTheme="majorHAnsi"/>
          <w:lang w:val="fr-CA"/>
        </w:rPr>
        <w:t>Cette situation est problématique car les étudiants ne trouvent pas forcément un emploi tout de suite après l’obtention de leur diplôme. La durée moyenne de la recherche d’emploi en 2016 était de 19,8 semaines, ou environ 5 mois</w:t>
      </w:r>
      <w:r w:rsidR="003D1C23" w:rsidRPr="009B4616">
        <w:rPr>
          <w:rStyle w:val="FootnoteReference"/>
          <w:rFonts w:asciiTheme="majorHAnsi" w:hAnsiTheme="majorHAnsi"/>
          <w:lang w:val="fr-CA"/>
        </w:rPr>
        <w:footnoteReference w:id="39"/>
      </w:r>
      <w:r>
        <w:rPr>
          <w:rFonts w:asciiTheme="majorHAnsi" w:hAnsiTheme="majorHAnsi"/>
          <w:lang w:val="fr-CA"/>
        </w:rPr>
        <w:t>.</w:t>
      </w:r>
      <w:r w:rsidR="003D1C23" w:rsidRPr="009B4616">
        <w:rPr>
          <w:rFonts w:asciiTheme="majorHAnsi" w:hAnsiTheme="majorHAnsi"/>
          <w:lang w:val="fr-CA"/>
        </w:rPr>
        <w:t xml:space="preserve"> </w:t>
      </w:r>
      <w:r>
        <w:rPr>
          <w:rFonts w:asciiTheme="majorHAnsi" w:hAnsiTheme="majorHAnsi"/>
          <w:lang w:val="fr-CA"/>
        </w:rPr>
        <w:t>Le fait d’accorder aux nouveaux diplômés suffisamment de temps pour trouver un emploi rémunéré sans accumuler d’intérêt sur leur dette refléterait la situation du marché du travail actuel sans alourdir inutilement le fardeau des étudiants qui ont déjà une dette à rembourser.</w:t>
      </w:r>
      <w:r w:rsidR="003D1C23" w:rsidRPr="009B4616">
        <w:rPr>
          <w:rFonts w:asciiTheme="majorHAnsi" w:hAnsiTheme="majorHAnsi"/>
          <w:lang w:val="fr-CA"/>
        </w:rPr>
        <w:t xml:space="preserve"> </w:t>
      </w:r>
    </w:p>
    <w:p w14:paraId="7A079E75" w14:textId="77777777" w:rsidR="003D1C23" w:rsidRPr="009B4616" w:rsidRDefault="003D1C23" w:rsidP="003D1C23">
      <w:pPr>
        <w:jc w:val="both"/>
        <w:rPr>
          <w:rFonts w:asciiTheme="majorHAnsi" w:hAnsiTheme="majorHAnsi"/>
          <w:lang w:val="fr-CA"/>
        </w:rPr>
      </w:pPr>
    </w:p>
    <w:p w14:paraId="4D5E629B" w14:textId="408BBD50" w:rsidR="003D1C23" w:rsidRPr="009B4616" w:rsidRDefault="00662C45" w:rsidP="003D1C23">
      <w:pPr>
        <w:jc w:val="both"/>
        <w:rPr>
          <w:rFonts w:asciiTheme="majorHAnsi" w:hAnsiTheme="majorHAnsi"/>
          <w:lang w:val="fr-CA"/>
        </w:rPr>
      </w:pPr>
      <w:r>
        <w:rPr>
          <w:rFonts w:asciiTheme="majorHAnsi" w:hAnsiTheme="majorHAnsi"/>
          <w:lang w:val="fr-CA"/>
        </w:rPr>
        <w:t xml:space="preserve">Certains étudiants ne savent pas que les intérêts continuent de s’accumuler pendant la période de </w:t>
      </w:r>
      <w:r w:rsidR="00C45F74">
        <w:rPr>
          <w:rFonts w:asciiTheme="majorHAnsi" w:hAnsiTheme="majorHAnsi"/>
          <w:lang w:val="fr-CA"/>
        </w:rPr>
        <w:t>« </w:t>
      </w:r>
      <w:r w:rsidR="00623B40">
        <w:rPr>
          <w:rFonts w:asciiTheme="majorHAnsi" w:hAnsiTheme="majorHAnsi"/>
          <w:lang w:val="fr-CA"/>
        </w:rPr>
        <w:t>non-remboursement</w:t>
      </w:r>
      <w:r w:rsidR="00C45F74">
        <w:rPr>
          <w:rFonts w:asciiTheme="majorHAnsi" w:hAnsiTheme="majorHAnsi"/>
          <w:lang w:val="fr-CA"/>
        </w:rPr>
        <w:t> »</w:t>
      </w:r>
      <w:r>
        <w:rPr>
          <w:rFonts w:asciiTheme="majorHAnsi" w:hAnsiTheme="majorHAnsi"/>
          <w:lang w:val="fr-CA"/>
        </w:rPr>
        <w:t xml:space="preserve">, également appelée </w:t>
      </w:r>
      <w:r w:rsidR="00C45F74">
        <w:rPr>
          <w:rFonts w:asciiTheme="majorHAnsi" w:hAnsiTheme="majorHAnsi"/>
          <w:lang w:val="fr-CA"/>
        </w:rPr>
        <w:t xml:space="preserve">« délai </w:t>
      </w:r>
      <w:r>
        <w:rPr>
          <w:rFonts w:asciiTheme="majorHAnsi" w:hAnsiTheme="majorHAnsi"/>
          <w:lang w:val="fr-CA"/>
        </w:rPr>
        <w:t>de grâce</w:t>
      </w:r>
      <w:r w:rsidR="00C45F74">
        <w:rPr>
          <w:rFonts w:asciiTheme="majorHAnsi" w:hAnsiTheme="majorHAnsi"/>
          <w:lang w:val="fr-CA"/>
        </w:rPr>
        <w:t> »</w:t>
      </w:r>
      <w:r>
        <w:rPr>
          <w:rFonts w:asciiTheme="majorHAnsi" w:hAnsiTheme="majorHAnsi"/>
          <w:lang w:val="fr-CA"/>
        </w:rPr>
        <w:t xml:space="preserve"> dans diverses sources d’information sur l’aide financière. </w:t>
      </w:r>
      <w:r w:rsidR="00C45F74">
        <w:rPr>
          <w:rFonts w:asciiTheme="majorHAnsi" w:hAnsiTheme="majorHAnsi"/>
          <w:lang w:val="fr-CA"/>
        </w:rPr>
        <w:t>Cela entraîne une certaine confusion pour les étudiants, car en matière de cartes de crédit, la « période de grâce » fait référence à une période pendant laquelle aucun paiement n’est requis, et aucun intérêt ne s’accumule</w:t>
      </w:r>
      <w:r w:rsidR="003D1C23" w:rsidRPr="009B4616">
        <w:rPr>
          <w:rStyle w:val="FootnoteReference"/>
          <w:rFonts w:asciiTheme="majorHAnsi" w:hAnsiTheme="majorHAnsi"/>
          <w:lang w:val="fr-CA"/>
        </w:rPr>
        <w:footnoteReference w:id="40"/>
      </w:r>
      <w:r w:rsidR="00C45F74">
        <w:rPr>
          <w:rFonts w:asciiTheme="majorHAnsi" w:hAnsiTheme="majorHAnsi"/>
          <w:lang w:val="fr-CA"/>
        </w:rPr>
        <w:t>.</w:t>
      </w:r>
      <w:r w:rsidR="003D1C23" w:rsidRPr="009B4616">
        <w:rPr>
          <w:rFonts w:asciiTheme="majorHAnsi" w:hAnsiTheme="majorHAnsi"/>
          <w:lang w:val="fr-CA"/>
        </w:rPr>
        <w:t xml:space="preserve"> </w:t>
      </w:r>
      <w:r w:rsidR="00C45F74">
        <w:rPr>
          <w:rFonts w:asciiTheme="majorHAnsi" w:hAnsiTheme="majorHAnsi"/>
          <w:lang w:val="fr-CA"/>
        </w:rPr>
        <w:t>Ce problème a été souligné dans l’évaluation sommative du PCPE de 2011, où l’on indique que « le terme délai de grâce peut induire en erreur certains emprunteurs » et « que certaines provinces n’exigent pas que les intérêts sur les prêts d’études provinciaux s’accumulent pendant cette période de six mois</w:t>
      </w:r>
      <w:r w:rsidR="003D1C23" w:rsidRPr="009B4616">
        <w:rPr>
          <w:rStyle w:val="FootnoteReference"/>
          <w:rFonts w:asciiTheme="majorHAnsi" w:hAnsiTheme="majorHAnsi"/>
          <w:lang w:val="fr-CA"/>
        </w:rPr>
        <w:footnoteReference w:id="41"/>
      </w:r>
      <w:r w:rsidR="00C45F74">
        <w:rPr>
          <w:rFonts w:asciiTheme="majorHAnsi" w:hAnsiTheme="majorHAnsi"/>
          <w:lang w:val="fr-CA"/>
        </w:rPr>
        <w:t> ».</w:t>
      </w:r>
      <w:r w:rsidR="003D1C23" w:rsidRPr="009B4616">
        <w:rPr>
          <w:rFonts w:asciiTheme="majorHAnsi" w:hAnsiTheme="majorHAnsi"/>
          <w:lang w:val="fr-CA"/>
        </w:rPr>
        <w:t xml:space="preserve"> </w:t>
      </w:r>
      <w:r w:rsidR="00C45F74">
        <w:rPr>
          <w:rFonts w:asciiTheme="majorHAnsi" w:hAnsiTheme="majorHAnsi"/>
          <w:lang w:val="fr-CA"/>
        </w:rPr>
        <w:t xml:space="preserve">En effet, l’Ontario et l’Alberta prévoient une période de </w:t>
      </w:r>
      <w:r w:rsidR="00623B40">
        <w:rPr>
          <w:rFonts w:asciiTheme="majorHAnsi" w:hAnsiTheme="majorHAnsi"/>
          <w:lang w:val="fr-CA"/>
        </w:rPr>
        <w:t>non-remboursement</w:t>
      </w:r>
      <w:r w:rsidR="00C45F74">
        <w:rPr>
          <w:rFonts w:asciiTheme="majorHAnsi" w:hAnsiTheme="majorHAnsi"/>
          <w:lang w:val="fr-CA"/>
        </w:rPr>
        <w:t xml:space="preserve"> sans intérêt de 6 mois pour leurs prêts provinciaux. Cela ajoute à la confusion des étudiants qui ont des prêts provinciaux sans intérêts et des prêts fédéraux avec intérêts pendant cette même période de six mois.</w:t>
      </w:r>
      <w:r w:rsidR="004A23A5" w:rsidRPr="009B4616">
        <w:rPr>
          <w:rFonts w:asciiTheme="majorHAnsi" w:hAnsiTheme="majorHAnsi"/>
          <w:lang w:val="fr-CA"/>
        </w:rPr>
        <w:t xml:space="preserve"> </w:t>
      </w:r>
    </w:p>
    <w:p w14:paraId="38F9A6CE" w14:textId="77777777" w:rsidR="003D1C23" w:rsidRPr="009B4616" w:rsidRDefault="003D1C23" w:rsidP="003D1C23">
      <w:pPr>
        <w:jc w:val="both"/>
        <w:rPr>
          <w:rFonts w:asciiTheme="majorHAnsi" w:hAnsiTheme="majorHAnsi"/>
          <w:lang w:val="fr-CA"/>
        </w:rPr>
      </w:pPr>
    </w:p>
    <w:p w14:paraId="5C810626" w14:textId="56DA910B" w:rsidR="003D1C23" w:rsidRPr="009B4616" w:rsidRDefault="00C45F74" w:rsidP="003D1C23">
      <w:pPr>
        <w:jc w:val="both"/>
        <w:rPr>
          <w:rFonts w:asciiTheme="majorHAnsi" w:hAnsiTheme="majorHAnsi"/>
          <w:lang w:val="fr-CA"/>
        </w:rPr>
      </w:pPr>
      <w:r>
        <w:rPr>
          <w:rFonts w:asciiTheme="majorHAnsi" w:hAnsiTheme="majorHAnsi"/>
          <w:lang w:val="fr-CA"/>
        </w:rPr>
        <w:t xml:space="preserve">En accordant six mois aux nouveaux diplômés pour se trouver du travail, on reconnaît que c’est généralement le temps qu’il faut pour trouver un emploi dans notre économie actuelle; </w:t>
      </w:r>
      <w:r w:rsidR="005C0566">
        <w:rPr>
          <w:rFonts w:asciiTheme="majorHAnsi" w:hAnsiTheme="majorHAnsi"/>
          <w:lang w:val="fr-CA"/>
        </w:rPr>
        <w:t xml:space="preserve">cela permettrait également de </w:t>
      </w:r>
      <w:r>
        <w:rPr>
          <w:rFonts w:asciiTheme="majorHAnsi" w:hAnsiTheme="majorHAnsi"/>
          <w:lang w:val="fr-CA"/>
        </w:rPr>
        <w:t xml:space="preserve">mieux coordonner les programmes fédéraux et </w:t>
      </w:r>
      <w:r>
        <w:rPr>
          <w:rFonts w:asciiTheme="majorHAnsi" w:hAnsiTheme="majorHAnsi"/>
          <w:lang w:val="fr-CA"/>
        </w:rPr>
        <w:lastRenderedPageBreak/>
        <w:t xml:space="preserve">provinciaux au pays et </w:t>
      </w:r>
      <w:r w:rsidR="005C0566">
        <w:rPr>
          <w:rFonts w:asciiTheme="majorHAnsi" w:hAnsiTheme="majorHAnsi"/>
          <w:lang w:val="fr-CA"/>
        </w:rPr>
        <w:t xml:space="preserve">d’éviter l’alourdissement non intentionnel du fardeau des étudiants. </w:t>
      </w:r>
      <w:r>
        <w:rPr>
          <w:rFonts w:asciiTheme="majorHAnsi" w:hAnsiTheme="majorHAnsi"/>
          <w:lang w:val="fr-CA"/>
        </w:rPr>
        <w:t xml:space="preserve"> </w:t>
      </w:r>
      <w:r w:rsidR="003D1C23" w:rsidRPr="009B4616">
        <w:rPr>
          <w:rFonts w:asciiTheme="majorHAnsi" w:hAnsiTheme="majorHAnsi"/>
          <w:lang w:val="fr-CA"/>
        </w:rPr>
        <w:t xml:space="preserve"> </w:t>
      </w:r>
    </w:p>
    <w:p w14:paraId="5CD5CD6C" w14:textId="77777777" w:rsidR="003D1C23" w:rsidRPr="009B4616" w:rsidRDefault="003D1C23" w:rsidP="003D1C23">
      <w:pPr>
        <w:jc w:val="both"/>
        <w:rPr>
          <w:rFonts w:asciiTheme="majorHAnsi" w:hAnsiTheme="majorHAnsi"/>
          <w:lang w:val="fr-CA"/>
        </w:rPr>
      </w:pPr>
    </w:p>
    <w:p w14:paraId="11369E79" w14:textId="7BD82E01" w:rsidR="003D1C23" w:rsidRPr="009B4616" w:rsidRDefault="005C0566" w:rsidP="004441E1">
      <w:pPr>
        <w:pStyle w:val="ListParagraph"/>
        <w:numPr>
          <w:ilvl w:val="0"/>
          <w:numId w:val="33"/>
        </w:numPr>
        <w:jc w:val="both"/>
        <w:rPr>
          <w:rFonts w:asciiTheme="majorHAnsi" w:hAnsiTheme="majorHAnsi" w:cs="Times New Roman"/>
          <w:lang w:val="fr-CA"/>
        </w:rPr>
      </w:pPr>
      <w:r>
        <w:rPr>
          <w:rFonts w:asciiTheme="majorHAnsi" w:hAnsiTheme="majorHAnsi" w:cs="Times New Roman"/>
          <w:lang w:val="fr-CA"/>
        </w:rPr>
        <w:t xml:space="preserve">L’ACAE maintient que la « période de </w:t>
      </w:r>
      <w:r w:rsidR="00623B40">
        <w:rPr>
          <w:rFonts w:asciiTheme="majorHAnsi" w:hAnsiTheme="majorHAnsi" w:cs="Times New Roman"/>
          <w:lang w:val="fr-CA"/>
        </w:rPr>
        <w:t>non-remboursement</w:t>
      </w:r>
      <w:r>
        <w:rPr>
          <w:rFonts w:asciiTheme="majorHAnsi" w:hAnsiTheme="majorHAnsi" w:cs="Times New Roman"/>
          <w:lang w:val="fr-CA"/>
        </w:rPr>
        <w:t>/délai de grâce » de 6 mois s’appliquant aux prêts d’études canadiens devrait être libre d’intérêt.</w:t>
      </w:r>
      <w:r w:rsidR="003D1C23" w:rsidRPr="009B4616">
        <w:rPr>
          <w:rFonts w:asciiTheme="majorHAnsi" w:hAnsiTheme="majorHAnsi"/>
          <w:lang w:val="fr-CA"/>
        </w:rPr>
        <w:t xml:space="preserve"> </w:t>
      </w:r>
    </w:p>
    <w:p w14:paraId="4DA1C1D9" w14:textId="77777777" w:rsidR="00C36483" w:rsidRPr="009B4616" w:rsidRDefault="00C36483" w:rsidP="00846BC8">
      <w:pPr>
        <w:jc w:val="both"/>
        <w:rPr>
          <w:rFonts w:asciiTheme="majorHAnsi" w:hAnsiTheme="majorHAnsi"/>
          <w:lang w:val="fr-CA"/>
        </w:rPr>
      </w:pPr>
    </w:p>
    <w:p w14:paraId="51968483" w14:textId="2670C50C" w:rsidR="00C36483" w:rsidRPr="009B4616" w:rsidRDefault="005C0566" w:rsidP="004902CF">
      <w:pPr>
        <w:pStyle w:val="Heading2"/>
        <w:rPr>
          <w:lang w:val="fr-CA"/>
        </w:rPr>
      </w:pPr>
      <w:bookmarkStart w:id="16" w:name="_Toc514316695"/>
      <w:r>
        <w:rPr>
          <w:lang w:val="fr-CA"/>
        </w:rPr>
        <w:t>Aide au remboursement</w:t>
      </w:r>
      <w:bookmarkEnd w:id="16"/>
      <w:r>
        <w:rPr>
          <w:lang w:val="fr-CA"/>
        </w:rPr>
        <w:t xml:space="preserve"> </w:t>
      </w:r>
    </w:p>
    <w:p w14:paraId="166677E6" w14:textId="77777777" w:rsidR="00C36483" w:rsidRPr="009B4616" w:rsidRDefault="00C36483" w:rsidP="00846BC8">
      <w:pPr>
        <w:jc w:val="both"/>
        <w:rPr>
          <w:rFonts w:asciiTheme="majorHAnsi" w:hAnsiTheme="majorHAnsi"/>
          <w:lang w:val="fr-CA"/>
        </w:rPr>
      </w:pPr>
    </w:p>
    <w:p w14:paraId="74127204" w14:textId="33F9BEEA" w:rsidR="009D2F1F" w:rsidRPr="009B4616" w:rsidRDefault="00AE355E" w:rsidP="009D2F1F">
      <w:pPr>
        <w:jc w:val="both"/>
        <w:rPr>
          <w:rFonts w:asciiTheme="majorHAnsi" w:hAnsiTheme="majorHAnsi"/>
          <w:lang w:val="fr-CA"/>
        </w:rPr>
      </w:pPr>
      <w:r>
        <w:rPr>
          <w:rFonts w:asciiTheme="majorHAnsi" w:hAnsiTheme="majorHAnsi"/>
          <w:lang w:val="fr-CA"/>
        </w:rPr>
        <w:t>Le Programme d’aide au remboursement (PAR), annoncé par le gouvernement du Canada en août 2008, est un programme de remboursement de prêt reposant sur le revenu qui vise à atténuer les effets négatifs du remboursement d’un prêt, comme les coûts importants découlant des intérêts composés. Le PAR remplaçait les programmes d’exemption de paiement d’intérêts et de réduction de la dette en cours de remboursement, qui visaient exactement les mêmes objectifs. Depuis 2011, le PAR a aidé près de 185 000 étudiants à rembourser leurs prêts</w:t>
      </w:r>
      <w:r w:rsidR="009D2F1F" w:rsidRPr="009B4616">
        <w:rPr>
          <w:rStyle w:val="FootnoteReference"/>
          <w:rFonts w:asciiTheme="majorHAnsi" w:hAnsiTheme="majorHAnsi"/>
          <w:lang w:val="fr-CA"/>
        </w:rPr>
        <w:footnoteReference w:id="42"/>
      </w:r>
      <w:r>
        <w:rPr>
          <w:rFonts w:asciiTheme="majorHAnsi" w:hAnsiTheme="majorHAnsi"/>
          <w:lang w:val="fr-CA"/>
        </w:rPr>
        <w:t>.</w:t>
      </w:r>
      <w:r w:rsidR="009D2F1F" w:rsidRPr="009B4616">
        <w:rPr>
          <w:rFonts w:asciiTheme="majorHAnsi" w:hAnsiTheme="majorHAnsi"/>
          <w:lang w:val="fr-CA"/>
        </w:rPr>
        <w:t xml:space="preserve"> </w:t>
      </w:r>
    </w:p>
    <w:p w14:paraId="02ACFDE4" w14:textId="77777777" w:rsidR="009D2F1F" w:rsidRPr="009B4616" w:rsidRDefault="009D2F1F" w:rsidP="009D2F1F">
      <w:pPr>
        <w:jc w:val="both"/>
        <w:rPr>
          <w:rFonts w:asciiTheme="majorHAnsi" w:hAnsiTheme="majorHAnsi"/>
          <w:lang w:val="fr-CA"/>
        </w:rPr>
      </w:pPr>
    </w:p>
    <w:p w14:paraId="4194BFD0" w14:textId="7557CC70" w:rsidR="009D2F1F" w:rsidRPr="009B4616" w:rsidRDefault="00AE355E" w:rsidP="009D2F1F">
      <w:pPr>
        <w:jc w:val="both"/>
        <w:rPr>
          <w:rFonts w:asciiTheme="majorHAnsi" w:hAnsiTheme="majorHAnsi"/>
          <w:lang w:val="fr-CA"/>
        </w:rPr>
      </w:pPr>
      <w:r>
        <w:rPr>
          <w:rFonts w:asciiTheme="majorHAnsi" w:hAnsiTheme="majorHAnsi"/>
          <w:lang w:val="fr-CA"/>
        </w:rPr>
        <w:t xml:space="preserve">Le PAR s’assure que le remboursement des prêts n’est exigé que lorsque le revenu de l’emprunteur dépasse un seuil </w:t>
      </w:r>
      <w:r w:rsidR="00873D76">
        <w:rPr>
          <w:rFonts w:asciiTheme="majorHAnsi" w:hAnsiTheme="majorHAnsi"/>
          <w:lang w:val="fr-CA"/>
        </w:rPr>
        <w:t>pré</w:t>
      </w:r>
      <w:r>
        <w:rPr>
          <w:rFonts w:asciiTheme="majorHAnsi" w:hAnsiTheme="majorHAnsi"/>
          <w:lang w:val="fr-CA"/>
        </w:rPr>
        <w:t xml:space="preserve">établi. En d’autres mots, les emprunteurs ne sont tenus de rembourser leurs prêts que s’ils gagnent un revenu supérieur à un certain montant. En vertu des règles actuelles, introduites dans le budget de 2016, aucun remboursement n’est exigé pour les emprunteurs gagnant moins de </w:t>
      </w:r>
      <w:r w:rsidR="00A26602">
        <w:rPr>
          <w:rFonts w:asciiTheme="majorHAnsi" w:hAnsiTheme="majorHAnsi"/>
          <w:lang w:val="fr-CA"/>
        </w:rPr>
        <w:t>25 000 </w:t>
      </w:r>
      <w:r>
        <w:rPr>
          <w:rFonts w:asciiTheme="majorHAnsi" w:hAnsiTheme="majorHAnsi"/>
          <w:lang w:val="fr-CA"/>
        </w:rPr>
        <w:t>$. Le seuil de revenu à partir duquel le remboursement est exigé augmente en fonction de la taille de la famille</w:t>
      </w:r>
      <w:r w:rsidR="009D2F1F" w:rsidRPr="009B4616">
        <w:rPr>
          <w:rStyle w:val="FootnoteReference"/>
          <w:rFonts w:asciiTheme="majorHAnsi" w:hAnsiTheme="majorHAnsi"/>
          <w:lang w:val="fr-CA"/>
        </w:rPr>
        <w:footnoteReference w:id="43"/>
      </w:r>
      <w:r>
        <w:rPr>
          <w:rFonts w:asciiTheme="majorHAnsi" w:hAnsiTheme="majorHAnsi"/>
          <w:lang w:val="fr-CA"/>
        </w:rPr>
        <w:t>.</w:t>
      </w:r>
      <w:r w:rsidR="002831D4" w:rsidRPr="009B4616">
        <w:rPr>
          <w:rFonts w:asciiTheme="majorHAnsi" w:hAnsiTheme="majorHAnsi"/>
          <w:lang w:val="fr-CA"/>
        </w:rPr>
        <w:t xml:space="preserve"> </w:t>
      </w:r>
      <w:r w:rsidR="00873D76">
        <w:rPr>
          <w:rFonts w:asciiTheme="majorHAnsi" w:hAnsiTheme="majorHAnsi"/>
          <w:lang w:val="fr-CA"/>
        </w:rPr>
        <w:t xml:space="preserve">Au-dessus du seuil de revenu minimum, le montant du remboursement est limité à un maximum de </w:t>
      </w:r>
      <w:r w:rsidR="00A26602">
        <w:rPr>
          <w:rFonts w:asciiTheme="majorHAnsi" w:hAnsiTheme="majorHAnsi"/>
          <w:lang w:val="fr-CA"/>
        </w:rPr>
        <w:t>20 </w:t>
      </w:r>
      <w:r w:rsidR="00873D76">
        <w:rPr>
          <w:rFonts w:asciiTheme="majorHAnsi" w:hAnsiTheme="majorHAnsi"/>
          <w:lang w:val="fr-CA"/>
        </w:rPr>
        <w:t>% du revenu de l’emprunteur.</w:t>
      </w:r>
      <w:r w:rsidR="002831D4" w:rsidRPr="009B4616">
        <w:rPr>
          <w:rFonts w:asciiTheme="majorHAnsi" w:hAnsiTheme="majorHAnsi"/>
          <w:lang w:val="fr-CA"/>
        </w:rPr>
        <w:t xml:space="preserve"> </w:t>
      </w:r>
    </w:p>
    <w:p w14:paraId="028F59F2" w14:textId="77777777" w:rsidR="009D2F1F" w:rsidRPr="009B4616" w:rsidRDefault="009D2F1F" w:rsidP="009D2F1F">
      <w:pPr>
        <w:jc w:val="both"/>
        <w:rPr>
          <w:rFonts w:asciiTheme="majorHAnsi" w:hAnsiTheme="majorHAnsi"/>
          <w:lang w:val="fr-CA"/>
        </w:rPr>
      </w:pPr>
    </w:p>
    <w:p w14:paraId="507A590D" w14:textId="11257FA8" w:rsidR="009D2F1F" w:rsidRPr="009B4616" w:rsidRDefault="00873D76" w:rsidP="009D2F1F">
      <w:pPr>
        <w:jc w:val="both"/>
        <w:rPr>
          <w:rFonts w:asciiTheme="majorHAnsi" w:hAnsiTheme="majorHAnsi"/>
          <w:lang w:val="fr-CA"/>
        </w:rPr>
      </w:pPr>
      <w:r>
        <w:rPr>
          <w:rFonts w:asciiTheme="majorHAnsi" w:hAnsiTheme="majorHAnsi"/>
          <w:lang w:val="fr-CA"/>
        </w:rPr>
        <w:t>L’ACAE est consciente des avantages que procure le PAR aux étudiants, notamment les modalités de remboursement abordables fondées sur le revenu, la suspension de l’accumulation des intérêts sur les portions impayées du prêt et le fait que tous les demandeurs qui répondent aux critères d’admissibilité peuvent bénéficier du soutien de ce programme.</w:t>
      </w:r>
      <w:r w:rsidR="008D5C35" w:rsidRPr="009B4616">
        <w:rPr>
          <w:rFonts w:asciiTheme="majorHAnsi" w:hAnsiTheme="majorHAnsi"/>
          <w:lang w:val="fr-CA"/>
        </w:rPr>
        <w:t xml:space="preserve"> </w:t>
      </w:r>
    </w:p>
    <w:p w14:paraId="00B73427" w14:textId="77777777" w:rsidR="009D2F1F" w:rsidRPr="009B4616" w:rsidRDefault="009D2F1F" w:rsidP="009D2F1F">
      <w:pPr>
        <w:jc w:val="both"/>
        <w:rPr>
          <w:rFonts w:asciiTheme="majorHAnsi" w:hAnsiTheme="majorHAnsi"/>
          <w:lang w:val="fr-CA"/>
        </w:rPr>
      </w:pPr>
    </w:p>
    <w:p w14:paraId="46081DA2" w14:textId="4BC2B86E" w:rsidR="009D2F1F" w:rsidRPr="009B4616" w:rsidRDefault="00873D76" w:rsidP="009D2F1F">
      <w:pPr>
        <w:jc w:val="both"/>
        <w:rPr>
          <w:rFonts w:asciiTheme="majorHAnsi" w:hAnsiTheme="majorHAnsi"/>
          <w:lang w:val="fr-CA"/>
        </w:rPr>
      </w:pPr>
      <w:r>
        <w:rPr>
          <w:rFonts w:asciiTheme="majorHAnsi" w:hAnsiTheme="majorHAnsi"/>
          <w:lang w:val="fr-CA"/>
        </w:rPr>
        <w:t xml:space="preserve">Cependant, l’ACAE constate quelques problèmes avec le PAR. En effet, le PAR </w:t>
      </w:r>
      <w:r w:rsidR="004063A0">
        <w:rPr>
          <w:rFonts w:asciiTheme="majorHAnsi" w:hAnsiTheme="majorHAnsi"/>
          <w:lang w:val="fr-CA"/>
        </w:rPr>
        <w:t xml:space="preserve">calcule </w:t>
      </w:r>
      <w:r>
        <w:rPr>
          <w:rFonts w:asciiTheme="majorHAnsi" w:hAnsiTheme="majorHAnsi"/>
          <w:lang w:val="fr-CA"/>
        </w:rPr>
        <w:t xml:space="preserve">les paiements </w:t>
      </w:r>
      <w:r w:rsidR="004063A0">
        <w:rPr>
          <w:rFonts w:asciiTheme="majorHAnsi" w:hAnsiTheme="majorHAnsi"/>
          <w:lang w:val="fr-CA"/>
        </w:rPr>
        <w:t xml:space="preserve">abordables </w:t>
      </w:r>
      <w:r>
        <w:rPr>
          <w:rFonts w:asciiTheme="majorHAnsi" w:hAnsiTheme="majorHAnsi"/>
          <w:lang w:val="fr-CA"/>
        </w:rPr>
        <w:t xml:space="preserve">en fonction du revenu brut et non du revenu disponible. L’ACAE juge que le calcul de ces paiements doit reposer sur le revenu après impôt, pour ainsi tenir compte des disparités provinciales </w:t>
      </w:r>
      <w:r w:rsidR="004063A0">
        <w:rPr>
          <w:rFonts w:asciiTheme="majorHAnsi" w:hAnsiTheme="majorHAnsi"/>
          <w:lang w:val="fr-CA"/>
        </w:rPr>
        <w:t xml:space="preserve">relatives au </w:t>
      </w:r>
      <w:r>
        <w:rPr>
          <w:rFonts w:asciiTheme="majorHAnsi" w:hAnsiTheme="majorHAnsi"/>
          <w:lang w:val="fr-CA"/>
        </w:rPr>
        <w:t>taux d’imposition et au coût de la vie. En outre, les emprunteurs qui sont en situation de défaut de paiement ne sont pas admissibles au PAR tant qu’ils n’</w:t>
      </w:r>
      <w:r w:rsidR="004063A0">
        <w:rPr>
          <w:rFonts w:asciiTheme="majorHAnsi" w:hAnsiTheme="majorHAnsi"/>
          <w:lang w:val="fr-CA"/>
        </w:rPr>
        <w:t>ont pas remboursé</w:t>
      </w:r>
      <w:r>
        <w:rPr>
          <w:rFonts w:asciiTheme="majorHAnsi" w:hAnsiTheme="majorHAnsi"/>
          <w:lang w:val="fr-CA"/>
        </w:rPr>
        <w:t xml:space="preserve"> les paiements déjà d</w:t>
      </w:r>
      <w:r w:rsidR="004063A0">
        <w:rPr>
          <w:rFonts w:asciiTheme="majorHAnsi" w:hAnsiTheme="majorHAnsi"/>
          <w:lang w:val="fr-CA"/>
        </w:rPr>
        <w:t>us</w:t>
      </w:r>
      <w:r>
        <w:rPr>
          <w:rFonts w:asciiTheme="majorHAnsi" w:hAnsiTheme="majorHAnsi"/>
          <w:lang w:val="fr-CA"/>
        </w:rPr>
        <w:t xml:space="preserve"> et que leur </w:t>
      </w:r>
      <w:r>
        <w:rPr>
          <w:rFonts w:asciiTheme="majorHAnsi" w:hAnsiTheme="majorHAnsi"/>
          <w:lang w:val="fr-CA"/>
        </w:rPr>
        <w:lastRenderedPageBreak/>
        <w:t xml:space="preserve">dette n’est pas en règle. </w:t>
      </w:r>
      <w:r w:rsidR="004063A0">
        <w:rPr>
          <w:rFonts w:asciiTheme="majorHAnsi" w:hAnsiTheme="majorHAnsi"/>
          <w:lang w:val="fr-CA"/>
        </w:rPr>
        <w:t>Cette condition impose un obstacle à ceux qui ont le plus besoin du programme</w:t>
      </w:r>
      <w:r w:rsidR="009D2F1F" w:rsidRPr="009B4616">
        <w:rPr>
          <w:rFonts w:asciiTheme="majorHAnsi" w:hAnsiTheme="majorHAnsi"/>
          <w:lang w:val="fr-CA"/>
        </w:rPr>
        <w:t xml:space="preserve">. </w:t>
      </w:r>
    </w:p>
    <w:p w14:paraId="38EBFDF6" w14:textId="77777777" w:rsidR="009D2F1F" w:rsidRPr="009B4616" w:rsidRDefault="009D2F1F" w:rsidP="009D2F1F">
      <w:pPr>
        <w:jc w:val="both"/>
        <w:rPr>
          <w:rFonts w:asciiTheme="majorHAnsi" w:hAnsiTheme="majorHAnsi"/>
          <w:iCs/>
          <w:lang w:val="fr-CA"/>
        </w:rPr>
      </w:pPr>
    </w:p>
    <w:p w14:paraId="507A9DCF" w14:textId="6F4BA2A2" w:rsidR="009D2F1F" w:rsidRPr="009B4616" w:rsidRDefault="004063A0" w:rsidP="009D2F1F">
      <w:pPr>
        <w:jc w:val="both"/>
        <w:rPr>
          <w:rFonts w:asciiTheme="majorHAnsi" w:hAnsiTheme="majorHAnsi"/>
          <w:iCs/>
          <w:lang w:val="fr-CA"/>
        </w:rPr>
      </w:pPr>
      <w:r>
        <w:rPr>
          <w:rFonts w:asciiTheme="majorHAnsi" w:hAnsiTheme="majorHAnsi"/>
          <w:iCs/>
          <w:lang w:val="fr-CA"/>
        </w:rPr>
        <w:t>Le PAR pourrait également être amélioré pour les emprunteurs qui touchent des prestations d’assurance-emploi (AE). Le niveau</w:t>
      </w:r>
      <w:r w:rsidR="00553E5A">
        <w:rPr>
          <w:rFonts w:asciiTheme="majorHAnsi" w:hAnsiTheme="majorHAnsi"/>
          <w:iCs/>
          <w:lang w:val="fr-CA"/>
        </w:rPr>
        <w:t xml:space="preserve"> de</w:t>
      </w:r>
      <w:r>
        <w:rPr>
          <w:rFonts w:asciiTheme="majorHAnsi" w:hAnsiTheme="majorHAnsi"/>
          <w:iCs/>
          <w:lang w:val="fr-CA"/>
        </w:rPr>
        <w:t xml:space="preserve"> revenu en-deçà duquel les emprunteurs n’ont pas à effectuer de remboursement sur leurs prêts est de </w:t>
      </w:r>
      <w:r w:rsidR="00A26602">
        <w:rPr>
          <w:rFonts w:asciiTheme="majorHAnsi" w:hAnsiTheme="majorHAnsi"/>
          <w:iCs/>
          <w:lang w:val="fr-CA"/>
        </w:rPr>
        <w:t>25 000 </w:t>
      </w:r>
      <w:r>
        <w:rPr>
          <w:rFonts w:asciiTheme="majorHAnsi" w:hAnsiTheme="majorHAnsi"/>
          <w:iCs/>
          <w:lang w:val="fr-CA"/>
        </w:rPr>
        <w:t xml:space="preserve">$ par année. Actuellement, le montant maximal que peut toucher un bénéficiaire de l’AE est de </w:t>
      </w:r>
      <w:r w:rsidR="00A26602">
        <w:rPr>
          <w:rFonts w:asciiTheme="majorHAnsi" w:hAnsiTheme="majorHAnsi"/>
          <w:iCs/>
          <w:lang w:val="fr-CA"/>
        </w:rPr>
        <w:t>543 </w:t>
      </w:r>
      <w:r>
        <w:rPr>
          <w:rFonts w:asciiTheme="majorHAnsi" w:hAnsiTheme="majorHAnsi"/>
          <w:iCs/>
          <w:lang w:val="fr-CA"/>
        </w:rPr>
        <w:t>$ par semaine</w:t>
      </w:r>
      <w:r w:rsidR="009D2F1F" w:rsidRPr="009B4616">
        <w:rPr>
          <w:rStyle w:val="FootnoteReference"/>
          <w:rFonts w:asciiTheme="majorHAnsi" w:hAnsiTheme="majorHAnsi"/>
          <w:iCs/>
          <w:lang w:val="fr-CA"/>
        </w:rPr>
        <w:footnoteReference w:id="44"/>
      </w:r>
      <w:r w:rsidR="009A5641" w:rsidRPr="009B4616">
        <w:rPr>
          <w:rFonts w:asciiTheme="majorHAnsi" w:hAnsiTheme="majorHAnsi"/>
          <w:iCs/>
          <w:lang w:val="fr-CA"/>
        </w:rPr>
        <w:t xml:space="preserve"> </w:t>
      </w:r>
      <w:r>
        <w:rPr>
          <w:rFonts w:asciiTheme="majorHAnsi" w:hAnsiTheme="majorHAnsi"/>
          <w:iCs/>
          <w:lang w:val="fr-CA"/>
        </w:rPr>
        <w:t xml:space="preserve">ou </w:t>
      </w:r>
      <w:r w:rsidR="009D2F1F" w:rsidRPr="009B4616">
        <w:rPr>
          <w:rFonts w:asciiTheme="majorHAnsi" w:hAnsiTheme="majorHAnsi"/>
          <w:iCs/>
          <w:lang w:val="fr-CA"/>
        </w:rPr>
        <w:t>2</w:t>
      </w:r>
      <w:r w:rsidR="00F173AA" w:rsidRPr="009B4616">
        <w:rPr>
          <w:rFonts w:asciiTheme="majorHAnsi" w:hAnsiTheme="majorHAnsi"/>
          <w:iCs/>
          <w:lang w:val="fr-CA"/>
        </w:rPr>
        <w:t>8</w:t>
      </w:r>
      <w:r>
        <w:rPr>
          <w:rFonts w:asciiTheme="majorHAnsi" w:hAnsiTheme="majorHAnsi"/>
          <w:iCs/>
          <w:lang w:val="fr-CA"/>
        </w:rPr>
        <w:t xml:space="preserve"> </w:t>
      </w:r>
      <w:r w:rsidR="00F173AA" w:rsidRPr="009B4616">
        <w:rPr>
          <w:rFonts w:asciiTheme="majorHAnsi" w:hAnsiTheme="majorHAnsi"/>
          <w:iCs/>
          <w:lang w:val="fr-CA"/>
        </w:rPr>
        <w:t>236</w:t>
      </w:r>
      <w:r w:rsidR="009D2F1F" w:rsidRPr="009B4616">
        <w:rPr>
          <w:rFonts w:asciiTheme="majorHAnsi" w:hAnsiTheme="majorHAnsi"/>
          <w:iCs/>
          <w:lang w:val="fr-CA"/>
        </w:rPr>
        <w:t xml:space="preserve"> </w:t>
      </w:r>
      <w:r>
        <w:rPr>
          <w:rFonts w:asciiTheme="majorHAnsi" w:hAnsiTheme="majorHAnsi"/>
          <w:iCs/>
          <w:lang w:val="fr-CA"/>
        </w:rPr>
        <w:t xml:space="preserve">$ par année. Les bénéficiaires de l’AE font face à des pressions énormes, alors que leurs revenus diminuent de façon considérable et rapidement; cependant, le coût de la nourriture, du transport, du logement et d’autres services publics ne diminue pas de façon proportionnelle. </w:t>
      </w:r>
      <w:r w:rsidR="00553E5A">
        <w:rPr>
          <w:rFonts w:asciiTheme="majorHAnsi" w:hAnsiTheme="majorHAnsi"/>
          <w:iCs/>
          <w:lang w:val="fr-CA"/>
        </w:rPr>
        <w:t>En vertu du modèle actuel, les bénéficiaires de l’AE détenant un prêt d’études pourraient devoir rembourser ce prêt puisque le montant maximal reçu est supérieur au seuil du PAR.</w:t>
      </w:r>
    </w:p>
    <w:p w14:paraId="0B04E711" w14:textId="77777777" w:rsidR="009D2F1F" w:rsidRPr="009B4616" w:rsidRDefault="009D2F1F" w:rsidP="009D2F1F">
      <w:pPr>
        <w:jc w:val="both"/>
        <w:rPr>
          <w:rFonts w:asciiTheme="majorHAnsi" w:hAnsiTheme="majorHAnsi"/>
          <w:iCs/>
          <w:lang w:val="fr-CA"/>
        </w:rPr>
      </w:pPr>
    </w:p>
    <w:p w14:paraId="63C95846" w14:textId="6ADC4FBD" w:rsidR="003739F0" w:rsidRPr="009B4616" w:rsidRDefault="00720412" w:rsidP="009D2F1F">
      <w:pPr>
        <w:jc w:val="both"/>
        <w:rPr>
          <w:rFonts w:asciiTheme="majorHAnsi" w:hAnsiTheme="majorHAnsi"/>
          <w:iCs/>
          <w:lang w:val="fr-CA"/>
        </w:rPr>
      </w:pPr>
      <w:r>
        <w:rPr>
          <w:rFonts w:asciiTheme="majorHAnsi" w:hAnsiTheme="majorHAnsi"/>
          <w:iCs/>
          <w:lang w:val="fr-CA"/>
        </w:rPr>
        <w:t xml:space="preserve">Dans le même esprit, l’ACAE souhaiterait qu’il existe une option du PAR pour les emprunteurs en congé parental, soit pendant leurs études ou après les avoir terminées. Dans l’analyse fondée sur le sexe du budget de 2016, on révélait que </w:t>
      </w:r>
      <w:r w:rsidR="00A26602">
        <w:rPr>
          <w:rFonts w:asciiTheme="majorHAnsi" w:hAnsiTheme="majorHAnsi"/>
          <w:iCs/>
          <w:lang w:val="fr-CA"/>
        </w:rPr>
        <w:t>60 </w:t>
      </w:r>
      <w:r>
        <w:rPr>
          <w:rFonts w:asciiTheme="majorHAnsi" w:hAnsiTheme="majorHAnsi"/>
          <w:iCs/>
          <w:lang w:val="fr-CA"/>
        </w:rPr>
        <w:t xml:space="preserve">% des emprunteurs du PCPE et </w:t>
      </w:r>
      <w:r w:rsidR="00A26602">
        <w:rPr>
          <w:rFonts w:asciiTheme="majorHAnsi" w:hAnsiTheme="majorHAnsi"/>
          <w:iCs/>
          <w:lang w:val="fr-CA"/>
        </w:rPr>
        <w:t>66 </w:t>
      </w:r>
      <w:r>
        <w:rPr>
          <w:rFonts w:asciiTheme="majorHAnsi" w:hAnsiTheme="majorHAnsi"/>
          <w:iCs/>
          <w:lang w:val="fr-CA"/>
        </w:rPr>
        <w:t>% des utilisateurs du PAR sont des femmes</w:t>
      </w:r>
      <w:r w:rsidR="003739F0" w:rsidRPr="009B4616">
        <w:rPr>
          <w:rStyle w:val="FootnoteReference"/>
          <w:rFonts w:asciiTheme="majorHAnsi" w:hAnsiTheme="majorHAnsi"/>
          <w:iCs/>
          <w:lang w:val="fr-CA"/>
        </w:rPr>
        <w:footnoteReference w:id="45"/>
      </w:r>
      <w:r>
        <w:rPr>
          <w:rFonts w:asciiTheme="majorHAnsi" w:hAnsiTheme="majorHAnsi"/>
          <w:iCs/>
          <w:lang w:val="fr-CA"/>
        </w:rPr>
        <w:t>.</w:t>
      </w:r>
      <w:r w:rsidR="00054ABE" w:rsidRPr="009B4616">
        <w:rPr>
          <w:rFonts w:asciiTheme="majorHAnsi" w:hAnsiTheme="majorHAnsi"/>
          <w:iCs/>
          <w:lang w:val="fr-CA"/>
        </w:rPr>
        <w:t xml:space="preserve"> </w:t>
      </w:r>
      <w:r>
        <w:rPr>
          <w:rFonts w:asciiTheme="majorHAnsi" w:hAnsiTheme="majorHAnsi"/>
          <w:iCs/>
          <w:lang w:val="fr-CA"/>
        </w:rPr>
        <w:t>La moyenne d’âge d’un premier accouchement était de 28,5 ans au Canada en</w:t>
      </w:r>
      <w:r w:rsidR="005B3058" w:rsidRPr="009B4616">
        <w:rPr>
          <w:rFonts w:asciiTheme="majorHAnsi" w:hAnsiTheme="majorHAnsi"/>
          <w:iCs/>
          <w:lang w:val="fr-CA"/>
        </w:rPr>
        <w:t xml:space="preserve"> 2011</w:t>
      </w:r>
      <w:r w:rsidR="00A920DD" w:rsidRPr="009B4616">
        <w:rPr>
          <w:rFonts w:asciiTheme="majorHAnsi" w:hAnsiTheme="majorHAnsi"/>
          <w:iCs/>
          <w:lang w:val="fr-CA"/>
        </w:rPr>
        <w:t>,</w:t>
      </w:r>
      <w:r w:rsidR="005B3058" w:rsidRPr="009B4616">
        <w:rPr>
          <w:rStyle w:val="FootnoteReference"/>
          <w:rFonts w:asciiTheme="majorHAnsi" w:hAnsiTheme="majorHAnsi"/>
          <w:iCs/>
          <w:lang w:val="fr-CA"/>
        </w:rPr>
        <w:footnoteReference w:id="46"/>
      </w:r>
      <w:r w:rsidR="00A920DD" w:rsidRPr="009B4616">
        <w:rPr>
          <w:rFonts w:asciiTheme="majorHAnsi" w:hAnsiTheme="majorHAnsi"/>
          <w:iCs/>
          <w:lang w:val="fr-CA"/>
        </w:rPr>
        <w:t xml:space="preserve"> </w:t>
      </w:r>
      <w:r>
        <w:rPr>
          <w:rFonts w:asciiTheme="majorHAnsi" w:hAnsiTheme="majorHAnsi"/>
          <w:iCs/>
          <w:lang w:val="fr-CA"/>
        </w:rPr>
        <w:t>et près de 200 000 personnes demandent des prestations de congé parental de l’AE chaque année</w:t>
      </w:r>
      <w:r w:rsidR="00A920DD" w:rsidRPr="009B4616">
        <w:rPr>
          <w:rStyle w:val="FootnoteReference"/>
          <w:rFonts w:asciiTheme="majorHAnsi" w:hAnsiTheme="majorHAnsi"/>
          <w:iCs/>
          <w:lang w:val="fr-CA"/>
        </w:rPr>
        <w:footnoteReference w:id="47"/>
      </w:r>
      <w:r>
        <w:rPr>
          <w:rFonts w:asciiTheme="majorHAnsi" w:hAnsiTheme="majorHAnsi"/>
          <w:iCs/>
          <w:lang w:val="fr-CA"/>
        </w:rPr>
        <w:t>. Le diplômé d’études postsecondaires moyen a entre 22 et 24 ans</w:t>
      </w:r>
      <w:r w:rsidR="00006F7A" w:rsidRPr="009B4616">
        <w:rPr>
          <w:rStyle w:val="FootnoteReference"/>
          <w:rFonts w:asciiTheme="majorHAnsi" w:hAnsiTheme="majorHAnsi"/>
          <w:iCs/>
          <w:lang w:val="fr-CA"/>
        </w:rPr>
        <w:footnoteReference w:id="48"/>
      </w:r>
      <w:r w:rsidR="00054ABE" w:rsidRPr="009B4616">
        <w:rPr>
          <w:rFonts w:asciiTheme="majorHAnsi" w:hAnsiTheme="majorHAnsi"/>
          <w:iCs/>
          <w:lang w:val="fr-CA"/>
        </w:rPr>
        <w:t xml:space="preserve"> </w:t>
      </w:r>
      <w:r>
        <w:rPr>
          <w:rFonts w:asciiTheme="majorHAnsi" w:hAnsiTheme="majorHAnsi"/>
          <w:iCs/>
          <w:lang w:val="fr-CA"/>
        </w:rPr>
        <w:t>et la période de remboursement moyenne pour des prêts du PCPE est de 9,5 ans</w:t>
      </w:r>
      <w:r w:rsidR="005B3058" w:rsidRPr="009B4616">
        <w:rPr>
          <w:rStyle w:val="FootnoteReference"/>
          <w:rFonts w:asciiTheme="majorHAnsi" w:hAnsiTheme="majorHAnsi"/>
          <w:iCs/>
          <w:lang w:val="fr-CA"/>
        </w:rPr>
        <w:footnoteReference w:id="49"/>
      </w:r>
      <w:r>
        <w:rPr>
          <w:rFonts w:asciiTheme="majorHAnsi" w:hAnsiTheme="majorHAnsi"/>
          <w:iCs/>
          <w:lang w:val="fr-CA"/>
        </w:rPr>
        <w:t xml:space="preserve">. Comme l’emprunteur moyen rembourse ses prêts jusque dans sa trentaine, il est évident que bon nombre d’entre eux seront en congé parental à un moment donné de cette période de remboursement. </w:t>
      </w:r>
      <w:r w:rsidR="00054ABE" w:rsidRPr="009B4616">
        <w:rPr>
          <w:rFonts w:asciiTheme="majorHAnsi" w:hAnsiTheme="majorHAnsi"/>
          <w:iCs/>
          <w:lang w:val="fr-CA"/>
        </w:rPr>
        <w:t xml:space="preserve">  </w:t>
      </w:r>
    </w:p>
    <w:p w14:paraId="2AD3FD54" w14:textId="77777777" w:rsidR="00054ABE" w:rsidRPr="009B4616" w:rsidRDefault="00054ABE" w:rsidP="009D2F1F">
      <w:pPr>
        <w:jc w:val="both"/>
        <w:rPr>
          <w:rFonts w:asciiTheme="majorHAnsi" w:hAnsiTheme="majorHAnsi"/>
          <w:iCs/>
          <w:lang w:val="fr-CA"/>
        </w:rPr>
      </w:pPr>
    </w:p>
    <w:p w14:paraId="78CB6F0E" w14:textId="2B243B23" w:rsidR="00C1695A" w:rsidRPr="009B4616" w:rsidRDefault="00720412" w:rsidP="009D2F1F">
      <w:pPr>
        <w:jc w:val="both"/>
        <w:rPr>
          <w:rFonts w:asciiTheme="majorHAnsi" w:hAnsiTheme="majorHAnsi"/>
          <w:iCs/>
          <w:lang w:val="fr-CA"/>
        </w:rPr>
      </w:pPr>
      <w:r>
        <w:rPr>
          <w:rFonts w:asciiTheme="majorHAnsi" w:hAnsiTheme="majorHAnsi"/>
          <w:iCs/>
          <w:lang w:val="fr-CA"/>
        </w:rPr>
        <w:lastRenderedPageBreak/>
        <w:t xml:space="preserve">Certains nouveaux parents reçoivent des prestations parentales de l’AE, plus un complément de revenu de leur employeur, mais pour </w:t>
      </w:r>
      <w:r w:rsidR="00E332A7">
        <w:rPr>
          <w:rFonts w:asciiTheme="majorHAnsi" w:hAnsiTheme="majorHAnsi"/>
          <w:iCs/>
          <w:lang w:val="fr-CA"/>
        </w:rPr>
        <w:t>bon nombre d’entre eux, un congé parental se traduit par une importante baisse de revenu. Un grand nombre de travailleurs autonomes ou de personnes en précarité d’emploi ne sont pas du tout admissibles aux prestations parentales de l’AE</w:t>
      </w:r>
      <w:r w:rsidR="009445E2" w:rsidRPr="009B4616">
        <w:rPr>
          <w:rStyle w:val="FootnoteReference"/>
          <w:rFonts w:asciiTheme="majorHAnsi" w:hAnsiTheme="majorHAnsi"/>
          <w:iCs/>
          <w:lang w:val="fr-CA"/>
        </w:rPr>
        <w:footnoteReference w:id="50"/>
      </w:r>
      <w:r w:rsidR="00E332A7">
        <w:rPr>
          <w:rFonts w:asciiTheme="majorHAnsi" w:hAnsiTheme="majorHAnsi"/>
          <w:iCs/>
          <w:lang w:val="fr-CA"/>
        </w:rPr>
        <w:t>. Certains pourraient alors devenir admissibles au PAR en raison de la baisse de leurs revenus, mais nous déplorons le fait que ce programme soit encore mal connu. D’autres sont susceptibles d’être exclus du programme car leur revenu de congé parental est légèrement supérieur aux seuils d’admissibilité du PAR, mais cela n’empêche pas le remboursement de leur dette de rester particulièrement difficile dans ces circonstances.</w:t>
      </w:r>
      <w:r w:rsidR="008E7960" w:rsidRPr="009B4616">
        <w:rPr>
          <w:rFonts w:asciiTheme="majorHAnsi" w:hAnsiTheme="majorHAnsi"/>
          <w:iCs/>
          <w:lang w:val="fr-CA"/>
        </w:rPr>
        <w:t xml:space="preserve"> </w:t>
      </w:r>
    </w:p>
    <w:p w14:paraId="04B55EB4" w14:textId="77777777" w:rsidR="00C1695A" w:rsidRPr="009B4616" w:rsidRDefault="00C1695A" w:rsidP="009D2F1F">
      <w:pPr>
        <w:jc w:val="both"/>
        <w:rPr>
          <w:rFonts w:asciiTheme="majorHAnsi" w:hAnsiTheme="majorHAnsi"/>
          <w:iCs/>
          <w:lang w:val="fr-CA"/>
        </w:rPr>
      </w:pPr>
    </w:p>
    <w:p w14:paraId="1E1076CB" w14:textId="19D00267" w:rsidR="00054ABE" w:rsidRPr="009B4616" w:rsidRDefault="00E332A7" w:rsidP="009D2F1F">
      <w:pPr>
        <w:jc w:val="both"/>
        <w:rPr>
          <w:rFonts w:asciiTheme="majorHAnsi" w:hAnsiTheme="majorHAnsi"/>
          <w:iCs/>
          <w:lang w:val="fr-CA"/>
        </w:rPr>
      </w:pPr>
      <w:r>
        <w:rPr>
          <w:rFonts w:asciiTheme="majorHAnsi" w:hAnsiTheme="majorHAnsi"/>
          <w:iCs/>
          <w:lang w:val="fr-CA"/>
        </w:rPr>
        <w:t xml:space="preserve">Cette situation est particulièrement problématique car, comme le soulignent les experts, les paiements mensuels calculés en fonction du revenu dans le cadre du programme actuel sont très élevés pour les emprunteurs dont le revenu se trouve dans la fourchette des </w:t>
      </w:r>
      <w:r w:rsidR="00A26602">
        <w:rPr>
          <w:rFonts w:asciiTheme="majorHAnsi" w:hAnsiTheme="majorHAnsi"/>
          <w:iCs/>
          <w:lang w:val="fr-CA"/>
        </w:rPr>
        <w:t>25 000 </w:t>
      </w:r>
      <w:r>
        <w:rPr>
          <w:rFonts w:asciiTheme="majorHAnsi" w:hAnsiTheme="majorHAnsi"/>
          <w:iCs/>
          <w:lang w:val="fr-CA"/>
        </w:rPr>
        <w:t xml:space="preserve">$ à </w:t>
      </w:r>
      <w:r w:rsidR="00A26602">
        <w:rPr>
          <w:rFonts w:asciiTheme="majorHAnsi" w:hAnsiTheme="majorHAnsi"/>
          <w:iCs/>
          <w:lang w:val="fr-CA"/>
        </w:rPr>
        <w:t>50 000 </w:t>
      </w:r>
      <w:r>
        <w:rPr>
          <w:rFonts w:asciiTheme="majorHAnsi" w:hAnsiTheme="majorHAnsi"/>
          <w:iCs/>
          <w:lang w:val="fr-CA"/>
        </w:rPr>
        <w:t>$</w:t>
      </w:r>
      <w:r w:rsidR="008E7960" w:rsidRPr="009B4616">
        <w:rPr>
          <w:rStyle w:val="FootnoteReference"/>
          <w:rFonts w:asciiTheme="majorHAnsi" w:hAnsiTheme="majorHAnsi"/>
          <w:iCs/>
          <w:lang w:val="fr-CA"/>
        </w:rPr>
        <w:footnoteReference w:id="51"/>
      </w:r>
      <w:r>
        <w:rPr>
          <w:rFonts w:asciiTheme="majorHAnsi" w:hAnsiTheme="majorHAnsi"/>
          <w:iCs/>
          <w:lang w:val="fr-CA"/>
        </w:rPr>
        <w:t>.</w:t>
      </w:r>
      <w:r w:rsidR="00A920DD" w:rsidRPr="009B4616">
        <w:rPr>
          <w:rFonts w:asciiTheme="majorHAnsi" w:hAnsiTheme="majorHAnsi"/>
          <w:iCs/>
          <w:lang w:val="fr-CA"/>
        </w:rPr>
        <w:t xml:space="preserve"> </w:t>
      </w:r>
      <w:r>
        <w:rPr>
          <w:rFonts w:asciiTheme="majorHAnsi" w:hAnsiTheme="majorHAnsi"/>
          <w:iCs/>
          <w:lang w:val="fr-CA"/>
        </w:rPr>
        <w:t xml:space="preserve">La prestation de congé parental de l’AE, après tout, ne remplace que </w:t>
      </w:r>
      <w:r w:rsidR="00A26602">
        <w:rPr>
          <w:rFonts w:asciiTheme="majorHAnsi" w:hAnsiTheme="majorHAnsi"/>
          <w:iCs/>
          <w:lang w:val="fr-CA"/>
        </w:rPr>
        <w:t>55 </w:t>
      </w:r>
      <w:r>
        <w:rPr>
          <w:rFonts w:asciiTheme="majorHAnsi" w:hAnsiTheme="majorHAnsi"/>
          <w:iCs/>
          <w:lang w:val="fr-CA"/>
        </w:rPr>
        <w:t xml:space="preserve">% du revenu assurable de chaque parent, jusqu’à un plafond annuel (établi à </w:t>
      </w:r>
      <w:r w:rsidR="00A26602">
        <w:rPr>
          <w:rFonts w:asciiTheme="majorHAnsi" w:hAnsiTheme="majorHAnsi"/>
          <w:iCs/>
          <w:lang w:val="fr-CA"/>
        </w:rPr>
        <w:t>51 300 </w:t>
      </w:r>
      <w:r>
        <w:rPr>
          <w:rFonts w:asciiTheme="majorHAnsi" w:hAnsiTheme="majorHAnsi"/>
          <w:iCs/>
          <w:lang w:val="fr-CA"/>
        </w:rPr>
        <w:t>$</w:t>
      </w:r>
      <w:r w:rsidR="00A920DD" w:rsidRPr="009B4616">
        <w:rPr>
          <w:rFonts w:asciiTheme="majorHAnsi" w:hAnsiTheme="majorHAnsi"/>
          <w:iCs/>
          <w:lang w:val="fr-CA"/>
        </w:rPr>
        <w:t xml:space="preserve"> </w:t>
      </w:r>
      <w:r>
        <w:rPr>
          <w:rFonts w:asciiTheme="majorHAnsi" w:hAnsiTheme="majorHAnsi"/>
          <w:iCs/>
          <w:lang w:val="fr-CA"/>
        </w:rPr>
        <w:t>en 2017) »</w:t>
      </w:r>
      <w:r w:rsidR="00A920DD" w:rsidRPr="009B4616">
        <w:rPr>
          <w:rStyle w:val="FootnoteReference"/>
          <w:rFonts w:asciiTheme="majorHAnsi" w:hAnsiTheme="majorHAnsi"/>
          <w:iCs/>
          <w:lang w:val="fr-CA"/>
        </w:rPr>
        <w:footnoteReference w:id="52"/>
      </w:r>
      <w:r w:rsidR="00623B40">
        <w:rPr>
          <w:rFonts w:asciiTheme="majorHAnsi" w:hAnsiTheme="majorHAnsi"/>
          <w:iCs/>
          <w:lang w:val="fr-CA"/>
        </w:rPr>
        <w:t xml:space="preserve">. </w:t>
      </w:r>
      <w:r>
        <w:rPr>
          <w:rFonts w:asciiTheme="majorHAnsi" w:hAnsiTheme="majorHAnsi"/>
          <w:iCs/>
          <w:lang w:val="fr-CA"/>
        </w:rPr>
        <w:t>Un volet du PAR dédié aux congés parentaux permettrait de combler ce manque à gagner tout en favorisant la participation des femmes au marché du travail.</w:t>
      </w:r>
    </w:p>
    <w:p w14:paraId="3E4C5B1C" w14:textId="77777777" w:rsidR="003739F0" w:rsidRPr="009B4616" w:rsidRDefault="003739F0" w:rsidP="009D2F1F">
      <w:pPr>
        <w:jc w:val="both"/>
        <w:rPr>
          <w:rFonts w:asciiTheme="majorHAnsi" w:hAnsiTheme="majorHAnsi"/>
          <w:iCs/>
          <w:lang w:val="fr-CA"/>
        </w:rPr>
      </w:pPr>
    </w:p>
    <w:p w14:paraId="3EE8B8A1" w14:textId="15ED169C" w:rsidR="009D2F1F" w:rsidRPr="009B4616" w:rsidRDefault="005C7E28" w:rsidP="009D2F1F">
      <w:pPr>
        <w:jc w:val="both"/>
        <w:rPr>
          <w:rFonts w:asciiTheme="majorHAnsi" w:hAnsiTheme="majorHAnsi"/>
          <w:lang w:val="fr-CA"/>
        </w:rPr>
      </w:pPr>
      <w:r>
        <w:rPr>
          <w:rFonts w:asciiTheme="majorHAnsi" w:hAnsiTheme="majorHAnsi"/>
          <w:iCs/>
          <w:lang w:val="fr-CA"/>
        </w:rPr>
        <w:t xml:space="preserve">En outre, dans le cadre du PAR, les emprunteurs admissibles doivent présenter une nouvelle demande tous les six mois. Compte tenu de la lourdeur du processus de demande, cette obligation impose un fardeau excessif aux participants du programme, notamment une lourde paperasserie, des méthodes de confirmation de revenu et </w:t>
      </w:r>
      <w:r w:rsidR="00081B2A">
        <w:rPr>
          <w:rFonts w:asciiTheme="majorHAnsi" w:hAnsiTheme="majorHAnsi"/>
          <w:iCs/>
          <w:lang w:val="fr-CA"/>
        </w:rPr>
        <w:t>d</w:t>
      </w:r>
      <w:r>
        <w:rPr>
          <w:rFonts w:asciiTheme="majorHAnsi" w:hAnsiTheme="majorHAnsi"/>
          <w:iCs/>
          <w:lang w:val="fr-CA"/>
        </w:rPr>
        <w:t>es procédures d’envoi après une première inscription au programme</w:t>
      </w:r>
      <w:r w:rsidR="00081B2A">
        <w:rPr>
          <w:rFonts w:asciiTheme="majorHAnsi" w:hAnsiTheme="majorHAnsi"/>
          <w:iCs/>
          <w:lang w:val="fr-CA"/>
        </w:rPr>
        <w:t xml:space="preserve"> inutilement strictes</w:t>
      </w:r>
      <w:r>
        <w:rPr>
          <w:rFonts w:asciiTheme="majorHAnsi" w:hAnsiTheme="majorHAnsi"/>
          <w:iCs/>
          <w:lang w:val="fr-CA"/>
        </w:rPr>
        <w:t xml:space="preserve">. Ainsi, l’ACAE s’inquiète au sujet de l’utilisation du PAR et de la participation au programme. Les taux d’utilisation montrent que même si davantage de participants au PAR proviennent des universités, le taux d’utilisation le plus élevé est observé chez des participants d’établissements privés, et ce, dans une vaste proportion. Ce constat reflète les niveaux de diplomation généralement plus faibles que l’on observe </w:t>
      </w:r>
      <w:r w:rsidR="00081B2A">
        <w:rPr>
          <w:rFonts w:asciiTheme="majorHAnsi" w:hAnsiTheme="majorHAnsi"/>
          <w:iCs/>
          <w:lang w:val="fr-CA"/>
        </w:rPr>
        <w:t xml:space="preserve">dans </w:t>
      </w:r>
      <w:r>
        <w:rPr>
          <w:rFonts w:asciiTheme="majorHAnsi" w:hAnsiTheme="majorHAnsi"/>
          <w:iCs/>
          <w:lang w:val="fr-CA"/>
        </w:rPr>
        <w:t xml:space="preserve">les programmes privés. Même si de nombreux étudiants bénéficient du PAR, les coûts du programme étaient d’environ </w:t>
      </w:r>
      <w:r w:rsidR="002406B3" w:rsidRPr="009B4616">
        <w:rPr>
          <w:rFonts w:asciiTheme="majorHAnsi" w:hAnsiTheme="majorHAnsi"/>
          <w:lang w:val="fr-CA"/>
        </w:rPr>
        <w:t>123 million</w:t>
      </w:r>
      <w:r>
        <w:rPr>
          <w:rFonts w:asciiTheme="majorHAnsi" w:hAnsiTheme="majorHAnsi"/>
          <w:lang w:val="fr-CA"/>
        </w:rPr>
        <w:t>s de dollars</w:t>
      </w:r>
      <w:r w:rsidR="002406B3" w:rsidRPr="009B4616">
        <w:rPr>
          <w:rFonts w:asciiTheme="majorHAnsi" w:hAnsiTheme="majorHAnsi"/>
          <w:lang w:val="fr-CA"/>
        </w:rPr>
        <w:t xml:space="preserve"> </w:t>
      </w:r>
      <w:r>
        <w:rPr>
          <w:rFonts w:asciiTheme="majorHAnsi" w:hAnsiTheme="majorHAnsi"/>
          <w:lang w:val="fr-CA"/>
        </w:rPr>
        <w:t xml:space="preserve">en </w:t>
      </w:r>
      <w:r w:rsidR="0046182C" w:rsidRPr="009B4616">
        <w:rPr>
          <w:rFonts w:asciiTheme="majorHAnsi" w:hAnsiTheme="majorHAnsi"/>
          <w:lang w:val="fr-CA"/>
        </w:rPr>
        <w:t>2012-</w:t>
      </w:r>
      <w:r>
        <w:rPr>
          <w:rFonts w:asciiTheme="majorHAnsi" w:hAnsiTheme="majorHAnsi"/>
          <w:lang w:val="fr-CA"/>
        </w:rPr>
        <w:t>20</w:t>
      </w:r>
      <w:r w:rsidR="0046182C" w:rsidRPr="009B4616">
        <w:rPr>
          <w:rFonts w:asciiTheme="majorHAnsi" w:hAnsiTheme="majorHAnsi"/>
          <w:lang w:val="fr-CA"/>
        </w:rPr>
        <w:t>13</w:t>
      </w:r>
      <w:r w:rsidR="002406B3" w:rsidRPr="009B4616">
        <w:rPr>
          <w:rFonts w:asciiTheme="majorHAnsi" w:hAnsiTheme="majorHAnsi"/>
          <w:lang w:val="fr-CA"/>
        </w:rPr>
        <w:t xml:space="preserve"> </w:t>
      </w:r>
      <w:r>
        <w:rPr>
          <w:rFonts w:asciiTheme="majorHAnsi" w:hAnsiTheme="majorHAnsi"/>
          <w:lang w:val="fr-CA"/>
        </w:rPr>
        <w:t xml:space="preserve">et de </w:t>
      </w:r>
      <w:r w:rsidR="002406B3" w:rsidRPr="009B4616">
        <w:rPr>
          <w:rFonts w:asciiTheme="majorHAnsi" w:hAnsiTheme="majorHAnsi"/>
          <w:lang w:val="fr-CA"/>
        </w:rPr>
        <w:t>141</w:t>
      </w:r>
      <w:r>
        <w:rPr>
          <w:rFonts w:asciiTheme="majorHAnsi" w:hAnsiTheme="majorHAnsi"/>
          <w:lang w:val="fr-CA"/>
        </w:rPr>
        <w:t>,</w:t>
      </w:r>
      <w:r w:rsidR="002406B3" w:rsidRPr="009B4616">
        <w:rPr>
          <w:rFonts w:asciiTheme="majorHAnsi" w:hAnsiTheme="majorHAnsi"/>
          <w:lang w:val="fr-CA"/>
        </w:rPr>
        <w:t>5 million</w:t>
      </w:r>
      <w:r>
        <w:rPr>
          <w:rFonts w:asciiTheme="majorHAnsi" w:hAnsiTheme="majorHAnsi"/>
          <w:lang w:val="fr-CA"/>
        </w:rPr>
        <w:t xml:space="preserve">s de dollars en </w:t>
      </w:r>
      <w:r w:rsidR="002406B3" w:rsidRPr="009B4616">
        <w:rPr>
          <w:rFonts w:asciiTheme="majorHAnsi" w:hAnsiTheme="majorHAnsi"/>
          <w:lang w:val="fr-CA"/>
        </w:rPr>
        <w:t>2013-</w:t>
      </w:r>
      <w:r>
        <w:rPr>
          <w:rFonts w:asciiTheme="majorHAnsi" w:hAnsiTheme="majorHAnsi"/>
          <w:lang w:val="fr-CA"/>
        </w:rPr>
        <w:t>20</w:t>
      </w:r>
      <w:r w:rsidR="002406B3" w:rsidRPr="009B4616">
        <w:rPr>
          <w:rFonts w:asciiTheme="majorHAnsi" w:hAnsiTheme="majorHAnsi"/>
          <w:lang w:val="fr-CA"/>
        </w:rPr>
        <w:t>14</w:t>
      </w:r>
      <w:r w:rsidR="009D2F1F" w:rsidRPr="009B4616">
        <w:rPr>
          <w:rStyle w:val="FootnoteReference"/>
          <w:rFonts w:asciiTheme="majorHAnsi" w:hAnsiTheme="majorHAnsi"/>
          <w:lang w:val="fr-CA"/>
        </w:rPr>
        <w:footnoteReference w:id="53"/>
      </w:r>
      <w:r>
        <w:rPr>
          <w:rFonts w:asciiTheme="majorHAnsi" w:hAnsiTheme="majorHAnsi"/>
          <w:lang w:val="fr-CA"/>
        </w:rPr>
        <w:t xml:space="preserve">, ce </w:t>
      </w:r>
      <w:r w:rsidR="00081B2A">
        <w:rPr>
          <w:rFonts w:asciiTheme="majorHAnsi" w:hAnsiTheme="majorHAnsi"/>
          <w:lang w:val="fr-CA"/>
        </w:rPr>
        <w:t xml:space="preserve">qui </w:t>
      </w:r>
      <w:r>
        <w:rPr>
          <w:rFonts w:asciiTheme="majorHAnsi" w:hAnsiTheme="majorHAnsi"/>
          <w:lang w:val="fr-CA"/>
        </w:rPr>
        <w:t xml:space="preserve">est de beaucoup inférieur à la valeur des prêts radiés </w:t>
      </w:r>
      <w:r>
        <w:rPr>
          <w:rFonts w:asciiTheme="majorHAnsi" w:hAnsiTheme="majorHAnsi"/>
          <w:lang w:val="fr-CA"/>
        </w:rPr>
        <w:lastRenderedPageBreak/>
        <w:t>pour défaut de paiement. Cela laisse entendre que le PAR serait plus accessible si le programme était simplifié, pour ainsi aider davantage d’étudiants à éviter un défaut de paiement et améliorer la viabilité générale du PCPE.</w:t>
      </w:r>
    </w:p>
    <w:p w14:paraId="00FFCEF6" w14:textId="77777777" w:rsidR="009D2F1F" w:rsidRPr="009B4616" w:rsidRDefault="009D2F1F" w:rsidP="009D2F1F">
      <w:pPr>
        <w:jc w:val="both"/>
        <w:rPr>
          <w:rFonts w:asciiTheme="majorHAnsi" w:hAnsiTheme="majorHAnsi"/>
          <w:lang w:val="fr-CA"/>
        </w:rPr>
      </w:pPr>
    </w:p>
    <w:p w14:paraId="70B35801" w14:textId="7A524D36" w:rsidR="009D2F1F" w:rsidRPr="009B4616" w:rsidRDefault="00081B2A" w:rsidP="009D2F1F">
      <w:pPr>
        <w:jc w:val="both"/>
        <w:rPr>
          <w:rFonts w:asciiTheme="majorHAnsi" w:hAnsiTheme="majorHAnsi"/>
          <w:lang w:val="fr-CA"/>
        </w:rPr>
      </w:pPr>
      <w:r>
        <w:rPr>
          <w:rFonts w:asciiTheme="majorHAnsi" w:hAnsiTheme="majorHAnsi"/>
          <w:lang w:val="fr-CA"/>
        </w:rPr>
        <w:t xml:space="preserve">Enfin, le niveau de remboursement au-dessus du seuil de </w:t>
      </w:r>
      <w:r w:rsidR="00A26602">
        <w:rPr>
          <w:rFonts w:asciiTheme="majorHAnsi" w:hAnsiTheme="majorHAnsi"/>
          <w:lang w:val="fr-CA"/>
        </w:rPr>
        <w:t>20 </w:t>
      </w:r>
      <w:r>
        <w:rPr>
          <w:rFonts w:asciiTheme="majorHAnsi" w:hAnsiTheme="majorHAnsi"/>
          <w:lang w:val="fr-CA"/>
        </w:rPr>
        <w:t xml:space="preserve">% des revenus d’un emprunteur est trop élevé, surtout pour ceux qui gagnent plus de </w:t>
      </w:r>
      <w:r w:rsidR="00A26602">
        <w:rPr>
          <w:rFonts w:asciiTheme="majorHAnsi" w:hAnsiTheme="majorHAnsi"/>
          <w:lang w:val="fr-CA"/>
        </w:rPr>
        <w:t>25 000 </w:t>
      </w:r>
      <w:r>
        <w:rPr>
          <w:rFonts w:asciiTheme="majorHAnsi" w:hAnsiTheme="majorHAnsi"/>
          <w:lang w:val="fr-CA"/>
        </w:rPr>
        <w:t xml:space="preserve">$, mais </w:t>
      </w:r>
      <w:r w:rsidR="00007532">
        <w:rPr>
          <w:rFonts w:asciiTheme="majorHAnsi" w:hAnsiTheme="majorHAnsi"/>
          <w:lang w:val="fr-CA"/>
        </w:rPr>
        <w:t>dont le revenu reste relativement faible</w:t>
      </w:r>
      <w:r w:rsidR="00C26885" w:rsidRPr="009B4616">
        <w:rPr>
          <w:rStyle w:val="FootnoteReference"/>
          <w:rFonts w:asciiTheme="majorHAnsi" w:hAnsiTheme="majorHAnsi"/>
          <w:lang w:val="fr-CA"/>
        </w:rPr>
        <w:footnoteReference w:id="54"/>
      </w:r>
      <w:r w:rsidR="00007532">
        <w:rPr>
          <w:rFonts w:asciiTheme="majorHAnsi" w:hAnsiTheme="majorHAnsi"/>
          <w:lang w:val="fr-CA"/>
        </w:rPr>
        <w:t>.</w:t>
      </w:r>
      <w:r w:rsidR="00456B33" w:rsidRPr="009B4616">
        <w:rPr>
          <w:rFonts w:asciiTheme="majorHAnsi" w:hAnsiTheme="majorHAnsi"/>
          <w:lang w:val="fr-CA"/>
        </w:rPr>
        <w:t xml:space="preserve"> </w:t>
      </w:r>
      <w:r w:rsidR="00007532">
        <w:rPr>
          <w:rFonts w:asciiTheme="majorHAnsi" w:hAnsiTheme="majorHAnsi"/>
          <w:lang w:val="fr-CA"/>
        </w:rPr>
        <w:t xml:space="preserve">Si l’on faisait passer ce pourcentage de </w:t>
      </w:r>
      <w:r w:rsidR="00A26602">
        <w:rPr>
          <w:rFonts w:asciiTheme="majorHAnsi" w:hAnsiTheme="majorHAnsi"/>
          <w:lang w:val="fr-CA"/>
        </w:rPr>
        <w:t>20 </w:t>
      </w:r>
      <w:r w:rsidR="00007532">
        <w:rPr>
          <w:rFonts w:asciiTheme="majorHAnsi" w:hAnsiTheme="majorHAnsi"/>
          <w:lang w:val="fr-CA"/>
        </w:rPr>
        <w:t xml:space="preserve">% à </w:t>
      </w:r>
      <w:r w:rsidR="00A26602">
        <w:rPr>
          <w:rFonts w:asciiTheme="majorHAnsi" w:hAnsiTheme="majorHAnsi"/>
          <w:lang w:val="fr-CA"/>
        </w:rPr>
        <w:t>10 </w:t>
      </w:r>
      <w:r w:rsidR="00007532">
        <w:rPr>
          <w:rFonts w:asciiTheme="majorHAnsi" w:hAnsiTheme="majorHAnsi"/>
          <w:lang w:val="fr-CA"/>
        </w:rPr>
        <w:t>%, cela favoriserait la capacité de remboursement des participants au PAR. En outre, le PAR pourrait être offert à davantage d’étudiants en relevant les seuils de revenus ouvrant droit à une exemption de paiement.</w:t>
      </w:r>
      <w:r w:rsidR="00456B33" w:rsidRPr="009B4616">
        <w:rPr>
          <w:rFonts w:asciiTheme="majorHAnsi" w:hAnsiTheme="majorHAnsi"/>
          <w:lang w:val="fr-CA"/>
        </w:rPr>
        <w:t xml:space="preserve"> </w:t>
      </w:r>
    </w:p>
    <w:p w14:paraId="2B4417C0" w14:textId="77777777" w:rsidR="00C36483" w:rsidRPr="009B4616" w:rsidRDefault="00C36483" w:rsidP="00846BC8">
      <w:pPr>
        <w:jc w:val="both"/>
        <w:rPr>
          <w:rFonts w:asciiTheme="majorHAnsi" w:hAnsiTheme="majorHAnsi"/>
          <w:lang w:val="fr-CA"/>
        </w:rPr>
      </w:pPr>
    </w:p>
    <w:p w14:paraId="6E4FE9A7" w14:textId="28223F88" w:rsidR="009D2F1F" w:rsidRPr="009B4616" w:rsidRDefault="00007532" w:rsidP="009D2F1F">
      <w:pPr>
        <w:jc w:val="both"/>
        <w:rPr>
          <w:rFonts w:asciiTheme="majorHAnsi" w:hAnsiTheme="majorHAnsi"/>
          <w:lang w:val="fr-CA"/>
        </w:rPr>
      </w:pPr>
      <w:r>
        <w:rPr>
          <w:rFonts w:asciiTheme="majorHAnsi" w:hAnsiTheme="majorHAnsi"/>
          <w:lang w:val="fr-CA"/>
        </w:rPr>
        <w:t xml:space="preserve">L’ACAE propose les changements suivants au PAR : </w:t>
      </w:r>
    </w:p>
    <w:p w14:paraId="0AC3A1C2" w14:textId="77777777" w:rsidR="009D2F1F" w:rsidRPr="009B4616" w:rsidRDefault="009D2F1F" w:rsidP="009D2F1F">
      <w:pPr>
        <w:jc w:val="both"/>
        <w:rPr>
          <w:rFonts w:asciiTheme="majorHAnsi" w:hAnsiTheme="majorHAnsi"/>
          <w:lang w:val="fr-CA"/>
        </w:rPr>
      </w:pPr>
    </w:p>
    <w:p w14:paraId="0E214D25" w14:textId="2CF58C41" w:rsidR="009D2F1F" w:rsidRPr="009B4616" w:rsidRDefault="00007532" w:rsidP="009D2F1F">
      <w:pPr>
        <w:pStyle w:val="ListParagraph"/>
        <w:numPr>
          <w:ilvl w:val="0"/>
          <w:numId w:val="21"/>
        </w:numPr>
        <w:jc w:val="both"/>
        <w:rPr>
          <w:rFonts w:asciiTheme="majorHAnsi" w:hAnsiTheme="majorHAnsi" w:cs="Times New Roman"/>
          <w:lang w:val="fr-CA"/>
        </w:rPr>
      </w:pPr>
      <w:r>
        <w:rPr>
          <w:rFonts w:asciiTheme="majorHAnsi" w:hAnsiTheme="majorHAnsi"/>
          <w:lang w:val="fr-CA"/>
        </w:rPr>
        <w:t>Fonder le calcul du paiement abordable sur le revenu après impôt, plutôt que sur le revenu brut familial.</w:t>
      </w:r>
      <w:r w:rsidR="00B245D5" w:rsidRPr="009B4616">
        <w:rPr>
          <w:rFonts w:asciiTheme="majorHAnsi" w:hAnsiTheme="majorHAnsi"/>
          <w:lang w:val="fr-CA"/>
        </w:rPr>
        <w:t xml:space="preserve"> </w:t>
      </w:r>
    </w:p>
    <w:p w14:paraId="231AFB88" w14:textId="37C02ACE" w:rsidR="00503360" w:rsidRPr="009B4616" w:rsidRDefault="00007532" w:rsidP="00503360">
      <w:pPr>
        <w:pStyle w:val="ListParagraph"/>
        <w:numPr>
          <w:ilvl w:val="0"/>
          <w:numId w:val="21"/>
        </w:numPr>
        <w:jc w:val="both"/>
        <w:rPr>
          <w:rFonts w:asciiTheme="majorHAnsi" w:hAnsiTheme="majorHAnsi" w:cs="Times New Roman"/>
          <w:lang w:val="fr-CA"/>
        </w:rPr>
      </w:pPr>
      <w:r>
        <w:rPr>
          <w:rFonts w:asciiTheme="majorHAnsi" w:hAnsiTheme="majorHAnsi"/>
          <w:lang w:val="fr-CA"/>
        </w:rPr>
        <w:t xml:space="preserve">Éliminer l’obligation pour les emprunteurs en défaut de paiement de commencer à effectuer leurs remboursements avant d’être admissibles au PAR. </w:t>
      </w:r>
    </w:p>
    <w:p w14:paraId="49D48395" w14:textId="1B65F4E9" w:rsidR="009D2F1F" w:rsidRPr="009B4616" w:rsidRDefault="00007532" w:rsidP="009D2F1F">
      <w:pPr>
        <w:pStyle w:val="ListParagraph"/>
        <w:numPr>
          <w:ilvl w:val="0"/>
          <w:numId w:val="21"/>
        </w:numPr>
        <w:jc w:val="both"/>
        <w:rPr>
          <w:rFonts w:asciiTheme="majorHAnsi" w:hAnsiTheme="majorHAnsi" w:cs="Times New Roman"/>
          <w:lang w:val="fr-CA"/>
        </w:rPr>
      </w:pPr>
      <w:r>
        <w:rPr>
          <w:rFonts w:asciiTheme="majorHAnsi" w:hAnsiTheme="majorHAnsi"/>
          <w:lang w:val="fr-CA"/>
        </w:rPr>
        <w:t xml:space="preserve">Exempter les bénéficiaires de l’AE du remboursement de leur prêt. </w:t>
      </w:r>
    </w:p>
    <w:p w14:paraId="73502516" w14:textId="37521851" w:rsidR="00CA3F37" w:rsidRPr="009B4616" w:rsidRDefault="00007532" w:rsidP="009D2F1F">
      <w:pPr>
        <w:pStyle w:val="ListParagraph"/>
        <w:numPr>
          <w:ilvl w:val="0"/>
          <w:numId w:val="21"/>
        </w:numPr>
        <w:jc w:val="both"/>
        <w:rPr>
          <w:rFonts w:asciiTheme="majorHAnsi" w:hAnsiTheme="majorHAnsi" w:cs="Times New Roman"/>
          <w:lang w:val="fr-CA"/>
        </w:rPr>
      </w:pPr>
      <w:r>
        <w:rPr>
          <w:rFonts w:asciiTheme="majorHAnsi" w:hAnsiTheme="majorHAnsi"/>
          <w:lang w:val="fr-CA"/>
        </w:rPr>
        <w:t>Offrir une option « congé parental » dans le cadre du PAR au moment de la naissance ou de l’adoption d’un enfant.</w:t>
      </w:r>
      <w:r w:rsidR="00CA3F37" w:rsidRPr="009B4616">
        <w:rPr>
          <w:rFonts w:asciiTheme="majorHAnsi" w:hAnsiTheme="majorHAnsi"/>
          <w:lang w:val="fr-CA"/>
        </w:rPr>
        <w:t xml:space="preserve"> </w:t>
      </w:r>
    </w:p>
    <w:p w14:paraId="78C8C5F0" w14:textId="5B3417AB" w:rsidR="009D2F1F" w:rsidRPr="009B4616" w:rsidRDefault="00007532" w:rsidP="009D2F1F">
      <w:pPr>
        <w:pStyle w:val="ListParagraph"/>
        <w:numPr>
          <w:ilvl w:val="0"/>
          <w:numId w:val="21"/>
        </w:numPr>
        <w:jc w:val="both"/>
        <w:rPr>
          <w:rFonts w:asciiTheme="majorHAnsi" w:hAnsiTheme="majorHAnsi" w:cs="Times New Roman"/>
          <w:lang w:val="fr-CA"/>
        </w:rPr>
      </w:pPr>
      <w:r>
        <w:rPr>
          <w:rFonts w:asciiTheme="majorHAnsi" w:hAnsiTheme="majorHAnsi"/>
          <w:lang w:val="fr-CA"/>
        </w:rPr>
        <w:t>Un processus amélioré et plus efficace d’inscription au PAR, sans dépasser une demande de renouvellement par année.</w:t>
      </w:r>
      <w:r w:rsidR="003F56B5" w:rsidRPr="009B4616">
        <w:rPr>
          <w:rFonts w:asciiTheme="majorHAnsi" w:hAnsiTheme="majorHAnsi"/>
          <w:lang w:val="fr-CA"/>
        </w:rPr>
        <w:t xml:space="preserve"> </w:t>
      </w:r>
    </w:p>
    <w:p w14:paraId="2F45C6F4" w14:textId="03BEDF3B" w:rsidR="009D2F1F" w:rsidRPr="009B4616" w:rsidRDefault="00007532" w:rsidP="00444F3D">
      <w:pPr>
        <w:pStyle w:val="ListParagraph"/>
        <w:numPr>
          <w:ilvl w:val="0"/>
          <w:numId w:val="21"/>
        </w:numPr>
        <w:jc w:val="both"/>
        <w:rPr>
          <w:rFonts w:asciiTheme="majorHAnsi" w:hAnsiTheme="majorHAnsi" w:cs="Times New Roman"/>
          <w:lang w:val="fr-CA"/>
        </w:rPr>
      </w:pPr>
      <w:r>
        <w:rPr>
          <w:rFonts w:asciiTheme="majorHAnsi" w:hAnsiTheme="majorHAnsi"/>
          <w:lang w:val="fr-CA"/>
        </w:rPr>
        <w:t xml:space="preserve">Réduire le pourcentage du revenu alloué au remboursement de </w:t>
      </w:r>
      <w:r w:rsidR="00A26602">
        <w:rPr>
          <w:rFonts w:asciiTheme="majorHAnsi" w:hAnsiTheme="majorHAnsi"/>
          <w:lang w:val="fr-CA"/>
        </w:rPr>
        <w:t>20 </w:t>
      </w:r>
      <w:r>
        <w:rPr>
          <w:rFonts w:asciiTheme="majorHAnsi" w:hAnsiTheme="majorHAnsi"/>
          <w:lang w:val="fr-CA"/>
        </w:rPr>
        <w:t xml:space="preserve">% à </w:t>
      </w:r>
      <w:r w:rsidR="00A26602">
        <w:rPr>
          <w:rFonts w:asciiTheme="majorHAnsi" w:hAnsiTheme="majorHAnsi"/>
          <w:lang w:val="fr-CA"/>
        </w:rPr>
        <w:t>10 </w:t>
      </w:r>
      <w:r>
        <w:rPr>
          <w:rFonts w:asciiTheme="majorHAnsi" w:hAnsiTheme="majorHAnsi"/>
          <w:lang w:val="fr-CA"/>
        </w:rPr>
        <w:t xml:space="preserve">%. </w:t>
      </w:r>
    </w:p>
    <w:p w14:paraId="20084597" w14:textId="26641B21" w:rsidR="00AD69A7" w:rsidRPr="009B4616" w:rsidRDefault="00007532" w:rsidP="00B92B74">
      <w:pPr>
        <w:pStyle w:val="Heading1"/>
        <w:rPr>
          <w:lang w:val="fr-CA"/>
        </w:rPr>
      </w:pPr>
      <w:bookmarkStart w:id="17" w:name="_Toc514316696"/>
      <w:r>
        <w:rPr>
          <w:lang w:val="fr-CA"/>
        </w:rPr>
        <w:t>Résumé des changements proposés</w:t>
      </w:r>
      <w:bookmarkEnd w:id="17"/>
      <w:r>
        <w:rPr>
          <w:lang w:val="fr-CA"/>
        </w:rPr>
        <w:t xml:space="preserve"> </w:t>
      </w:r>
    </w:p>
    <w:p w14:paraId="7862724A" w14:textId="77777777" w:rsidR="00436F73" w:rsidRPr="009B4616" w:rsidRDefault="00436F73" w:rsidP="00436F73">
      <w:pPr>
        <w:pStyle w:val="NoSpacing"/>
        <w:jc w:val="both"/>
        <w:rPr>
          <w:rFonts w:asciiTheme="majorHAnsi" w:hAnsiTheme="majorHAnsi"/>
          <w:sz w:val="24"/>
          <w:szCs w:val="24"/>
          <w:lang w:val="fr-CA" w:eastAsia="en-CA"/>
        </w:rPr>
      </w:pPr>
    </w:p>
    <w:p w14:paraId="73C7892D" w14:textId="52CBD7EF" w:rsidR="00436F73" w:rsidRPr="009B4616" w:rsidRDefault="00007532" w:rsidP="00436F73">
      <w:pPr>
        <w:pStyle w:val="NoSpacing"/>
        <w:jc w:val="both"/>
        <w:rPr>
          <w:rFonts w:asciiTheme="majorHAnsi" w:hAnsiTheme="majorHAnsi"/>
          <w:sz w:val="24"/>
          <w:szCs w:val="24"/>
          <w:lang w:val="fr-CA" w:eastAsia="en-CA"/>
        </w:rPr>
      </w:pPr>
      <w:r>
        <w:rPr>
          <w:rFonts w:asciiTheme="majorHAnsi" w:hAnsiTheme="majorHAnsi"/>
          <w:sz w:val="24"/>
          <w:szCs w:val="24"/>
          <w:lang w:val="fr-CA" w:eastAsia="en-CA"/>
        </w:rPr>
        <w:t xml:space="preserve">L’Alliance canadienne des associations étudiantes veut s’assurer qu’aucun étudiant qualifié </w:t>
      </w:r>
      <w:r w:rsidR="00B057D5">
        <w:rPr>
          <w:rFonts w:asciiTheme="majorHAnsi" w:hAnsiTheme="majorHAnsi"/>
          <w:sz w:val="24"/>
          <w:szCs w:val="24"/>
          <w:lang w:val="fr-CA" w:eastAsia="en-CA"/>
        </w:rPr>
        <w:t xml:space="preserve">ne </w:t>
      </w:r>
      <w:r>
        <w:rPr>
          <w:rFonts w:asciiTheme="majorHAnsi" w:hAnsiTheme="majorHAnsi"/>
          <w:sz w:val="24"/>
          <w:szCs w:val="24"/>
          <w:lang w:val="fr-CA" w:eastAsia="en-CA"/>
        </w:rPr>
        <w:t xml:space="preserve">se voit refuser l’accès aux EP. </w:t>
      </w:r>
      <w:r w:rsidR="00B057D5">
        <w:rPr>
          <w:rFonts w:asciiTheme="majorHAnsi" w:hAnsiTheme="majorHAnsi"/>
          <w:sz w:val="24"/>
          <w:szCs w:val="24"/>
          <w:lang w:val="fr-CA" w:eastAsia="en-CA"/>
        </w:rPr>
        <w:t>L’aide financière aux étudiants aide ces derniers à couvrir les coûts associés à la poursuite d’études supérieures, et il est faut absolument éviter que le manque de ressources financières ne devienne un obstacle à l’accès ou à la persévérance, peu importe le milieu d’où l’on provient.</w:t>
      </w:r>
    </w:p>
    <w:p w14:paraId="48E66CC6" w14:textId="77777777" w:rsidR="00436F73" w:rsidRPr="009B4616" w:rsidRDefault="00436F73" w:rsidP="004C5170">
      <w:pPr>
        <w:rPr>
          <w:rFonts w:asciiTheme="majorHAnsi" w:hAnsiTheme="majorHAnsi"/>
          <w:lang w:val="fr-CA"/>
        </w:rPr>
      </w:pPr>
    </w:p>
    <w:p w14:paraId="4AE7B149" w14:textId="79A29B45" w:rsidR="004C5170" w:rsidRPr="009B4616" w:rsidRDefault="00B057D5" w:rsidP="004C5170">
      <w:pPr>
        <w:rPr>
          <w:rFonts w:asciiTheme="majorHAnsi" w:hAnsiTheme="majorHAnsi"/>
          <w:lang w:val="fr-CA"/>
        </w:rPr>
      </w:pPr>
      <w:r>
        <w:rPr>
          <w:rFonts w:asciiTheme="majorHAnsi" w:hAnsiTheme="majorHAnsi"/>
          <w:lang w:val="fr-CA"/>
        </w:rPr>
        <w:t xml:space="preserve">Étudiants autochtones : </w:t>
      </w:r>
    </w:p>
    <w:p w14:paraId="4022816F" w14:textId="18C6DA12" w:rsidR="00D44FE4" w:rsidRPr="009B4616" w:rsidRDefault="00B057D5" w:rsidP="00D44FE4">
      <w:pPr>
        <w:pStyle w:val="ListParagraph"/>
        <w:numPr>
          <w:ilvl w:val="0"/>
          <w:numId w:val="7"/>
        </w:numPr>
        <w:rPr>
          <w:rFonts w:asciiTheme="majorHAnsi" w:hAnsiTheme="majorHAnsi"/>
          <w:lang w:val="fr-CA"/>
        </w:rPr>
      </w:pPr>
      <w:r>
        <w:rPr>
          <w:rFonts w:asciiTheme="majorHAnsi" w:hAnsiTheme="majorHAnsi"/>
          <w:lang w:val="fr-CA"/>
        </w:rPr>
        <w:t xml:space="preserve">Financer pleinement l’arriéré du PAEP et investir dans une aide financière pour tous les étudiants autochtones et </w:t>
      </w:r>
      <w:proofErr w:type="spellStart"/>
      <w:r>
        <w:rPr>
          <w:rFonts w:asciiTheme="majorHAnsi" w:hAnsiTheme="majorHAnsi"/>
          <w:lang w:val="fr-CA"/>
        </w:rPr>
        <w:t>inuits</w:t>
      </w:r>
      <w:proofErr w:type="spellEnd"/>
      <w:r>
        <w:rPr>
          <w:rFonts w:asciiTheme="majorHAnsi" w:hAnsiTheme="majorHAnsi"/>
          <w:lang w:val="fr-CA"/>
        </w:rPr>
        <w:t xml:space="preserve"> admissibles en fonction des coûts réels de la formation.</w:t>
      </w:r>
    </w:p>
    <w:p w14:paraId="6652219A" w14:textId="476AC048" w:rsidR="00721FA8" w:rsidRPr="009B4616" w:rsidRDefault="00B057D5" w:rsidP="004C5170">
      <w:pPr>
        <w:pStyle w:val="ListParagraph"/>
        <w:numPr>
          <w:ilvl w:val="0"/>
          <w:numId w:val="7"/>
        </w:numPr>
        <w:rPr>
          <w:rFonts w:asciiTheme="majorHAnsi" w:hAnsiTheme="majorHAnsi"/>
          <w:lang w:val="fr-CA"/>
        </w:rPr>
      </w:pPr>
      <w:r>
        <w:rPr>
          <w:rFonts w:asciiTheme="majorHAnsi" w:hAnsiTheme="majorHAnsi"/>
          <w:lang w:val="fr-CA"/>
        </w:rPr>
        <w:lastRenderedPageBreak/>
        <w:t>Verser des fonds du PAEP aux conseils de bande pour des tâches de nature administrative.</w:t>
      </w:r>
      <w:r w:rsidR="00A40DA2" w:rsidRPr="009B4616">
        <w:rPr>
          <w:rFonts w:asciiTheme="majorHAnsi" w:hAnsiTheme="majorHAnsi"/>
          <w:lang w:val="fr-CA"/>
        </w:rPr>
        <w:t xml:space="preserve"> </w:t>
      </w:r>
    </w:p>
    <w:p w14:paraId="506E691A" w14:textId="08F45060" w:rsidR="004D4153" w:rsidRPr="009B4616" w:rsidRDefault="00B057D5" w:rsidP="004D4153">
      <w:pPr>
        <w:pStyle w:val="ListParagraph"/>
        <w:numPr>
          <w:ilvl w:val="0"/>
          <w:numId w:val="7"/>
        </w:numPr>
        <w:rPr>
          <w:rFonts w:asciiTheme="majorHAnsi" w:hAnsiTheme="majorHAnsi"/>
          <w:lang w:val="fr-CA"/>
        </w:rPr>
      </w:pPr>
      <w:r>
        <w:rPr>
          <w:rFonts w:asciiTheme="majorHAnsi" w:hAnsiTheme="majorHAnsi"/>
          <w:lang w:val="fr-CA"/>
        </w:rPr>
        <w:t>Créer une aide financière pour tous les étudiants autochtones, incluant les Métis et ceux qui n’ont pas de statut.</w:t>
      </w:r>
      <w:r w:rsidR="004D4153" w:rsidRPr="009B4616">
        <w:rPr>
          <w:rFonts w:asciiTheme="majorHAnsi" w:hAnsiTheme="majorHAnsi"/>
          <w:lang w:val="fr-CA"/>
        </w:rPr>
        <w:t xml:space="preserve"> </w:t>
      </w:r>
    </w:p>
    <w:p w14:paraId="6766AE59" w14:textId="77777777" w:rsidR="00436F73" w:rsidRPr="009B4616" w:rsidRDefault="00436F73" w:rsidP="00890D57">
      <w:pPr>
        <w:rPr>
          <w:rFonts w:asciiTheme="majorHAnsi" w:hAnsiTheme="majorHAnsi"/>
          <w:lang w:val="fr-CA"/>
        </w:rPr>
      </w:pPr>
    </w:p>
    <w:p w14:paraId="164908A6" w14:textId="5CCAE66A" w:rsidR="00AD69A7" w:rsidRPr="009B4616" w:rsidRDefault="00B057D5" w:rsidP="00890D57">
      <w:pPr>
        <w:rPr>
          <w:rFonts w:asciiTheme="majorHAnsi" w:hAnsiTheme="majorHAnsi"/>
          <w:lang w:val="fr-CA"/>
        </w:rPr>
      </w:pPr>
      <w:r>
        <w:rPr>
          <w:rFonts w:asciiTheme="majorHAnsi" w:hAnsiTheme="majorHAnsi"/>
          <w:lang w:val="fr-CA"/>
        </w:rPr>
        <w:t xml:space="preserve">Bourses : </w:t>
      </w:r>
    </w:p>
    <w:p w14:paraId="6FE5022D" w14:textId="0245B815" w:rsidR="00A40DA2" w:rsidRPr="009B4616" w:rsidRDefault="00B057D5" w:rsidP="001D2DE7">
      <w:pPr>
        <w:pStyle w:val="ListParagraph"/>
        <w:numPr>
          <w:ilvl w:val="0"/>
          <w:numId w:val="6"/>
        </w:numPr>
        <w:rPr>
          <w:rFonts w:asciiTheme="majorHAnsi" w:hAnsiTheme="majorHAnsi"/>
          <w:lang w:val="fr-CA"/>
        </w:rPr>
      </w:pPr>
      <w:r>
        <w:rPr>
          <w:rFonts w:asciiTheme="majorHAnsi" w:hAnsiTheme="majorHAnsi"/>
          <w:lang w:val="fr-CA"/>
        </w:rPr>
        <w:t>Créer de nouvelles mesures d’admissibilité aux bourses pour les groupes sous-représentés dans les établissements d’enseignement postsecondaire.</w:t>
      </w:r>
      <w:r w:rsidR="00D35C9C" w:rsidRPr="009B4616">
        <w:rPr>
          <w:rFonts w:asciiTheme="majorHAnsi" w:hAnsiTheme="majorHAnsi"/>
          <w:lang w:val="fr-CA"/>
        </w:rPr>
        <w:t xml:space="preserve"> </w:t>
      </w:r>
    </w:p>
    <w:p w14:paraId="621CAFEC" w14:textId="7D574A6D" w:rsidR="00BD4F1C" w:rsidRPr="009B4616" w:rsidRDefault="00B057D5" w:rsidP="00BD4F1C">
      <w:pPr>
        <w:pStyle w:val="ListParagraph"/>
        <w:numPr>
          <w:ilvl w:val="0"/>
          <w:numId w:val="6"/>
        </w:numPr>
        <w:rPr>
          <w:rFonts w:asciiTheme="majorHAnsi" w:hAnsiTheme="majorHAnsi"/>
          <w:lang w:val="fr-CA"/>
        </w:rPr>
      </w:pPr>
      <w:r>
        <w:rPr>
          <w:rFonts w:asciiTheme="majorHAnsi" w:hAnsiTheme="majorHAnsi"/>
          <w:lang w:val="fr-CA"/>
        </w:rPr>
        <w:t xml:space="preserve">Élargir la portée des bourses canadiennes pour étudiants afin d’inclure les étudiants des cycles supérieurs. </w:t>
      </w:r>
    </w:p>
    <w:p w14:paraId="3F916F56" w14:textId="2183CFDA" w:rsidR="00D35C9C" w:rsidRPr="009B4616" w:rsidRDefault="00B057D5" w:rsidP="001D2DE7">
      <w:pPr>
        <w:pStyle w:val="ListParagraph"/>
        <w:numPr>
          <w:ilvl w:val="0"/>
          <w:numId w:val="6"/>
        </w:numPr>
        <w:rPr>
          <w:rFonts w:asciiTheme="majorHAnsi" w:hAnsiTheme="majorHAnsi"/>
          <w:lang w:val="fr-CA"/>
        </w:rPr>
      </w:pPr>
      <w:r>
        <w:rPr>
          <w:rFonts w:asciiTheme="majorHAnsi" w:hAnsiTheme="majorHAnsi"/>
          <w:lang w:val="fr-CA"/>
        </w:rPr>
        <w:t>Indexer les bourses en fonction du volet « éducation » de l’IPC.</w:t>
      </w:r>
      <w:r w:rsidR="00D35C9C" w:rsidRPr="009B4616">
        <w:rPr>
          <w:rFonts w:asciiTheme="majorHAnsi" w:hAnsiTheme="majorHAnsi"/>
          <w:lang w:val="fr-CA"/>
        </w:rPr>
        <w:t xml:space="preserve"> </w:t>
      </w:r>
    </w:p>
    <w:p w14:paraId="4968FACD" w14:textId="77777777" w:rsidR="00436F73" w:rsidRPr="009B4616" w:rsidRDefault="00436F73" w:rsidP="00016A31">
      <w:pPr>
        <w:rPr>
          <w:rFonts w:asciiTheme="majorHAnsi" w:hAnsiTheme="majorHAnsi"/>
          <w:lang w:val="fr-CA"/>
        </w:rPr>
      </w:pPr>
    </w:p>
    <w:p w14:paraId="72F7CC5E" w14:textId="0BD8297C" w:rsidR="00EA6EAF" w:rsidRPr="009B4616" w:rsidRDefault="00B057D5" w:rsidP="00016A31">
      <w:pPr>
        <w:rPr>
          <w:rFonts w:asciiTheme="majorHAnsi" w:hAnsiTheme="majorHAnsi"/>
          <w:lang w:val="fr-CA"/>
        </w:rPr>
      </w:pPr>
      <w:r>
        <w:rPr>
          <w:rFonts w:asciiTheme="majorHAnsi" w:hAnsiTheme="majorHAnsi"/>
          <w:lang w:val="fr-CA"/>
        </w:rPr>
        <w:t xml:space="preserve">Étudiants handicapés : </w:t>
      </w:r>
    </w:p>
    <w:p w14:paraId="5C8584AD" w14:textId="5E94F11F" w:rsidR="00EA6EAF" w:rsidRPr="009B4616" w:rsidRDefault="00B057D5" w:rsidP="009805B0">
      <w:pPr>
        <w:pStyle w:val="ListParagraph"/>
        <w:numPr>
          <w:ilvl w:val="0"/>
          <w:numId w:val="35"/>
        </w:numPr>
        <w:rPr>
          <w:rFonts w:asciiTheme="majorHAnsi" w:hAnsiTheme="majorHAnsi"/>
          <w:lang w:val="fr-CA"/>
        </w:rPr>
      </w:pPr>
      <w:r>
        <w:rPr>
          <w:rFonts w:asciiTheme="majorHAnsi" w:hAnsiTheme="majorHAnsi"/>
          <w:lang w:val="fr-CA"/>
        </w:rPr>
        <w:t xml:space="preserve">Augmenter la valeur de la Bourse pour étudiants ayant une incapacité permanente de </w:t>
      </w:r>
      <w:r w:rsidR="00A26602">
        <w:rPr>
          <w:rFonts w:asciiTheme="majorHAnsi" w:hAnsiTheme="majorHAnsi"/>
          <w:lang w:val="fr-CA"/>
        </w:rPr>
        <w:t>50 </w:t>
      </w:r>
      <w:r>
        <w:rPr>
          <w:rFonts w:asciiTheme="majorHAnsi" w:hAnsiTheme="majorHAnsi"/>
          <w:lang w:val="fr-CA"/>
        </w:rPr>
        <w:t xml:space="preserve">%. </w:t>
      </w:r>
    </w:p>
    <w:p w14:paraId="046C1865" w14:textId="085BD8FF" w:rsidR="00EA6EAF" w:rsidRPr="009B4616" w:rsidRDefault="00B057D5" w:rsidP="009805B0">
      <w:pPr>
        <w:pStyle w:val="ListParagraph"/>
        <w:numPr>
          <w:ilvl w:val="0"/>
          <w:numId w:val="35"/>
        </w:numPr>
        <w:rPr>
          <w:rFonts w:asciiTheme="majorHAnsi" w:hAnsiTheme="majorHAnsi"/>
          <w:lang w:val="fr-CA"/>
        </w:rPr>
      </w:pPr>
      <w:r>
        <w:rPr>
          <w:rFonts w:asciiTheme="majorHAnsi" w:hAnsiTheme="majorHAnsi"/>
          <w:lang w:val="fr-CA"/>
        </w:rPr>
        <w:t>Le PCPE devrait réviser sa définition « d’incapacité permanente » afin de mieux refléter la diversité des besoins des étudiants.</w:t>
      </w:r>
      <w:r w:rsidR="00EA6EAF" w:rsidRPr="009B4616">
        <w:rPr>
          <w:rFonts w:asciiTheme="majorHAnsi" w:hAnsiTheme="majorHAnsi"/>
          <w:lang w:val="fr-CA"/>
        </w:rPr>
        <w:t xml:space="preserve"> </w:t>
      </w:r>
    </w:p>
    <w:p w14:paraId="380C690B" w14:textId="18939B5D" w:rsidR="00EA6EAF" w:rsidRPr="009B4616" w:rsidRDefault="00B057D5" w:rsidP="009805B0">
      <w:pPr>
        <w:pStyle w:val="ListParagraph"/>
        <w:numPr>
          <w:ilvl w:val="0"/>
          <w:numId w:val="35"/>
        </w:numPr>
        <w:rPr>
          <w:rFonts w:asciiTheme="majorHAnsi" w:hAnsiTheme="majorHAnsi"/>
          <w:lang w:val="fr-CA"/>
        </w:rPr>
      </w:pPr>
      <w:r>
        <w:rPr>
          <w:rFonts w:asciiTheme="majorHAnsi" w:hAnsiTheme="majorHAnsi"/>
          <w:lang w:val="fr-CA"/>
        </w:rPr>
        <w:t xml:space="preserve">Le PCPE devrait permettre aux étudiants handicapés de prendre un congé pour raisons médicales d’au moins deux ans. </w:t>
      </w:r>
    </w:p>
    <w:p w14:paraId="27682DB5" w14:textId="77777777" w:rsidR="00EA6EAF" w:rsidRPr="009B4616" w:rsidRDefault="00EA6EAF" w:rsidP="00016A31">
      <w:pPr>
        <w:rPr>
          <w:rFonts w:asciiTheme="majorHAnsi" w:hAnsiTheme="majorHAnsi"/>
          <w:lang w:val="fr-CA"/>
        </w:rPr>
      </w:pPr>
    </w:p>
    <w:p w14:paraId="5B6A6C07" w14:textId="098689D5" w:rsidR="00016A31" w:rsidRPr="009B4616" w:rsidRDefault="00B057D5" w:rsidP="00016A31">
      <w:pPr>
        <w:rPr>
          <w:rFonts w:asciiTheme="majorHAnsi" w:hAnsiTheme="majorHAnsi"/>
          <w:lang w:val="fr-CA"/>
        </w:rPr>
      </w:pPr>
      <w:r>
        <w:rPr>
          <w:rFonts w:asciiTheme="majorHAnsi" w:hAnsiTheme="majorHAnsi"/>
          <w:lang w:val="fr-CA"/>
        </w:rPr>
        <w:t xml:space="preserve">Prêts d’études et administration de l’aide financière : </w:t>
      </w:r>
    </w:p>
    <w:p w14:paraId="6E70FA6C" w14:textId="6E9F4203" w:rsidR="00FB38A7" w:rsidRPr="009B4616" w:rsidRDefault="00B057D5" w:rsidP="00D35C9C">
      <w:pPr>
        <w:pStyle w:val="ListParagraph"/>
        <w:numPr>
          <w:ilvl w:val="0"/>
          <w:numId w:val="11"/>
        </w:numPr>
        <w:rPr>
          <w:rFonts w:asciiTheme="majorHAnsi" w:hAnsiTheme="majorHAnsi"/>
          <w:lang w:val="fr-CA"/>
        </w:rPr>
      </w:pPr>
      <w:r>
        <w:rPr>
          <w:rFonts w:asciiTheme="majorHAnsi" w:hAnsiTheme="majorHAnsi"/>
          <w:lang w:val="fr-CA"/>
        </w:rPr>
        <w:t>Taux d’</w:t>
      </w:r>
      <w:r w:rsidR="00623B40">
        <w:rPr>
          <w:rFonts w:asciiTheme="majorHAnsi" w:hAnsiTheme="majorHAnsi"/>
          <w:lang w:val="fr-CA"/>
        </w:rPr>
        <w:t>intérêt</w:t>
      </w:r>
      <w:r>
        <w:rPr>
          <w:rFonts w:asciiTheme="majorHAnsi" w:hAnsiTheme="majorHAnsi"/>
          <w:lang w:val="fr-CA"/>
        </w:rPr>
        <w:t xml:space="preserve"> plus faibles s’appliquant au coût d’emprunt du gouvernement et volets distincts « privé et public » afin d’éliminer éventuellement les taux d’intérêt</w:t>
      </w:r>
      <w:r w:rsidR="00FB38A7" w:rsidRPr="009B4616">
        <w:rPr>
          <w:rFonts w:asciiTheme="majorHAnsi" w:hAnsiTheme="majorHAnsi"/>
          <w:lang w:val="fr-CA"/>
        </w:rPr>
        <w:t xml:space="preserve">. </w:t>
      </w:r>
    </w:p>
    <w:p w14:paraId="551E7C6E" w14:textId="31205303" w:rsidR="003D1C23" w:rsidRPr="009B4616" w:rsidRDefault="00184839" w:rsidP="003D1C23">
      <w:pPr>
        <w:pStyle w:val="ListParagraph"/>
        <w:numPr>
          <w:ilvl w:val="0"/>
          <w:numId w:val="11"/>
        </w:numPr>
        <w:rPr>
          <w:rFonts w:asciiTheme="majorHAnsi" w:hAnsiTheme="majorHAnsi"/>
          <w:lang w:val="fr-CA"/>
        </w:rPr>
      </w:pPr>
      <w:r>
        <w:rPr>
          <w:rFonts w:asciiTheme="majorHAnsi" w:hAnsiTheme="majorHAnsi"/>
          <w:lang w:val="fr-CA"/>
        </w:rPr>
        <w:t>Augmenter les limites de prêts pour combler les manques à gagner et indexer les niveaux d’aide maximum au volet « éducation » de l’IPC.</w:t>
      </w:r>
      <w:r w:rsidR="00FB38A7" w:rsidRPr="009B4616">
        <w:rPr>
          <w:rFonts w:asciiTheme="majorHAnsi" w:hAnsiTheme="majorHAnsi"/>
          <w:lang w:val="fr-CA"/>
        </w:rPr>
        <w:t xml:space="preserve"> </w:t>
      </w:r>
    </w:p>
    <w:p w14:paraId="50500E97" w14:textId="701B506D" w:rsidR="003D1C23" w:rsidRPr="009B4616" w:rsidRDefault="00184839" w:rsidP="003D1C23">
      <w:pPr>
        <w:pStyle w:val="ListParagraph"/>
        <w:numPr>
          <w:ilvl w:val="0"/>
          <w:numId w:val="9"/>
        </w:numPr>
        <w:rPr>
          <w:rFonts w:asciiTheme="majorHAnsi" w:hAnsiTheme="majorHAnsi"/>
          <w:lang w:val="fr-CA"/>
        </w:rPr>
      </w:pPr>
      <w:r>
        <w:rPr>
          <w:rFonts w:asciiTheme="majorHAnsi" w:hAnsiTheme="majorHAnsi"/>
          <w:lang w:val="fr-CA"/>
        </w:rPr>
        <w:t xml:space="preserve">Verser l’aide financière au moins 1 semaine avant la date butoir pour le paiement des frais de scolarité. </w:t>
      </w:r>
    </w:p>
    <w:p w14:paraId="6D430B17" w14:textId="164D5940" w:rsidR="00436F73" w:rsidRPr="009B4616" w:rsidRDefault="00184839" w:rsidP="00016A31">
      <w:pPr>
        <w:pStyle w:val="ListParagraph"/>
        <w:numPr>
          <w:ilvl w:val="0"/>
          <w:numId w:val="9"/>
        </w:numPr>
        <w:rPr>
          <w:rFonts w:asciiTheme="majorHAnsi" w:hAnsiTheme="majorHAnsi"/>
          <w:lang w:val="fr-CA"/>
        </w:rPr>
      </w:pPr>
      <w:r>
        <w:rPr>
          <w:rFonts w:asciiTheme="majorHAnsi" w:hAnsiTheme="majorHAnsi"/>
          <w:lang w:val="fr-CA"/>
        </w:rPr>
        <w:t>S’assurer que tous les étudiants peuvent se prévaloir d’un processus d’appel accessible et simple, qui leur permet d’obtenir une rétroaction sur les motifs invoqués et sur l’issue de leur appel.</w:t>
      </w:r>
      <w:r w:rsidR="003D1C23" w:rsidRPr="009B4616">
        <w:rPr>
          <w:rFonts w:asciiTheme="majorHAnsi" w:hAnsiTheme="majorHAnsi"/>
          <w:lang w:val="fr-CA"/>
        </w:rPr>
        <w:t xml:space="preserve"> </w:t>
      </w:r>
    </w:p>
    <w:p w14:paraId="6C447DCE" w14:textId="77777777" w:rsidR="003D1C23" w:rsidRPr="009B4616" w:rsidRDefault="003D1C23" w:rsidP="00016A31">
      <w:pPr>
        <w:rPr>
          <w:rFonts w:asciiTheme="majorHAnsi" w:hAnsiTheme="majorHAnsi"/>
          <w:lang w:val="fr-CA"/>
        </w:rPr>
      </w:pPr>
    </w:p>
    <w:p w14:paraId="400D5E60" w14:textId="3E9EB8C3" w:rsidR="00016A31" w:rsidRPr="009B4616" w:rsidRDefault="00184839" w:rsidP="00016A31">
      <w:pPr>
        <w:rPr>
          <w:rFonts w:asciiTheme="majorHAnsi" w:hAnsiTheme="majorHAnsi"/>
          <w:lang w:val="fr-CA"/>
        </w:rPr>
      </w:pPr>
      <w:r>
        <w:rPr>
          <w:rFonts w:asciiTheme="majorHAnsi" w:hAnsiTheme="majorHAnsi"/>
          <w:lang w:val="fr-CA"/>
        </w:rPr>
        <w:t>Aide au remboursement :</w:t>
      </w:r>
      <w:r w:rsidR="00016A31" w:rsidRPr="009B4616">
        <w:rPr>
          <w:rFonts w:asciiTheme="majorHAnsi" w:hAnsiTheme="majorHAnsi"/>
          <w:lang w:val="fr-CA"/>
        </w:rPr>
        <w:t xml:space="preserve"> </w:t>
      </w:r>
    </w:p>
    <w:p w14:paraId="5BEA6DCD" w14:textId="09E0C834" w:rsidR="00D35C9C" w:rsidRPr="009B4616" w:rsidRDefault="00184839" w:rsidP="00D35C9C">
      <w:pPr>
        <w:pStyle w:val="ListParagraph"/>
        <w:numPr>
          <w:ilvl w:val="0"/>
          <w:numId w:val="10"/>
        </w:numPr>
        <w:rPr>
          <w:rFonts w:asciiTheme="majorHAnsi" w:hAnsiTheme="majorHAnsi"/>
          <w:lang w:val="fr-CA"/>
        </w:rPr>
      </w:pPr>
      <w:r>
        <w:rPr>
          <w:rFonts w:asciiTheme="majorHAnsi" w:hAnsiTheme="majorHAnsi"/>
          <w:lang w:val="fr-CA"/>
        </w:rPr>
        <w:t xml:space="preserve">Éliminer immédiatement l’accumulation des intérêts pendant la « période de </w:t>
      </w:r>
      <w:r w:rsidR="00623B40">
        <w:rPr>
          <w:rFonts w:asciiTheme="majorHAnsi" w:hAnsiTheme="majorHAnsi"/>
          <w:lang w:val="fr-CA"/>
        </w:rPr>
        <w:t>non-remboursement</w:t>
      </w:r>
      <w:r>
        <w:rPr>
          <w:rFonts w:asciiTheme="majorHAnsi" w:hAnsiTheme="majorHAnsi"/>
          <w:lang w:val="fr-CA"/>
        </w:rPr>
        <w:t xml:space="preserve">/délai de grâce » de 6 mois pour tous les prêts d’études. </w:t>
      </w:r>
      <w:r w:rsidR="00D35C9C" w:rsidRPr="009B4616">
        <w:rPr>
          <w:rFonts w:asciiTheme="majorHAnsi" w:hAnsiTheme="majorHAnsi"/>
          <w:lang w:val="fr-CA"/>
        </w:rPr>
        <w:t xml:space="preserve"> </w:t>
      </w:r>
    </w:p>
    <w:p w14:paraId="4B834503" w14:textId="7EA06DE4" w:rsidR="00B245D5" w:rsidRPr="009B4616" w:rsidRDefault="00184839" w:rsidP="00D35C9C">
      <w:pPr>
        <w:pStyle w:val="ListParagraph"/>
        <w:numPr>
          <w:ilvl w:val="0"/>
          <w:numId w:val="10"/>
        </w:numPr>
        <w:rPr>
          <w:rFonts w:asciiTheme="majorHAnsi" w:hAnsiTheme="majorHAnsi"/>
          <w:lang w:val="fr-CA"/>
        </w:rPr>
      </w:pPr>
      <w:r>
        <w:rPr>
          <w:rFonts w:asciiTheme="majorHAnsi" w:hAnsiTheme="majorHAnsi"/>
          <w:lang w:val="fr-CA"/>
        </w:rPr>
        <w:t>Fonder les calculs du PAR sur le revenu après impôt et offrir, dans le cadre du PAR, des options s’adressant aux emprunteurs bénéficiant de l’AE et à ceux qui sont en congé parental.</w:t>
      </w:r>
      <w:r w:rsidR="00B245D5" w:rsidRPr="009B4616">
        <w:rPr>
          <w:rFonts w:asciiTheme="majorHAnsi" w:hAnsiTheme="majorHAnsi"/>
          <w:lang w:val="fr-CA"/>
        </w:rPr>
        <w:t xml:space="preserve"> </w:t>
      </w:r>
    </w:p>
    <w:p w14:paraId="05FB6161" w14:textId="68492C25" w:rsidR="00B245D5" w:rsidRPr="009B4616" w:rsidRDefault="00184839" w:rsidP="00D35C9C">
      <w:pPr>
        <w:pStyle w:val="ListParagraph"/>
        <w:numPr>
          <w:ilvl w:val="0"/>
          <w:numId w:val="10"/>
        </w:numPr>
        <w:rPr>
          <w:rFonts w:asciiTheme="majorHAnsi" w:hAnsiTheme="majorHAnsi"/>
          <w:lang w:val="fr-CA"/>
        </w:rPr>
      </w:pPr>
      <w:r>
        <w:rPr>
          <w:rFonts w:asciiTheme="majorHAnsi" w:hAnsiTheme="majorHAnsi"/>
          <w:lang w:val="fr-CA"/>
        </w:rPr>
        <w:t>Permettre aux emprunteurs en défaut de paiement de devenir admissibles au programme et simplifier le processus d’inscription au PAR.</w:t>
      </w:r>
      <w:r w:rsidR="00B245D5" w:rsidRPr="009B4616">
        <w:rPr>
          <w:rFonts w:asciiTheme="majorHAnsi" w:hAnsiTheme="majorHAnsi"/>
          <w:lang w:val="fr-CA"/>
        </w:rPr>
        <w:t xml:space="preserve"> </w:t>
      </w:r>
    </w:p>
    <w:p w14:paraId="17D37F30" w14:textId="55A040D3" w:rsidR="00B245D5" w:rsidRPr="009B4616" w:rsidRDefault="00184839" w:rsidP="00D35C9C">
      <w:pPr>
        <w:pStyle w:val="ListParagraph"/>
        <w:numPr>
          <w:ilvl w:val="0"/>
          <w:numId w:val="10"/>
        </w:numPr>
        <w:rPr>
          <w:rFonts w:asciiTheme="majorHAnsi" w:hAnsiTheme="majorHAnsi"/>
          <w:lang w:val="fr-CA"/>
        </w:rPr>
      </w:pPr>
      <w:r>
        <w:rPr>
          <w:rFonts w:asciiTheme="majorHAnsi" w:hAnsiTheme="majorHAnsi"/>
          <w:lang w:val="fr-CA"/>
        </w:rPr>
        <w:t xml:space="preserve">Dans le cadre du PAR, réduire le pourcentage de revenu qui doit être alloué au remboursement de </w:t>
      </w:r>
      <w:r w:rsidR="00A26602">
        <w:rPr>
          <w:rFonts w:asciiTheme="majorHAnsi" w:hAnsiTheme="majorHAnsi"/>
          <w:lang w:val="fr-CA"/>
        </w:rPr>
        <w:t>20 </w:t>
      </w:r>
      <w:r>
        <w:rPr>
          <w:rFonts w:asciiTheme="majorHAnsi" w:hAnsiTheme="majorHAnsi"/>
          <w:lang w:val="fr-CA"/>
        </w:rPr>
        <w:t xml:space="preserve">% à </w:t>
      </w:r>
      <w:r w:rsidR="00A26602">
        <w:rPr>
          <w:rFonts w:asciiTheme="majorHAnsi" w:hAnsiTheme="majorHAnsi"/>
          <w:lang w:val="fr-CA"/>
        </w:rPr>
        <w:t>10 </w:t>
      </w:r>
      <w:r>
        <w:rPr>
          <w:rFonts w:asciiTheme="majorHAnsi" w:hAnsiTheme="majorHAnsi"/>
          <w:lang w:val="fr-CA"/>
        </w:rPr>
        <w:t>%.</w:t>
      </w:r>
      <w:r w:rsidR="00B245D5" w:rsidRPr="009B4616">
        <w:rPr>
          <w:rFonts w:asciiTheme="majorHAnsi" w:hAnsiTheme="majorHAnsi"/>
          <w:lang w:val="fr-CA"/>
        </w:rPr>
        <w:t xml:space="preserve"> </w:t>
      </w:r>
    </w:p>
    <w:p w14:paraId="68309DD3" w14:textId="77777777" w:rsidR="006D496F" w:rsidRPr="009B4616" w:rsidRDefault="006D496F" w:rsidP="00B245D5">
      <w:pPr>
        <w:rPr>
          <w:rFonts w:asciiTheme="majorHAnsi" w:hAnsiTheme="majorHAnsi"/>
          <w:lang w:val="fr-CA"/>
        </w:rPr>
      </w:pPr>
    </w:p>
    <w:p w14:paraId="64F19183" w14:textId="226841FB" w:rsidR="00720C38" w:rsidRPr="009B4616" w:rsidRDefault="00184839" w:rsidP="00B245D5">
      <w:pPr>
        <w:rPr>
          <w:rFonts w:asciiTheme="majorHAnsi" w:hAnsiTheme="majorHAnsi"/>
          <w:lang w:val="fr-CA"/>
        </w:rPr>
      </w:pPr>
      <w:r>
        <w:rPr>
          <w:rFonts w:asciiTheme="majorHAnsi" w:hAnsiTheme="majorHAnsi"/>
          <w:lang w:val="fr-CA"/>
        </w:rPr>
        <w:lastRenderedPageBreak/>
        <w:t>Grâce à ces réformes de l’aide financière aux étudiants du Canada, l’ACAE croit que les Canadiens et le pays dans son ensemble bénéficieront davantage d’un système d’éducation postsecondaire qui est réellement accessible, abordable, novateur et de la plus grande qualité possible.</w:t>
      </w:r>
    </w:p>
    <w:p w14:paraId="2FBAB692" w14:textId="77777777" w:rsidR="006B608D" w:rsidRPr="009B4616" w:rsidRDefault="006B608D" w:rsidP="00B245D5">
      <w:pPr>
        <w:rPr>
          <w:rFonts w:asciiTheme="majorHAnsi" w:hAnsiTheme="majorHAnsi"/>
          <w:lang w:val="fr-CA"/>
        </w:rPr>
      </w:pPr>
    </w:p>
    <w:p w14:paraId="37D27EC5" w14:textId="77777777" w:rsidR="006B608D" w:rsidRPr="002975EA" w:rsidRDefault="006B608D" w:rsidP="006B608D">
      <w:pPr>
        <w:pStyle w:val="Heading1"/>
        <w:rPr>
          <w:lang w:val="en-US"/>
        </w:rPr>
      </w:pPr>
      <w:bookmarkStart w:id="18" w:name="_Toc514316697"/>
      <w:r w:rsidRPr="002975EA">
        <w:rPr>
          <w:lang w:val="en-US"/>
        </w:rPr>
        <w:t>Our Members</w:t>
      </w:r>
      <w:bookmarkEnd w:id="18"/>
    </w:p>
    <w:p w14:paraId="21560D5B" w14:textId="77777777" w:rsidR="006B608D" w:rsidRPr="002975EA" w:rsidRDefault="006B608D" w:rsidP="006B608D">
      <w:pPr>
        <w:spacing w:line="360" w:lineRule="auto"/>
        <w:rPr>
          <w:rFonts w:ascii="Calibri" w:hAnsi="Calibri"/>
        </w:rPr>
      </w:pPr>
    </w:p>
    <w:p w14:paraId="7D4B21F7" w14:textId="77777777" w:rsidR="006B608D" w:rsidRPr="002975EA" w:rsidRDefault="006B608D" w:rsidP="006B608D">
      <w:pPr>
        <w:rPr>
          <w:rFonts w:ascii="Calibri" w:hAnsi="Calibri"/>
        </w:rPr>
      </w:pPr>
      <w:r w:rsidRPr="002975EA">
        <w:rPr>
          <w:rFonts w:ascii="Calibri" w:hAnsi="Calibri"/>
        </w:rPr>
        <w:t>Acadia Students' Union</w:t>
      </w:r>
    </w:p>
    <w:p w14:paraId="4662ECA1" w14:textId="77777777" w:rsidR="006B608D" w:rsidRPr="002975EA" w:rsidRDefault="006B608D" w:rsidP="006B608D">
      <w:pPr>
        <w:rPr>
          <w:rFonts w:ascii="Calibri" w:hAnsi="Calibri"/>
        </w:rPr>
      </w:pPr>
      <w:r w:rsidRPr="002975EA">
        <w:rPr>
          <w:rFonts w:ascii="Calibri" w:hAnsi="Calibri"/>
        </w:rPr>
        <w:t>Athabasca University Graduate Students’ Association</w:t>
      </w:r>
    </w:p>
    <w:p w14:paraId="5C1CA58B" w14:textId="77777777" w:rsidR="006B608D" w:rsidRPr="002975EA" w:rsidRDefault="006B608D" w:rsidP="006B608D">
      <w:pPr>
        <w:rPr>
          <w:rFonts w:ascii="Calibri" w:hAnsi="Calibri"/>
        </w:rPr>
      </w:pPr>
      <w:r w:rsidRPr="002975EA">
        <w:rPr>
          <w:rFonts w:ascii="Calibri" w:hAnsi="Calibri"/>
        </w:rPr>
        <w:t>Athabasca University Students’ Union</w:t>
      </w:r>
    </w:p>
    <w:p w14:paraId="5207A328" w14:textId="77777777" w:rsidR="006B608D" w:rsidRPr="002975EA" w:rsidRDefault="006B608D" w:rsidP="006B608D">
      <w:pPr>
        <w:rPr>
          <w:rFonts w:ascii="Calibri" w:hAnsi="Calibri"/>
        </w:rPr>
      </w:pPr>
      <w:r w:rsidRPr="002975EA">
        <w:rPr>
          <w:rFonts w:ascii="Calibri" w:hAnsi="Calibri"/>
        </w:rPr>
        <w:t>Brock University Students’ Union</w:t>
      </w:r>
    </w:p>
    <w:p w14:paraId="0A0B1152" w14:textId="77777777" w:rsidR="006B608D" w:rsidRPr="002975EA" w:rsidRDefault="006B608D" w:rsidP="006B608D">
      <w:pPr>
        <w:rPr>
          <w:rFonts w:ascii="Calibri" w:hAnsi="Calibri"/>
        </w:rPr>
      </w:pPr>
      <w:proofErr w:type="spellStart"/>
      <w:r w:rsidRPr="002975EA">
        <w:rPr>
          <w:rFonts w:ascii="Calibri" w:hAnsi="Calibri"/>
        </w:rPr>
        <w:t>Capilano</w:t>
      </w:r>
      <w:proofErr w:type="spellEnd"/>
      <w:r w:rsidRPr="002975EA">
        <w:rPr>
          <w:rFonts w:ascii="Calibri" w:hAnsi="Calibri"/>
        </w:rPr>
        <w:t xml:space="preserve"> Students’ Union</w:t>
      </w:r>
    </w:p>
    <w:p w14:paraId="65A43DD2" w14:textId="77777777" w:rsidR="006B608D" w:rsidRPr="002975EA" w:rsidRDefault="006B608D" w:rsidP="006B608D">
      <w:pPr>
        <w:rPr>
          <w:rFonts w:ascii="Calibri" w:hAnsi="Calibri"/>
        </w:rPr>
      </w:pPr>
      <w:r w:rsidRPr="002975EA">
        <w:rPr>
          <w:rFonts w:ascii="Calibri" w:hAnsi="Calibri"/>
        </w:rPr>
        <w:t>Graduate Student Association, University of Waterloo</w:t>
      </w:r>
    </w:p>
    <w:p w14:paraId="68E4829E" w14:textId="77777777" w:rsidR="006B608D" w:rsidRPr="002975EA" w:rsidRDefault="006B608D" w:rsidP="006B608D">
      <w:pPr>
        <w:rPr>
          <w:rFonts w:ascii="Calibri" w:hAnsi="Calibri"/>
        </w:rPr>
      </w:pPr>
      <w:r w:rsidRPr="002975EA">
        <w:rPr>
          <w:rFonts w:ascii="Calibri" w:hAnsi="Calibri"/>
        </w:rPr>
        <w:t>Graduate Student Society, UBC Vancouver</w:t>
      </w:r>
    </w:p>
    <w:p w14:paraId="2173E5BB" w14:textId="77777777" w:rsidR="006B608D" w:rsidRPr="002975EA" w:rsidRDefault="006B608D" w:rsidP="006B608D">
      <w:pPr>
        <w:rPr>
          <w:rFonts w:ascii="Calibri" w:hAnsi="Calibri"/>
        </w:rPr>
      </w:pPr>
      <w:r w:rsidRPr="002975EA">
        <w:rPr>
          <w:rFonts w:ascii="Calibri" w:hAnsi="Calibri"/>
        </w:rPr>
        <w:t>Mount Allison Students’ Union</w:t>
      </w:r>
    </w:p>
    <w:p w14:paraId="7640F3D9" w14:textId="77777777" w:rsidR="006B608D" w:rsidRPr="002975EA" w:rsidRDefault="006B608D" w:rsidP="006B608D">
      <w:pPr>
        <w:rPr>
          <w:rFonts w:ascii="Calibri" w:hAnsi="Calibri"/>
        </w:rPr>
      </w:pPr>
      <w:r w:rsidRPr="002975EA">
        <w:rPr>
          <w:rFonts w:ascii="Calibri" w:hAnsi="Calibri"/>
        </w:rPr>
        <w:t>Red River College Students’ Association</w:t>
      </w:r>
    </w:p>
    <w:p w14:paraId="34D7BF86" w14:textId="77777777" w:rsidR="006B608D" w:rsidRPr="002975EA" w:rsidRDefault="006B608D" w:rsidP="006B608D">
      <w:pPr>
        <w:rPr>
          <w:rFonts w:ascii="Calibri" w:hAnsi="Calibri"/>
        </w:rPr>
      </w:pPr>
      <w:r w:rsidRPr="002975EA">
        <w:rPr>
          <w:rFonts w:ascii="Calibri" w:hAnsi="Calibri"/>
        </w:rPr>
        <w:t>Saint Mary’s University Students’ Association</w:t>
      </w:r>
    </w:p>
    <w:p w14:paraId="53DB3C8A" w14:textId="77777777" w:rsidR="006B608D" w:rsidRPr="002975EA" w:rsidRDefault="006B608D" w:rsidP="006B608D">
      <w:pPr>
        <w:rPr>
          <w:rFonts w:ascii="Calibri" w:hAnsi="Calibri"/>
        </w:rPr>
      </w:pPr>
      <w:r w:rsidRPr="002975EA">
        <w:rPr>
          <w:rFonts w:ascii="Calibri" w:hAnsi="Calibri"/>
        </w:rPr>
        <w:t>Southern Alberta Institute of Technology Students’ Association</w:t>
      </w:r>
    </w:p>
    <w:p w14:paraId="1CAE5134" w14:textId="77777777" w:rsidR="006B608D" w:rsidRPr="002975EA" w:rsidRDefault="006B608D" w:rsidP="006B608D">
      <w:pPr>
        <w:rPr>
          <w:rFonts w:ascii="Calibri" w:hAnsi="Calibri"/>
        </w:rPr>
      </w:pPr>
      <w:proofErr w:type="spellStart"/>
      <w:r w:rsidRPr="002975EA">
        <w:rPr>
          <w:rFonts w:ascii="Calibri" w:hAnsi="Calibri"/>
        </w:rPr>
        <w:t>StFX</w:t>
      </w:r>
      <w:proofErr w:type="spellEnd"/>
      <w:r w:rsidRPr="002975EA">
        <w:rPr>
          <w:rFonts w:ascii="Calibri" w:hAnsi="Calibri"/>
        </w:rPr>
        <w:t xml:space="preserve"> Students’ Union</w:t>
      </w:r>
    </w:p>
    <w:p w14:paraId="666DEDE9" w14:textId="77777777" w:rsidR="006B608D" w:rsidRPr="002975EA" w:rsidRDefault="006B608D" w:rsidP="006B608D">
      <w:pPr>
        <w:rPr>
          <w:rFonts w:ascii="Calibri" w:hAnsi="Calibri"/>
        </w:rPr>
      </w:pPr>
      <w:r w:rsidRPr="002975EA">
        <w:rPr>
          <w:rFonts w:ascii="Calibri" w:hAnsi="Calibri"/>
        </w:rPr>
        <w:t>St. Thomas University Students’ Union</w:t>
      </w:r>
    </w:p>
    <w:p w14:paraId="224D026D" w14:textId="77777777" w:rsidR="006B608D" w:rsidRPr="002975EA" w:rsidRDefault="006B608D" w:rsidP="006B608D">
      <w:pPr>
        <w:rPr>
          <w:rFonts w:ascii="Calibri" w:hAnsi="Calibri"/>
        </w:rPr>
      </w:pPr>
      <w:r w:rsidRPr="002975EA">
        <w:rPr>
          <w:rFonts w:ascii="Calibri" w:hAnsi="Calibri"/>
        </w:rPr>
        <w:t>Students’ Association of Mount Royal University</w:t>
      </w:r>
    </w:p>
    <w:p w14:paraId="7F62CFF5" w14:textId="77777777" w:rsidR="006B608D" w:rsidRPr="002975EA" w:rsidRDefault="006B608D" w:rsidP="006B608D">
      <w:pPr>
        <w:rPr>
          <w:rFonts w:ascii="Calibri" w:hAnsi="Calibri"/>
        </w:rPr>
      </w:pPr>
      <w:r w:rsidRPr="002975EA">
        <w:rPr>
          <w:rFonts w:ascii="Calibri" w:hAnsi="Calibri"/>
        </w:rPr>
        <w:t xml:space="preserve">Students’ Association of </w:t>
      </w:r>
      <w:proofErr w:type="spellStart"/>
      <w:r w:rsidRPr="002975EA">
        <w:rPr>
          <w:rFonts w:ascii="Calibri" w:hAnsi="Calibri"/>
        </w:rPr>
        <w:t>MacEwan</w:t>
      </w:r>
      <w:proofErr w:type="spellEnd"/>
      <w:r w:rsidRPr="002975EA">
        <w:rPr>
          <w:rFonts w:ascii="Calibri" w:hAnsi="Calibri"/>
        </w:rPr>
        <w:t xml:space="preserve"> University</w:t>
      </w:r>
    </w:p>
    <w:p w14:paraId="0CD0EB55" w14:textId="77777777" w:rsidR="006B608D" w:rsidRPr="002975EA" w:rsidRDefault="006B608D" w:rsidP="006B608D">
      <w:pPr>
        <w:rPr>
          <w:rFonts w:ascii="Calibri" w:hAnsi="Calibri"/>
        </w:rPr>
      </w:pPr>
      <w:r w:rsidRPr="002975EA">
        <w:rPr>
          <w:rFonts w:ascii="Calibri" w:hAnsi="Calibri"/>
        </w:rPr>
        <w:t>University of Alberta Students’ Union</w:t>
      </w:r>
    </w:p>
    <w:p w14:paraId="45E0E323" w14:textId="77777777" w:rsidR="006B608D" w:rsidRPr="002975EA" w:rsidRDefault="006B608D" w:rsidP="006B608D">
      <w:pPr>
        <w:rPr>
          <w:rFonts w:ascii="Calibri" w:hAnsi="Calibri"/>
        </w:rPr>
      </w:pPr>
      <w:r w:rsidRPr="002975EA">
        <w:rPr>
          <w:rFonts w:ascii="Calibri" w:hAnsi="Calibri"/>
        </w:rPr>
        <w:t>Students’ Union, University of Calgary</w:t>
      </w:r>
    </w:p>
    <w:p w14:paraId="5F768596" w14:textId="77777777" w:rsidR="006B608D" w:rsidRPr="002975EA" w:rsidRDefault="006B608D" w:rsidP="006B608D">
      <w:pPr>
        <w:rPr>
          <w:rFonts w:ascii="Calibri" w:hAnsi="Calibri"/>
        </w:rPr>
      </w:pPr>
      <w:r w:rsidRPr="002975EA">
        <w:rPr>
          <w:rFonts w:ascii="Calibri" w:hAnsi="Calibri"/>
        </w:rPr>
        <w:t>University of Lethbridge Students’ Union</w:t>
      </w:r>
    </w:p>
    <w:p w14:paraId="60EFBD75" w14:textId="77777777" w:rsidR="006B608D" w:rsidRPr="002975EA" w:rsidRDefault="006B608D" w:rsidP="006B608D">
      <w:pPr>
        <w:rPr>
          <w:rFonts w:ascii="Calibri" w:hAnsi="Calibri"/>
        </w:rPr>
      </w:pPr>
      <w:r w:rsidRPr="002975EA">
        <w:rPr>
          <w:rFonts w:ascii="Calibri" w:hAnsi="Calibri"/>
        </w:rPr>
        <w:t>UNB Saint John Students’ Representative Council</w:t>
      </w:r>
    </w:p>
    <w:p w14:paraId="684415E8" w14:textId="77777777" w:rsidR="006B608D" w:rsidRPr="002975EA" w:rsidRDefault="006B608D" w:rsidP="006B608D">
      <w:pPr>
        <w:rPr>
          <w:rFonts w:ascii="Calibri" w:hAnsi="Calibri"/>
        </w:rPr>
      </w:pPr>
      <w:r w:rsidRPr="002975EA">
        <w:rPr>
          <w:rFonts w:ascii="Calibri" w:hAnsi="Calibri"/>
        </w:rPr>
        <w:t>University of New Brunswick Student Union</w:t>
      </w:r>
    </w:p>
    <w:p w14:paraId="17094E69" w14:textId="77777777" w:rsidR="006B608D" w:rsidRPr="002975EA" w:rsidRDefault="006B608D" w:rsidP="006B608D">
      <w:pPr>
        <w:rPr>
          <w:rFonts w:ascii="Calibri" w:hAnsi="Calibri"/>
        </w:rPr>
      </w:pPr>
      <w:r w:rsidRPr="002975EA">
        <w:rPr>
          <w:rFonts w:ascii="Calibri" w:hAnsi="Calibri"/>
        </w:rPr>
        <w:t>University of Prince Edward Island Student Union</w:t>
      </w:r>
    </w:p>
    <w:p w14:paraId="5B11BF8D" w14:textId="77777777" w:rsidR="006B608D" w:rsidRPr="002975EA" w:rsidRDefault="006B608D" w:rsidP="006B608D">
      <w:pPr>
        <w:rPr>
          <w:rFonts w:ascii="Calibri" w:hAnsi="Calibri"/>
        </w:rPr>
      </w:pPr>
      <w:r w:rsidRPr="002975EA">
        <w:rPr>
          <w:rFonts w:ascii="Calibri" w:hAnsi="Calibri"/>
        </w:rPr>
        <w:t>University of the Fraser Valley Student Union Society</w:t>
      </w:r>
    </w:p>
    <w:p w14:paraId="52EE60E8" w14:textId="77777777" w:rsidR="006B608D" w:rsidRPr="009B4616" w:rsidRDefault="006B608D" w:rsidP="006B608D">
      <w:pPr>
        <w:pStyle w:val="Heading1"/>
        <w:rPr>
          <w:lang w:val="fr-CA"/>
        </w:rPr>
      </w:pPr>
      <w:bookmarkStart w:id="19" w:name="_Toc514316698"/>
      <w:r w:rsidRPr="009B4616">
        <w:rPr>
          <w:lang w:val="fr-CA"/>
        </w:rPr>
        <w:t>About CASA</w:t>
      </w:r>
      <w:bookmarkEnd w:id="19"/>
    </w:p>
    <w:p w14:paraId="1E089893" w14:textId="77777777" w:rsidR="006B608D" w:rsidRPr="009B4616" w:rsidRDefault="006B608D" w:rsidP="006B608D">
      <w:pPr>
        <w:spacing w:line="360" w:lineRule="auto"/>
        <w:rPr>
          <w:rFonts w:ascii="Calibri" w:hAnsi="Calibri"/>
          <w:lang w:val="fr-CA"/>
        </w:rPr>
      </w:pPr>
    </w:p>
    <w:p w14:paraId="2DCE457C" w14:textId="72FB3ABE" w:rsidR="004B145F" w:rsidRPr="00720C38" w:rsidRDefault="004B145F" w:rsidP="004B145F">
      <w:pPr>
        <w:rPr>
          <w:rFonts w:ascii="Calibri" w:eastAsia="Times New Roman" w:hAnsi="Calibri"/>
          <w:lang w:val="fr-CA"/>
        </w:rPr>
      </w:pPr>
      <w:r w:rsidRPr="00720C38">
        <w:rPr>
          <w:rFonts w:ascii="Calibri" w:eastAsia="Times New Roman" w:hAnsi="Calibri"/>
          <w:color w:val="333333"/>
          <w:shd w:val="clear" w:color="auto" w:fill="FFFFFF"/>
          <w:lang w:val="fr-CA"/>
        </w:rPr>
        <w:t>Fond</w:t>
      </w:r>
      <w:r w:rsidRPr="00720C38">
        <w:rPr>
          <w:rFonts w:ascii="Helvetica" w:eastAsia="Helvetica" w:hAnsi="Helvetica" w:cs="Helvetica"/>
          <w:color w:val="333333"/>
          <w:shd w:val="clear" w:color="auto" w:fill="FFFFFF"/>
          <w:lang w:val="fr-CA"/>
        </w:rPr>
        <w:t xml:space="preserve">ée en 1995, l’Alliance canadienne des associations étudiantes (ACAE) est une organisation étudiante non </w:t>
      </w:r>
      <w:r w:rsidRPr="00720C38">
        <w:rPr>
          <w:rFonts w:ascii="Calibri" w:eastAsia="Times New Roman" w:hAnsi="Calibri"/>
          <w:color w:val="333333"/>
          <w:shd w:val="clear" w:color="auto" w:fill="FFFFFF"/>
          <w:lang w:val="fr-CA"/>
        </w:rPr>
        <w:t>partisane et sans but lucratif compos</w:t>
      </w:r>
      <w:r w:rsidRPr="00720C38">
        <w:rPr>
          <w:rFonts w:ascii="Helvetica" w:eastAsia="Helvetica" w:hAnsi="Helvetica" w:cs="Helvetica"/>
          <w:color w:val="333333"/>
          <w:shd w:val="clear" w:color="auto" w:fill="FFFFFF"/>
          <w:lang w:val="fr-CA"/>
        </w:rPr>
        <w:t>ée de 22</w:t>
      </w:r>
      <w:r w:rsidRPr="00720C38">
        <w:rPr>
          <w:rFonts w:ascii="Calibri" w:eastAsia="Times New Roman" w:hAnsi="Calibri"/>
          <w:color w:val="333333"/>
          <w:shd w:val="clear" w:color="auto" w:fill="FFFFFF"/>
          <w:lang w:val="fr-CA"/>
        </w:rPr>
        <w:t xml:space="preserve"> associations </w:t>
      </w:r>
      <w:r w:rsidRPr="00720C38">
        <w:rPr>
          <w:rFonts w:ascii="Helvetica" w:eastAsia="Helvetica" w:hAnsi="Helvetica" w:cs="Helvetica"/>
          <w:color w:val="333333"/>
          <w:shd w:val="clear" w:color="auto" w:fill="FFFFFF"/>
          <w:lang w:val="fr-CA"/>
        </w:rPr>
        <w:t>étudiantes qui représentent 255</w:t>
      </w:r>
      <w:r w:rsidRPr="00720C38">
        <w:rPr>
          <w:rFonts w:ascii="Calibri" w:eastAsia="Times New Roman" w:hAnsi="Calibri"/>
          <w:color w:val="333333"/>
          <w:shd w:val="clear" w:color="auto" w:fill="FFFFFF"/>
          <w:lang w:val="fr-CA"/>
        </w:rPr>
        <w:t xml:space="preserve"> 000 </w:t>
      </w:r>
      <w:r w:rsidRPr="00720C38">
        <w:rPr>
          <w:rFonts w:ascii="Helvetica" w:eastAsia="Helvetica" w:hAnsi="Helvetica" w:cs="Helvetica"/>
          <w:color w:val="333333"/>
          <w:shd w:val="clear" w:color="auto" w:fill="FFFFFF"/>
          <w:lang w:val="fr-CA"/>
        </w:rPr>
        <w:t>étudiants de niveau postsecondaire d’un océan à l’autre. Grâce à son partenariat avec l’Union étudiante du Québec et se</w:t>
      </w:r>
      <w:r w:rsidRPr="00720C38">
        <w:rPr>
          <w:rFonts w:ascii="Calibri" w:eastAsia="Times New Roman" w:hAnsi="Calibri"/>
          <w:color w:val="333333"/>
          <w:shd w:val="clear" w:color="auto" w:fill="FFFFFF"/>
          <w:lang w:val="fr-CA"/>
        </w:rPr>
        <w:t>s 8 membres, qui repr</w:t>
      </w:r>
      <w:r w:rsidRPr="00720C38">
        <w:rPr>
          <w:rFonts w:ascii="Helvetica" w:eastAsia="Helvetica" w:hAnsi="Helvetica" w:cs="Helvetica"/>
          <w:color w:val="333333"/>
          <w:shd w:val="clear" w:color="auto" w:fill="FFFFFF"/>
          <w:lang w:val="fr-CA"/>
        </w:rPr>
        <w:t>ésentent 79</w:t>
      </w:r>
      <w:r w:rsidRPr="00720C38">
        <w:rPr>
          <w:rFonts w:ascii="Calibri" w:eastAsia="Times New Roman" w:hAnsi="Calibri"/>
          <w:color w:val="333333"/>
          <w:shd w:val="clear" w:color="auto" w:fill="FFFFFF"/>
          <w:lang w:val="fr-CA"/>
        </w:rPr>
        <w:t xml:space="preserve"> 000 </w:t>
      </w:r>
      <w:r w:rsidRPr="00720C38">
        <w:rPr>
          <w:rFonts w:ascii="Helvetica" w:eastAsia="Helvetica" w:hAnsi="Helvetica" w:cs="Helvetica"/>
          <w:color w:val="333333"/>
          <w:shd w:val="clear" w:color="auto" w:fill="FFFFFF"/>
          <w:lang w:val="fr-CA"/>
        </w:rPr>
        <w:t>étudi</w:t>
      </w:r>
      <w:r w:rsidRPr="00720C38">
        <w:rPr>
          <w:rFonts w:ascii="Calibri" w:eastAsia="Times New Roman" w:hAnsi="Calibri"/>
          <w:color w:val="333333"/>
          <w:shd w:val="clear" w:color="auto" w:fill="FFFFFF"/>
          <w:lang w:val="fr-CA"/>
        </w:rPr>
        <w:t>ants, l</w:t>
      </w:r>
      <w:r w:rsidRPr="00720C38">
        <w:rPr>
          <w:rFonts w:ascii="Helvetica" w:eastAsia="Helvetica" w:hAnsi="Helvetica" w:cs="Helvetica"/>
          <w:color w:val="333333"/>
          <w:shd w:val="clear" w:color="auto" w:fill="FFFFFF"/>
          <w:lang w:val="fr-CA"/>
        </w:rPr>
        <w:t>’ACAE transmet d’une seule voix le</w:t>
      </w:r>
      <w:bookmarkStart w:id="20" w:name="_GoBack"/>
      <w:bookmarkEnd w:id="20"/>
      <w:r w:rsidRPr="00720C38">
        <w:rPr>
          <w:rFonts w:ascii="Helvetica" w:eastAsia="Helvetica" w:hAnsi="Helvetica" w:cs="Helvetica"/>
          <w:color w:val="333333"/>
          <w:shd w:val="clear" w:color="auto" w:fill="FFFFFF"/>
          <w:lang w:val="fr-CA"/>
        </w:rPr>
        <w:t xml:space="preserve"> message des étudiants au gouvernement fédéral. L’ACAE fait la promotion d’un système d’éducation postsecondaire accessible, abordable, innovateur et de grande qualité.</w:t>
      </w:r>
    </w:p>
    <w:p w14:paraId="72D5799D" w14:textId="77777777" w:rsidR="006B608D" w:rsidRPr="00720C38" w:rsidRDefault="006B608D" w:rsidP="006B608D">
      <w:pPr>
        <w:spacing w:line="360" w:lineRule="auto"/>
        <w:rPr>
          <w:rFonts w:ascii="Calibri" w:hAnsi="Calibri"/>
          <w:lang w:val="fr-CA"/>
        </w:rPr>
      </w:pPr>
    </w:p>
    <w:p w14:paraId="02A781C9" w14:textId="532F4989" w:rsidR="006B608D" w:rsidRPr="00720C38" w:rsidRDefault="006B608D" w:rsidP="006B608D">
      <w:pPr>
        <w:rPr>
          <w:rFonts w:ascii="Calibri" w:hAnsi="Calibri"/>
        </w:rPr>
      </w:pPr>
      <w:r w:rsidRPr="00720C38">
        <w:rPr>
          <w:rFonts w:ascii="Calibri" w:hAnsi="Calibri"/>
        </w:rPr>
        <w:t xml:space="preserve">130 </w:t>
      </w:r>
      <w:r w:rsidR="004B145F" w:rsidRPr="00720C38">
        <w:rPr>
          <w:rFonts w:ascii="Calibri" w:hAnsi="Calibri"/>
        </w:rPr>
        <w:t>rue Slater</w:t>
      </w:r>
      <w:r w:rsidRPr="00720C38">
        <w:rPr>
          <w:rFonts w:ascii="Calibri" w:hAnsi="Calibri"/>
        </w:rPr>
        <w:t xml:space="preserve">, </w:t>
      </w:r>
      <w:r w:rsidR="004B145F" w:rsidRPr="00720C38">
        <w:rPr>
          <w:rFonts w:ascii="Calibri" w:hAnsi="Calibri"/>
        </w:rPr>
        <w:t>bureau</w:t>
      </w:r>
      <w:r w:rsidRPr="00720C38">
        <w:rPr>
          <w:rFonts w:ascii="Calibri" w:hAnsi="Calibri"/>
        </w:rPr>
        <w:t xml:space="preserve"> 410, Ottawa ON, K1P 6E2</w:t>
      </w:r>
    </w:p>
    <w:p w14:paraId="6F2AB856" w14:textId="26351895" w:rsidR="006B608D" w:rsidRPr="00720C38" w:rsidRDefault="004B145F" w:rsidP="006B608D">
      <w:pPr>
        <w:rPr>
          <w:rFonts w:ascii="Calibri" w:hAnsi="Calibri"/>
        </w:rPr>
      </w:pPr>
      <w:r w:rsidRPr="00720C38">
        <w:rPr>
          <w:rFonts w:ascii="Calibri" w:hAnsi="Calibri"/>
        </w:rPr>
        <w:t>acae-casa</w:t>
      </w:r>
      <w:r w:rsidR="006B608D" w:rsidRPr="00720C38">
        <w:rPr>
          <w:rFonts w:ascii="Calibri" w:hAnsi="Calibri"/>
        </w:rPr>
        <w:t>.c</w:t>
      </w:r>
      <w:r w:rsidR="005D79F5" w:rsidRPr="00720C38">
        <w:rPr>
          <w:rFonts w:ascii="Calibri" w:hAnsi="Calibri"/>
        </w:rPr>
        <w:t>om</w:t>
      </w:r>
    </w:p>
    <w:p w14:paraId="54EE9D8D" w14:textId="77777777" w:rsidR="006B608D" w:rsidRPr="00720C38" w:rsidRDefault="006B608D" w:rsidP="006B608D">
      <w:pPr>
        <w:rPr>
          <w:rFonts w:ascii="Calibri" w:hAnsi="Calibri"/>
        </w:rPr>
      </w:pPr>
      <w:r w:rsidRPr="00720C38">
        <w:rPr>
          <w:rFonts w:ascii="Calibri" w:hAnsi="Calibri"/>
        </w:rPr>
        <w:t>613-236-3457</w:t>
      </w:r>
    </w:p>
    <w:p w14:paraId="611F00C3" w14:textId="77777777" w:rsidR="006B608D" w:rsidRPr="00720C38" w:rsidRDefault="009554EB" w:rsidP="006B608D">
      <w:pPr>
        <w:rPr>
          <w:rFonts w:ascii="Calibri" w:hAnsi="Calibri"/>
        </w:rPr>
      </w:pPr>
      <w:hyperlink r:id="rId8" w:history="1">
        <w:r w:rsidR="006B608D" w:rsidRPr="00720C38">
          <w:rPr>
            <w:rStyle w:val="Hyperlink"/>
            <w:rFonts w:ascii="Calibri" w:hAnsi="Calibri"/>
          </w:rPr>
          <w:t>info@casa.ca</w:t>
        </w:r>
      </w:hyperlink>
    </w:p>
    <w:p w14:paraId="7D6D312C" w14:textId="77777777" w:rsidR="006B608D" w:rsidRPr="00720C38" w:rsidRDefault="006B608D" w:rsidP="006B608D">
      <w:pPr>
        <w:rPr>
          <w:rFonts w:ascii="Calibri" w:hAnsi="Calibri"/>
          <w:lang w:val="fr-CA"/>
        </w:rPr>
      </w:pPr>
      <w:r w:rsidRPr="00720C38">
        <w:rPr>
          <w:rFonts w:ascii="Calibri" w:hAnsi="Calibri"/>
          <w:lang w:val="fr-CA"/>
        </w:rPr>
        <w:t>@CASAACAE</w:t>
      </w:r>
    </w:p>
    <w:p w14:paraId="28FAC7DF" w14:textId="77777777" w:rsidR="006B608D" w:rsidRPr="009B4616" w:rsidRDefault="006B608D" w:rsidP="00B245D5">
      <w:pPr>
        <w:rPr>
          <w:rFonts w:asciiTheme="majorHAnsi" w:hAnsiTheme="majorHAnsi"/>
          <w:lang w:val="fr-CA"/>
        </w:rPr>
      </w:pPr>
    </w:p>
    <w:sectPr w:rsidR="006B608D" w:rsidRPr="009B4616" w:rsidSect="0050510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03370" w14:textId="77777777" w:rsidR="007832E8" w:rsidRDefault="007832E8" w:rsidP="006A0D07">
      <w:r>
        <w:separator/>
      </w:r>
    </w:p>
  </w:endnote>
  <w:endnote w:type="continuationSeparator" w:id="0">
    <w:p w14:paraId="5C3B30E2" w14:textId="77777777" w:rsidR="007832E8" w:rsidRDefault="007832E8" w:rsidP="006A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9A1BB" w14:textId="77777777" w:rsidR="009554EB" w:rsidRDefault="009554EB" w:rsidP="009B46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C384E" w14:textId="77777777" w:rsidR="009554EB" w:rsidRDefault="009554EB" w:rsidP="005051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350F" w14:textId="77777777" w:rsidR="009554EB" w:rsidRDefault="009554EB" w:rsidP="009B46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C38">
      <w:rPr>
        <w:rStyle w:val="PageNumber"/>
        <w:noProof/>
      </w:rPr>
      <w:t>26</w:t>
    </w:r>
    <w:r>
      <w:rPr>
        <w:rStyle w:val="PageNumber"/>
      </w:rPr>
      <w:fldChar w:fldCharType="end"/>
    </w:r>
  </w:p>
  <w:p w14:paraId="21C95300" w14:textId="77777777" w:rsidR="009554EB" w:rsidRDefault="009554EB" w:rsidP="0050510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9292" w14:textId="77777777" w:rsidR="009554EB" w:rsidRDefault="009554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3176A" w14:textId="77777777" w:rsidR="007832E8" w:rsidRDefault="007832E8" w:rsidP="006A0D07">
      <w:r>
        <w:separator/>
      </w:r>
    </w:p>
  </w:footnote>
  <w:footnote w:type="continuationSeparator" w:id="0">
    <w:p w14:paraId="6C630368" w14:textId="77777777" w:rsidR="007832E8" w:rsidRDefault="007832E8" w:rsidP="006A0D07">
      <w:r>
        <w:continuationSeparator/>
      </w:r>
    </w:p>
  </w:footnote>
  <w:footnote w:id="1">
    <w:p w14:paraId="4C5CC7CE" w14:textId="72C7AEA3" w:rsidR="009554EB" w:rsidRPr="002975EA" w:rsidRDefault="009554EB">
      <w:pPr>
        <w:pStyle w:val="FootnoteText"/>
        <w:rPr>
          <w:rFonts w:ascii="Calibri" w:hAnsi="Calibri"/>
          <w:sz w:val="20"/>
          <w:szCs w:val="20"/>
          <w:lang w:val="fr-CA"/>
        </w:rPr>
      </w:pPr>
      <w:r w:rsidRPr="002776C4">
        <w:rPr>
          <w:rStyle w:val="FootnoteReference"/>
          <w:rFonts w:ascii="Calibri" w:hAnsi="Calibri"/>
          <w:sz w:val="20"/>
          <w:szCs w:val="20"/>
        </w:rPr>
        <w:footnoteRef/>
      </w:r>
      <w:r w:rsidRPr="002975EA">
        <w:rPr>
          <w:rFonts w:ascii="Calibri" w:hAnsi="Calibri"/>
          <w:sz w:val="20"/>
          <w:szCs w:val="20"/>
          <w:lang w:val="fr-CA"/>
        </w:rPr>
        <w:t xml:space="preserve"> </w:t>
      </w:r>
      <w:r w:rsidRPr="00FE1E50">
        <w:rPr>
          <w:rFonts w:ascii="Calibri" w:hAnsi="Calibri"/>
          <w:i/>
          <w:sz w:val="20"/>
          <w:szCs w:val="20"/>
          <w:lang w:val="fr-CA"/>
        </w:rPr>
        <w:t xml:space="preserve">Dépenses fédérales pour l’éducation postsecondaire </w:t>
      </w:r>
      <w:r w:rsidRPr="00FE1E50">
        <w:rPr>
          <w:rFonts w:ascii="Calibri" w:hAnsi="Calibri"/>
          <w:sz w:val="20"/>
          <w:szCs w:val="20"/>
          <w:lang w:val="fr-CA"/>
        </w:rPr>
        <w:t xml:space="preserve">(Ottawa : Bureau du directeur parlementaire du Budget, 2016). Consulté en ligne : </w:t>
      </w:r>
      <w:hyperlink r:id="rId1" w:history="1">
        <w:r w:rsidRPr="00FE1E50">
          <w:rPr>
            <w:rStyle w:val="Hyperlink"/>
            <w:rFonts w:ascii="Calibri" w:hAnsi="Calibri"/>
            <w:sz w:val="20"/>
            <w:szCs w:val="20"/>
            <w:lang w:val="fr-CA"/>
          </w:rPr>
          <w:t>http://www.pbo-dpb.gc.ca/web/default/files/Documents/Reports/2016/PSE/PSE_FR.pdf</w:t>
        </w:r>
      </w:hyperlink>
      <w:r w:rsidRPr="002975EA">
        <w:rPr>
          <w:rFonts w:ascii="Calibri" w:hAnsi="Calibri"/>
          <w:sz w:val="20"/>
          <w:szCs w:val="20"/>
          <w:lang w:val="fr-CA"/>
        </w:rPr>
        <w:t xml:space="preserve"> </w:t>
      </w:r>
    </w:p>
  </w:footnote>
  <w:footnote w:id="2">
    <w:p w14:paraId="72F977DB" w14:textId="1B4CCCB4" w:rsidR="009554EB" w:rsidRPr="002975EA" w:rsidRDefault="009554EB">
      <w:pPr>
        <w:pStyle w:val="FootnoteText"/>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sidRPr="0018353F">
        <w:rPr>
          <w:rFonts w:asciiTheme="majorHAnsi" w:hAnsiTheme="majorHAnsi"/>
          <w:i/>
          <w:sz w:val="20"/>
          <w:szCs w:val="20"/>
          <w:lang w:val="fr-CA"/>
        </w:rPr>
        <w:t>PCPE Rapport annuel 2013-2014</w:t>
      </w:r>
      <w:r w:rsidRPr="0018353F">
        <w:rPr>
          <w:rFonts w:asciiTheme="majorHAnsi" w:hAnsiTheme="majorHAnsi"/>
          <w:sz w:val="20"/>
          <w:szCs w:val="20"/>
          <w:lang w:val="fr-CA"/>
        </w:rPr>
        <w:t xml:space="preserve"> (Ottawa : Emploi et Développement social Canada, avril 2016). Consulté en ligne : </w:t>
      </w:r>
      <w:hyperlink r:id="rId2" w:history="1">
        <w:r w:rsidRPr="0018353F">
          <w:rPr>
            <w:rStyle w:val="Hyperlink"/>
            <w:rFonts w:asciiTheme="majorHAnsi" w:hAnsiTheme="majorHAnsi"/>
            <w:sz w:val="20"/>
            <w:szCs w:val="20"/>
            <w:lang w:val="fr-CA"/>
          </w:rPr>
          <w:t>https://www.canada.ca/fr/emploi-developpement-social/programmes/prets-bourses-canadiens-etudiants/rapports/pcpe-2014.html</w:t>
        </w:r>
      </w:hyperlink>
      <w:r w:rsidRPr="0018353F">
        <w:rPr>
          <w:rFonts w:asciiTheme="majorHAnsi" w:hAnsiTheme="majorHAnsi"/>
          <w:sz w:val="20"/>
          <w:szCs w:val="20"/>
          <w:lang w:val="fr-CA"/>
        </w:rPr>
        <w:t xml:space="preserve">; </w:t>
      </w:r>
      <w:r w:rsidRPr="0018353F">
        <w:rPr>
          <w:rFonts w:asciiTheme="majorHAnsi" w:hAnsiTheme="majorHAnsi"/>
          <w:i/>
          <w:sz w:val="20"/>
          <w:szCs w:val="20"/>
          <w:lang w:val="fr-CA"/>
        </w:rPr>
        <w:t>Rapport statistique : PCPE 2013-2014</w:t>
      </w:r>
      <w:r w:rsidRPr="0018353F">
        <w:rPr>
          <w:rFonts w:asciiTheme="majorHAnsi" w:hAnsiTheme="majorHAnsi"/>
          <w:sz w:val="20"/>
          <w:szCs w:val="20"/>
          <w:lang w:val="fr-CA"/>
        </w:rPr>
        <w:t xml:space="preserve"> (Ottawa : </w:t>
      </w:r>
      <w:proofErr w:type="gramStart"/>
      <w:r w:rsidRPr="0018353F">
        <w:rPr>
          <w:rFonts w:asciiTheme="majorHAnsi" w:hAnsiTheme="majorHAnsi"/>
          <w:sz w:val="20"/>
          <w:szCs w:val="20"/>
          <w:lang w:val="fr-CA"/>
        </w:rPr>
        <w:t>Emploi  et</w:t>
      </w:r>
      <w:proofErr w:type="gramEnd"/>
      <w:r w:rsidRPr="0018353F">
        <w:rPr>
          <w:rFonts w:asciiTheme="majorHAnsi" w:hAnsiTheme="majorHAnsi"/>
          <w:sz w:val="20"/>
          <w:szCs w:val="20"/>
          <w:lang w:val="fr-CA"/>
        </w:rPr>
        <w:t xml:space="preserve"> Développement social Canada, avril 2016). Consulté en ligne : </w:t>
      </w:r>
      <w:hyperlink r:id="rId3" w:history="1">
        <w:r w:rsidRPr="0018353F">
          <w:rPr>
            <w:rStyle w:val="Hyperlink"/>
            <w:rFonts w:asciiTheme="majorHAnsi" w:hAnsiTheme="majorHAnsi"/>
            <w:sz w:val="20"/>
            <w:szCs w:val="20"/>
            <w:lang w:val="fr-CA"/>
          </w:rPr>
          <w:t>https://www.canada.ca/fr/emploi-developpement-social/programmes/prets-bourses-canadiens-etudiants/rapports/statistique-2014.html</w:t>
        </w:r>
      </w:hyperlink>
    </w:p>
  </w:footnote>
  <w:footnote w:id="3">
    <w:p w14:paraId="71B31631" w14:textId="6AFDC3CD" w:rsidR="009554EB" w:rsidRPr="009161C2" w:rsidRDefault="009554EB" w:rsidP="00596A68">
      <w:pPr>
        <w:pStyle w:val="FootnoteText"/>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Pr>
          <w:rFonts w:asciiTheme="majorHAnsi" w:hAnsiTheme="majorHAnsi"/>
          <w:i/>
          <w:sz w:val="20"/>
          <w:szCs w:val="20"/>
          <w:lang w:val="fr-CA"/>
        </w:rPr>
        <w:t xml:space="preserve">PCPE Rapport annuel </w:t>
      </w:r>
      <w:r w:rsidRPr="009161C2">
        <w:rPr>
          <w:rFonts w:asciiTheme="majorHAnsi" w:hAnsiTheme="majorHAnsi"/>
          <w:i/>
          <w:sz w:val="20"/>
          <w:szCs w:val="20"/>
          <w:lang w:val="fr-CA"/>
        </w:rPr>
        <w:t>2010-2011</w:t>
      </w:r>
      <w:r w:rsidRPr="009161C2">
        <w:rPr>
          <w:rFonts w:asciiTheme="majorHAnsi" w:hAnsiTheme="majorHAnsi"/>
          <w:sz w:val="20"/>
          <w:szCs w:val="20"/>
          <w:lang w:val="fr-CA"/>
        </w:rPr>
        <w:t xml:space="preserve"> (Ottawa</w:t>
      </w:r>
      <w:r>
        <w:rPr>
          <w:rFonts w:asciiTheme="majorHAnsi" w:hAnsiTheme="majorHAnsi"/>
          <w:sz w:val="20"/>
          <w:szCs w:val="20"/>
          <w:lang w:val="fr-CA"/>
        </w:rPr>
        <w:t xml:space="preserve"> </w:t>
      </w:r>
      <w:r w:rsidRPr="009161C2">
        <w:rPr>
          <w:rFonts w:asciiTheme="majorHAnsi" w:hAnsiTheme="majorHAnsi"/>
          <w:sz w:val="20"/>
          <w:szCs w:val="20"/>
          <w:lang w:val="fr-CA"/>
        </w:rPr>
        <w:t xml:space="preserve">: </w:t>
      </w:r>
      <w:r>
        <w:rPr>
          <w:rFonts w:asciiTheme="majorHAnsi" w:hAnsiTheme="majorHAnsi"/>
          <w:sz w:val="20"/>
          <w:szCs w:val="20"/>
          <w:lang w:val="fr-CA"/>
        </w:rPr>
        <w:t xml:space="preserve">Ressources humaines et Développement des compétences Canada, 2012). Consulté en ligne </w:t>
      </w:r>
      <w:r w:rsidRPr="009161C2">
        <w:rPr>
          <w:rFonts w:asciiTheme="majorHAnsi" w:hAnsiTheme="majorHAnsi"/>
          <w:sz w:val="20"/>
          <w:szCs w:val="20"/>
          <w:lang w:val="fr-CA"/>
        </w:rPr>
        <w:t xml:space="preserve">: </w:t>
      </w:r>
      <w:hyperlink r:id="rId4" w:history="1">
        <w:r>
          <w:rPr>
            <w:rStyle w:val="Hyperlink"/>
            <w:rFonts w:asciiTheme="majorHAnsi" w:hAnsiTheme="majorHAnsi"/>
            <w:sz w:val="20"/>
            <w:szCs w:val="20"/>
            <w:lang w:val="fr-CA"/>
          </w:rPr>
          <w:t>http://www12.esdc.gc.ca/sgpe-pmps/p.5bd.2t.1.3ls@-eng.jsp?pid=6436</w:t>
        </w:r>
      </w:hyperlink>
      <w:r w:rsidRPr="009161C2">
        <w:rPr>
          <w:rFonts w:asciiTheme="majorHAnsi" w:hAnsiTheme="majorHAnsi"/>
          <w:sz w:val="20"/>
          <w:szCs w:val="20"/>
          <w:lang w:val="fr-CA"/>
        </w:rPr>
        <w:t>.</w:t>
      </w:r>
    </w:p>
  </w:footnote>
  <w:footnote w:id="4">
    <w:p w14:paraId="7E675181" w14:textId="6596E77E" w:rsidR="009554EB" w:rsidRPr="009161C2" w:rsidRDefault="009554EB" w:rsidP="00596A68">
      <w:pPr>
        <w:pStyle w:val="FootnoteText"/>
        <w:rPr>
          <w:rFonts w:asciiTheme="majorHAnsi" w:hAnsiTheme="majorHAnsi"/>
          <w:sz w:val="20"/>
          <w:szCs w:val="20"/>
          <w:lang w:val="fr-CA"/>
        </w:rPr>
      </w:pPr>
      <w:r w:rsidRPr="009161C2">
        <w:rPr>
          <w:rStyle w:val="FootnoteReference"/>
          <w:rFonts w:asciiTheme="majorHAnsi" w:hAnsiTheme="majorHAnsi"/>
          <w:sz w:val="20"/>
          <w:szCs w:val="20"/>
          <w:lang w:val="fr-CA"/>
        </w:rPr>
        <w:footnoteRef/>
      </w:r>
      <w:r w:rsidRPr="009161C2">
        <w:rPr>
          <w:rFonts w:asciiTheme="majorHAnsi" w:hAnsiTheme="majorHAnsi"/>
          <w:sz w:val="20"/>
          <w:szCs w:val="20"/>
          <w:lang w:val="fr-CA"/>
        </w:rPr>
        <w:t xml:space="preserve"> </w:t>
      </w:r>
      <w:r>
        <w:rPr>
          <w:rFonts w:asciiTheme="majorHAnsi" w:hAnsiTheme="majorHAnsi"/>
          <w:i/>
          <w:sz w:val="20"/>
          <w:szCs w:val="20"/>
          <w:lang w:val="fr-CA"/>
        </w:rPr>
        <w:t xml:space="preserve">PCPE Rapport annuel </w:t>
      </w:r>
      <w:r w:rsidRPr="009161C2">
        <w:rPr>
          <w:rFonts w:asciiTheme="majorHAnsi" w:hAnsiTheme="majorHAnsi"/>
          <w:i/>
          <w:sz w:val="20"/>
          <w:szCs w:val="20"/>
          <w:lang w:val="fr-CA"/>
        </w:rPr>
        <w:t xml:space="preserve">2014-2015 </w:t>
      </w:r>
      <w:r w:rsidRPr="009161C2">
        <w:rPr>
          <w:rFonts w:asciiTheme="majorHAnsi" w:hAnsiTheme="majorHAnsi"/>
          <w:sz w:val="20"/>
          <w:szCs w:val="20"/>
          <w:lang w:val="fr-CA"/>
        </w:rPr>
        <w:t>(</w:t>
      </w:r>
      <w:r>
        <w:rPr>
          <w:rFonts w:asciiTheme="majorHAnsi" w:hAnsiTheme="majorHAnsi"/>
          <w:sz w:val="20"/>
          <w:szCs w:val="20"/>
          <w:lang w:val="fr-CA"/>
        </w:rPr>
        <w:t>Emploi et Développement social Canada</w:t>
      </w:r>
      <w:r w:rsidRPr="009161C2">
        <w:rPr>
          <w:rFonts w:asciiTheme="majorHAnsi" w:hAnsiTheme="majorHAnsi"/>
          <w:sz w:val="20"/>
          <w:szCs w:val="20"/>
          <w:lang w:val="fr-CA"/>
        </w:rPr>
        <w:t xml:space="preserve">, 2016). </w:t>
      </w:r>
      <w:r>
        <w:rPr>
          <w:rFonts w:asciiTheme="majorHAnsi" w:hAnsiTheme="majorHAnsi"/>
          <w:sz w:val="20"/>
          <w:szCs w:val="20"/>
          <w:lang w:val="fr-CA"/>
        </w:rPr>
        <w:t>Consulté en ligne </w:t>
      </w:r>
      <w:r w:rsidRPr="009161C2">
        <w:rPr>
          <w:rFonts w:asciiTheme="majorHAnsi" w:hAnsiTheme="majorHAnsi"/>
          <w:sz w:val="20"/>
          <w:szCs w:val="20"/>
          <w:lang w:val="fr-CA"/>
        </w:rPr>
        <w:t xml:space="preserve">:  </w:t>
      </w:r>
      <w:hyperlink r:id="rId5" w:history="1">
        <w:r w:rsidRPr="002200B1">
          <w:rPr>
            <w:rStyle w:val="Hyperlink"/>
            <w:rFonts w:asciiTheme="majorHAnsi" w:hAnsiTheme="majorHAnsi"/>
            <w:sz w:val="20"/>
            <w:szCs w:val="20"/>
            <w:lang w:val="fr-CA"/>
          </w:rPr>
          <w:t>https://www.canada.ca/fr/emploi-developpement-social/programmes/prets-bourses-canadiens-etudiants/rapports/pcpe-2015.html</w:t>
        </w:r>
      </w:hyperlink>
      <w:r>
        <w:rPr>
          <w:rFonts w:asciiTheme="majorHAnsi" w:hAnsiTheme="majorHAnsi"/>
          <w:sz w:val="20"/>
          <w:szCs w:val="20"/>
          <w:lang w:val="fr-CA"/>
        </w:rPr>
        <w:t xml:space="preserve"> </w:t>
      </w:r>
    </w:p>
  </w:footnote>
  <w:footnote w:id="5">
    <w:p w14:paraId="0F3C836C" w14:textId="03158976" w:rsidR="009554EB" w:rsidRPr="009161C2" w:rsidRDefault="009554EB">
      <w:pPr>
        <w:pStyle w:val="FootnoteText"/>
        <w:rPr>
          <w:rFonts w:asciiTheme="majorHAnsi" w:hAnsiTheme="majorHAnsi"/>
          <w:sz w:val="20"/>
          <w:szCs w:val="20"/>
          <w:lang w:val="fr-CA"/>
        </w:rPr>
      </w:pPr>
      <w:r w:rsidRPr="009161C2">
        <w:rPr>
          <w:rStyle w:val="FootnoteReference"/>
          <w:rFonts w:asciiTheme="majorHAnsi" w:hAnsiTheme="majorHAnsi"/>
          <w:sz w:val="20"/>
          <w:szCs w:val="20"/>
          <w:lang w:val="fr-CA"/>
        </w:rPr>
        <w:footnoteRef/>
      </w:r>
      <w:r w:rsidRPr="009161C2">
        <w:rPr>
          <w:rFonts w:asciiTheme="majorHAnsi" w:hAnsiTheme="majorHAnsi"/>
          <w:sz w:val="20"/>
          <w:szCs w:val="20"/>
          <w:lang w:val="fr-CA"/>
        </w:rPr>
        <w:t xml:space="preserve"> </w:t>
      </w:r>
      <w:r>
        <w:rPr>
          <w:rFonts w:asciiTheme="majorHAnsi" w:hAnsiTheme="majorHAnsi"/>
          <w:i/>
          <w:sz w:val="20"/>
          <w:szCs w:val="20"/>
          <w:lang w:val="fr-CA"/>
        </w:rPr>
        <w:t xml:space="preserve">PCPE Rapport annuel </w:t>
      </w:r>
      <w:r w:rsidRPr="009161C2">
        <w:rPr>
          <w:rFonts w:asciiTheme="majorHAnsi" w:hAnsiTheme="majorHAnsi"/>
          <w:i/>
          <w:sz w:val="20"/>
          <w:szCs w:val="20"/>
          <w:lang w:val="fr-CA"/>
        </w:rPr>
        <w:t xml:space="preserve">2014-2015 </w:t>
      </w:r>
      <w:r w:rsidRPr="009161C2">
        <w:rPr>
          <w:rFonts w:asciiTheme="majorHAnsi" w:hAnsiTheme="majorHAnsi"/>
          <w:sz w:val="20"/>
          <w:szCs w:val="20"/>
          <w:lang w:val="fr-CA"/>
        </w:rPr>
        <w:t>(</w:t>
      </w:r>
      <w:r>
        <w:rPr>
          <w:rFonts w:asciiTheme="majorHAnsi" w:hAnsiTheme="majorHAnsi"/>
          <w:sz w:val="20"/>
          <w:szCs w:val="20"/>
          <w:lang w:val="fr-CA"/>
        </w:rPr>
        <w:t>Emploi et Développement social Canada</w:t>
      </w:r>
      <w:r w:rsidRPr="009161C2">
        <w:rPr>
          <w:rFonts w:asciiTheme="majorHAnsi" w:hAnsiTheme="majorHAnsi"/>
          <w:sz w:val="20"/>
          <w:szCs w:val="20"/>
          <w:lang w:val="fr-CA"/>
        </w:rPr>
        <w:t xml:space="preserve">, 2016). </w:t>
      </w:r>
      <w:r>
        <w:rPr>
          <w:rFonts w:asciiTheme="majorHAnsi" w:hAnsiTheme="majorHAnsi"/>
          <w:sz w:val="20"/>
          <w:szCs w:val="20"/>
          <w:lang w:val="fr-CA"/>
        </w:rPr>
        <w:t>Consulté en ligne </w:t>
      </w:r>
      <w:r w:rsidRPr="009161C2">
        <w:rPr>
          <w:rFonts w:asciiTheme="majorHAnsi" w:hAnsiTheme="majorHAnsi"/>
          <w:sz w:val="20"/>
          <w:szCs w:val="20"/>
          <w:lang w:val="fr-CA"/>
        </w:rPr>
        <w:t xml:space="preserve">:  </w:t>
      </w:r>
      <w:hyperlink r:id="rId6" w:history="1">
        <w:r w:rsidRPr="002200B1">
          <w:rPr>
            <w:rStyle w:val="Hyperlink"/>
            <w:rFonts w:asciiTheme="majorHAnsi" w:hAnsiTheme="majorHAnsi"/>
            <w:sz w:val="20"/>
            <w:szCs w:val="20"/>
            <w:lang w:val="fr-CA"/>
          </w:rPr>
          <w:t>https://www.canada.ca/fr/emploi-developpement-social/programmes/prets-bourses-canadiens-etudiants/rapports/pcpe-2015.html</w:t>
        </w:r>
      </w:hyperlink>
    </w:p>
  </w:footnote>
  <w:footnote w:id="6">
    <w:p w14:paraId="6D5599A6" w14:textId="102BCDC2" w:rsidR="009554EB" w:rsidRPr="009161C2" w:rsidRDefault="009554EB" w:rsidP="0005087E">
      <w:pPr>
        <w:pStyle w:val="FootnoteText"/>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i/>
          <w:sz w:val="20"/>
          <w:szCs w:val="20"/>
          <w:lang w:val="fr-CA"/>
        </w:rPr>
        <w:t xml:space="preserve"> </w:t>
      </w:r>
      <w:r>
        <w:rPr>
          <w:rFonts w:asciiTheme="majorHAnsi" w:hAnsiTheme="majorHAnsi"/>
          <w:i/>
          <w:sz w:val="20"/>
          <w:szCs w:val="20"/>
          <w:lang w:val="fr-CA"/>
        </w:rPr>
        <w:t>Notre priorité la plus haute : L’éducation postsecondaire des Autochtones au Canada</w:t>
      </w:r>
      <w:r w:rsidRPr="009161C2">
        <w:rPr>
          <w:rFonts w:asciiTheme="majorHAnsi" w:hAnsiTheme="majorHAnsi"/>
          <w:sz w:val="20"/>
          <w:szCs w:val="20"/>
          <w:lang w:val="fr-CA"/>
        </w:rPr>
        <w:t xml:space="preserve"> (</w:t>
      </w:r>
      <w:r>
        <w:rPr>
          <w:rFonts w:asciiTheme="majorHAnsi" w:hAnsiTheme="majorHAnsi"/>
          <w:sz w:val="20"/>
          <w:szCs w:val="20"/>
          <w:lang w:val="fr-CA"/>
        </w:rPr>
        <w:t>Comité permanent des affaires autochtones et du développement du Grand Nord</w:t>
      </w:r>
      <w:r w:rsidRPr="009161C2">
        <w:rPr>
          <w:rFonts w:asciiTheme="majorHAnsi" w:hAnsiTheme="majorHAnsi"/>
          <w:sz w:val="20"/>
          <w:szCs w:val="20"/>
          <w:lang w:val="fr-CA"/>
        </w:rPr>
        <w:t xml:space="preserve">, </w:t>
      </w:r>
      <w:r>
        <w:rPr>
          <w:rFonts w:asciiTheme="majorHAnsi" w:hAnsiTheme="majorHAnsi"/>
          <w:sz w:val="20"/>
          <w:szCs w:val="20"/>
          <w:lang w:val="fr-CA"/>
        </w:rPr>
        <w:t xml:space="preserve">12 février </w:t>
      </w:r>
      <w:r w:rsidRPr="009161C2">
        <w:rPr>
          <w:rFonts w:asciiTheme="majorHAnsi" w:hAnsiTheme="majorHAnsi"/>
          <w:sz w:val="20"/>
          <w:szCs w:val="20"/>
          <w:lang w:val="fr-CA"/>
        </w:rPr>
        <w:t xml:space="preserve">2010). </w:t>
      </w:r>
      <w:r>
        <w:rPr>
          <w:rFonts w:asciiTheme="majorHAnsi" w:hAnsiTheme="majorHAnsi"/>
          <w:sz w:val="20"/>
          <w:szCs w:val="20"/>
          <w:lang w:val="fr-CA"/>
        </w:rPr>
        <w:t>Consulté en ligne </w:t>
      </w:r>
      <w:r w:rsidRPr="009161C2">
        <w:rPr>
          <w:rFonts w:asciiTheme="majorHAnsi" w:hAnsiTheme="majorHAnsi"/>
          <w:sz w:val="20"/>
          <w:szCs w:val="20"/>
          <w:lang w:val="fr-CA"/>
        </w:rPr>
        <w:t xml:space="preserve">:  </w:t>
      </w:r>
      <w:hyperlink r:id="rId7" w:history="1">
        <w:r>
          <w:rPr>
            <w:rStyle w:val="Hyperlink"/>
            <w:rFonts w:asciiTheme="majorHAnsi" w:hAnsiTheme="majorHAnsi"/>
            <w:sz w:val="20"/>
            <w:szCs w:val="20"/>
            <w:lang w:val="fr-CA"/>
          </w:rPr>
          <w:t>http://www.noscommunes.ca/DocumentViewer/fr/39-1/AANO/rapport-6</w:t>
        </w:r>
      </w:hyperlink>
    </w:p>
  </w:footnote>
  <w:footnote w:id="7">
    <w:p w14:paraId="07F46E3E" w14:textId="5C50DDF6" w:rsidR="009554EB" w:rsidRPr="009161C2" w:rsidRDefault="009554EB" w:rsidP="0005087E">
      <w:pPr>
        <w:pStyle w:val="FootnoteText"/>
        <w:rPr>
          <w:rFonts w:asciiTheme="majorHAnsi" w:hAnsiTheme="majorHAnsi"/>
          <w:sz w:val="20"/>
          <w:szCs w:val="20"/>
          <w:lang w:val="fr-CA"/>
        </w:rPr>
      </w:pPr>
      <w:r w:rsidRPr="009161C2">
        <w:rPr>
          <w:rStyle w:val="FootnoteReference"/>
          <w:rFonts w:asciiTheme="majorHAnsi" w:hAnsiTheme="majorHAnsi"/>
          <w:sz w:val="20"/>
          <w:szCs w:val="20"/>
          <w:lang w:val="fr-CA"/>
        </w:rPr>
        <w:footnoteRef/>
      </w:r>
      <w:r w:rsidRPr="009161C2">
        <w:rPr>
          <w:rFonts w:asciiTheme="majorHAnsi" w:hAnsiTheme="majorHAnsi"/>
          <w:sz w:val="20"/>
          <w:szCs w:val="20"/>
          <w:lang w:val="fr-CA"/>
        </w:rPr>
        <w:t xml:space="preserve"> </w:t>
      </w:r>
      <w:r>
        <w:rPr>
          <w:rFonts w:asciiTheme="majorHAnsi" w:hAnsiTheme="majorHAnsi"/>
          <w:i/>
          <w:sz w:val="20"/>
          <w:szCs w:val="20"/>
          <w:lang w:val="fr-CA"/>
        </w:rPr>
        <w:t>Les peuples autochtones au Canada : Premières Nations, Métis et Inuits</w:t>
      </w:r>
      <w:r w:rsidRPr="009161C2">
        <w:rPr>
          <w:rFonts w:asciiTheme="majorHAnsi" w:hAnsiTheme="majorHAnsi"/>
          <w:i/>
          <w:sz w:val="20"/>
          <w:szCs w:val="20"/>
          <w:lang w:val="fr-CA"/>
        </w:rPr>
        <w:t xml:space="preserve"> </w:t>
      </w:r>
      <w:r w:rsidRPr="009161C2">
        <w:rPr>
          <w:rFonts w:asciiTheme="majorHAnsi" w:hAnsiTheme="majorHAnsi"/>
          <w:sz w:val="20"/>
          <w:szCs w:val="20"/>
          <w:lang w:val="fr-CA"/>
        </w:rPr>
        <w:t>(Ottawa</w:t>
      </w:r>
      <w:r>
        <w:rPr>
          <w:rFonts w:asciiTheme="majorHAnsi" w:hAnsiTheme="majorHAnsi"/>
          <w:sz w:val="20"/>
          <w:szCs w:val="20"/>
          <w:lang w:val="fr-CA"/>
        </w:rPr>
        <w:t xml:space="preserve"> </w:t>
      </w:r>
      <w:r w:rsidRPr="009161C2">
        <w:rPr>
          <w:rFonts w:asciiTheme="majorHAnsi" w:hAnsiTheme="majorHAnsi"/>
          <w:sz w:val="20"/>
          <w:szCs w:val="20"/>
          <w:lang w:val="fr-CA"/>
        </w:rPr>
        <w:t xml:space="preserve">: </w:t>
      </w:r>
      <w:r>
        <w:rPr>
          <w:rFonts w:asciiTheme="majorHAnsi" w:hAnsiTheme="majorHAnsi"/>
          <w:sz w:val="20"/>
          <w:szCs w:val="20"/>
          <w:lang w:val="fr-CA"/>
        </w:rPr>
        <w:t xml:space="preserve">Statistique </w:t>
      </w:r>
      <w:r w:rsidRPr="009161C2">
        <w:rPr>
          <w:rFonts w:asciiTheme="majorHAnsi" w:hAnsiTheme="majorHAnsi"/>
          <w:sz w:val="20"/>
          <w:szCs w:val="20"/>
          <w:lang w:val="fr-CA"/>
        </w:rPr>
        <w:t xml:space="preserve">Canada, </w:t>
      </w:r>
      <w:r>
        <w:rPr>
          <w:rFonts w:asciiTheme="majorHAnsi" w:hAnsiTheme="majorHAnsi"/>
          <w:sz w:val="20"/>
          <w:szCs w:val="20"/>
          <w:lang w:val="fr-CA"/>
        </w:rPr>
        <w:t>s</w:t>
      </w:r>
      <w:r w:rsidRPr="009161C2">
        <w:rPr>
          <w:rFonts w:asciiTheme="majorHAnsi" w:hAnsiTheme="majorHAnsi"/>
          <w:sz w:val="20"/>
          <w:szCs w:val="20"/>
          <w:lang w:val="fr-CA"/>
        </w:rPr>
        <w:t>ept</w:t>
      </w:r>
      <w:r>
        <w:rPr>
          <w:rFonts w:asciiTheme="majorHAnsi" w:hAnsiTheme="majorHAnsi"/>
          <w:sz w:val="20"/>
          <w:szCs w:val="20"/>
          <w:lang w:val="fr-CA"/>
        </w:rPr>
        <w:t>embre</w:t>
      </w:r>
      <w:r w:rsidRPr="009161C2">
        <w:rPr>
          <w:rFonts w:asciiTheme="majorHAnsi" w:hAnsiTheme="majorHAnsi"/>
          <w:sz w:val="20"/>
          <w:szCs w:val="20"/>
          <w:lang w:val="fr-CA"/>
        </w:rPr>
        <w:t xml:space="preserve"> 2016). </w:t>
      </w:r>
      <w:r>
        <w:rPr>
          <w:rFonts w:asciiTheme="majorHAnsi" w:hAnsiTheme="majorHAnsi"/>
          <w:sz w:val="20"/>
          <w:szCs w:val="20"/>
          <w:lang w:val="fr-CA"/>
        </w:rPr>
        <w:t xml:space="preserve">Consulté en ligne : </w:t>
      </w:r>
      <w:hyperlink r:id="rId8" w:history="1">
        <w:r>
          <w:rPr>
            <w:rStyle w:val="Hyperlink"/>
            <w:rFonts w:asciiTheme="majorHAnsi" w:hAnsiTheme="majorHAnsi"/>
            <w:sz w:val="20"/>
            <w:szCs w:val="20"/>
            <w:lang w:val="fr-CA"/>
          </w:rPr>
          <w:t>http://www12.statcan.gc.ca/nhs-enm/2011/as-sa/99-011-x/99-011-x2011001-fra.cfm</w:t>
        </w:r>
      </w:hyperlink>
      <w:r w:rsidRPr="009161C2">
        <w:rPr>
          <w:rFonts w:asciiTheme="majorHAnsi" w:hAnsiTheme="majorHAnsi"/>
          <w:sz w:val="20"/>
          <w:szCs w:val="20"/>
          <w:lang w:val="fr-CA"/>
        </w:rPr>
        <w:t xml:space="preserve"> </w:t>
      </w:r>
    </w:p>
  </w:footnote>
  <w:footnote w:id="8">
    <w:p w14:paraId="08898742" w14:textId="1E92CDB7" w:rsidR="009554EB" w:rsidRPr="009161C2" w:rsidRDefault="009554EB" w:rsidP="0005087E">
      <w:pPr>
        <w:autoSpaceDN w:val="0"/>
        <w:adjustRightInd w:val="0"/>
        <w:rPr>
          <w:rFonts w:asciiTheme="majorHAnsi" w:hAnsiTheme="majorHAnsi"/>
          <w:sz w:val="20"/>
          <w:szCs w:val="20"/>
          <w:lang w:val="fr-CA"/>
        </w:rPr>
      </w:pPr>
      <w:r w:rsidRPr="009161C2">
        <w:rPr>
          <w:rStyle w:val="FootnoteCharacters"/>
          <w:rFonts w:asciiTheme="majorHAnsi" w:hAnsiTheme="majorHAnsi"/>
          <w:sz w:val="20"/>
          <w:szCs w:val="20"/>
          <w:lang w:val="fr-CA"/>
        </w:rPr>
        <w:footnoteRef/>
      </w:r>
      <w:r w:rsidRPr="009161C2">
        <w:rPr>
          <w:rFonts w:asciiTheme="majorHAnsi" w:eastAsia="Calibri" w:hAnsiTheme="majorHAnsi"/>
          <w:sz w:val="20"/>
          <w:szCs w:val="20"/>
          <w:lang w:val="fr-CA" w:eastAsia="en-CA"/>
        </w:rPr>
        <w:t xml:space="preserve"> </w:t>
      </w:r>
      <w:r>
        <w:rPr>
          <w:rFonts w:asciiTheme="majorHAnsi" w:eastAsia="Calibri" w:hAnsiTheme="majorHAnsi"/>
          <w:i/>
          <w:sz w:val="20"/>
          <w:szCs w:val="20"/>
          <w:lang w:val="fr-CA" w:eastAsia="en-CA"/>
        </w:rPr>
        <w:t>Le niveau de scolarité des peuples autochtones au Canada</w:t>
      </w:r>
      <w:r w:rsidRPr="009161C2">
        <w:rPr>
          <w:rFonts w:asciiTheme="majorHAnsi" w:eastAsia="Calibri" w:hAnsiTheme="majorHAnsi"/>
          <w:sz w:val="20"/>
          <w:szCs w:val="20"/>
          <w:lang w:val="fr-CA" w:eastAsia="en-CA"/>
        </w:rPr>
        <w:t xml:space="preserve"> (Ottawa</w:t>
      </w:r>
      <w:r>
        <w:rPr>
          <w:rFonts w:asciiTheme="majorHAnsi" w:eastAsia="Calibri" w:hAnsiTheme="majorHAnsi"/>
          <w:sz w:val="20"/>
          <w:szCs w:val="20"/>
          <w:lang w:val="fr-CA" w:eastAsia="en-CA"/>
        </w:rPr>
        <w:t xml:space="preserve"> </w:t>
      </w:r>
      <w:r w:rsidRPr="009161C2">
        <w:rPr>
          <w:rFonts w:asciiTheme="majorHAnsi" w:eastAsia="Calibri" w:hAnsiTheme="majorHAnsi"/>
          <w:sz w:val="20"/>
          <w:szCs w:val="20"/>
          <w:lang w:val="fr-CA" w:eastAsia="en-CA"/>
        </w:rPr>
        <w:t xml:space="preserve">: </w:t>
      </w:r>
      <w:r>
        <w:rPr>
          <w:rFonts w:asciiTheme="majorHAnsi" w:eastAsia="Calibri" w:hAnsiTheme="majorHAnsi"/>
          <w:sz w:val="20"/>
          <w:szCs w:val="20"/>
          <w:lang w:val="fr-CA" w:eastAsia="en-CA"/>
        </w:rPr>
        <w:t>Statistique</w:t>
      </w:r>
      <w:r w:rsidRPr="009161C2">
        <w:rPr>
          <w:rFonts w:asciiTheme="majorHAnsi" w:eastAsia="Calibri" w:hAnsiTheme="majorHAnsi"/>
          <w:sz w:val="20"/>
          <w:szCs w:val="20"/>
          <w:lang w:val="fr-CA" w:eastAsia="en-CA"/>
        </w:rPr>
        <w:t xml:space="preserve"> Canada, </w:t>
      </w:r>
      <w:r>
        <w:rPr>
          <w:rFonts w:asciiTheme="majorHAnsi" w:eastAsia="Calibri" w:hAnsiTheme="majorHAnsi"/>
          <w:sz w:val="20"/>
          <w:szCs w:val="20"/>
          <w:lang w:val="fr-CA" w:eastAsia="en-CA"/>
        </w:rPr>
        <w:t>septembre</w:t>
      </w:r>
      <w:r w:rsidRPr="009161C2">
        <w:rPr>
          <w:rFonts w:asciiTheme="majorHAnsi" w:eastAsia="Calibri" w:hAnsiTheme="majorHAnsi"/>
          <w:sz w:val="20"/>
          <w:szCs w:val="20"/>
          <w:lang w:val="fr-CA" w:eastAsia="en-CA"/>
        </w:rPr>
        <w:t xml:space="preserve"> 2016). </w:t>
      </w:r>
      <w:r>
        <w:rPr>
          <w:rFonts w:asciiTheme="majorHAnsi" w:eastAsia="Calibri" w:hAnsiTheme="majorHAnsi"/>
          <w:sz w:val="20"/>
          <w:szCs w:val="20"/>
          <w:lang w:val="fr-CA" w:eastAsia="en-CA"/>
        </w:rPr>
        <w:t xml:space="preserve">Consulté en ligne : </w:t>
      </w:r>
      <w:hyperlink r:id="rId9" w:history="1">
        <w:r>
          <w:rPr>
            <w:rStyle w:val="Hyperlink"/>
            <w:rFonts w:asciiTheme="majorHAnsi" w:eastAsia="Calibri" w:hAnsiTheme="majorHAnsi"/>
            <w:sz w:val="20"/>
            <w:szCs w:val="20"/>
            <w:lang w:val="fr-CA" w:eastAsia="en-CA"/>
          </w:rPr>
          <w:t>http://www12.statcan.gc.ca/nhs-enm/2011/as-sa/99-012-x/99-012-x2011003_3-fra.cfm</w:t>
        </w:r>
      </w:hyperlink>
      <w:r w:rsidRPr="009161C2">
        <w:rPr>
          <w:rFonts w:asciiTheme="majorHAnsi" w:eastAsia="Calibri" w:hAnsiTheme="majorHAnsi"/>
          <w:sz w:val="20"/>
          <w:szCs w:val="20"/>
          <w:lang w:val="fr-CA" w:eastAsia="en-CA"/>
        </w:rPr>
        <w:t xml:space="preserve"> </w:t>
      </w:r>
    </w:p>
  </w:footnote>
  <w:footnote w:id="9">
    <w:p w14:paraId="3523C29D" w14:textId="01385086" w:rsidR="009554EB" w:rsidRPr="009161C2" w:rsidRDefault="009554EB" w:rsidP="003732F8">
      <w:pPr>
        <w:rPr>
          <w:rFonts w:asciiTheme="majorHAnsi" w:hAnsiTheme="majorHAnsi"/>
          <w:sz w:val="20"/>
          <w:szCs w:val="20"/>
          <w:lang w:val="fr-CA"/>
        </w:rPr>
      </w:pPr>
      <w:r w:rsidRPr="009161C2">
        <w:rPr>
          <w:rStyle w:val="FootnoteReference"/>
          <w:rFonts w:asciiTheme="majorHAnsi" w:hAnsiTheme="majorHAnsi"/>
          <w:sz w:val="20"/>
          <w:szCs w:val="20"/>
          <w:lang w:val="fr-CA"/>
        </w:rPr>
        <w:footnoteRef/>
      </w:r>
      <w:r w:rsidRPr="009161C2">
        <w:rPr>
          <w:rFonts w:asciiTheme="majorHAnsi" w:hAnsiTheme="majorHAnsi"/>
          <w:sz w:val="20"/>
          <w:szCs w:val="20"/>
          <w:lang w:val="fr-CA"/>
        </w:rPr>
        <w:t xml:space="preserve"> R.A. </w:t>
      </w:r>
      <w:proofErr w:type="spellStart"/>
      <w:r w:rsidRPr="009161C2">
        <w:rPr>
          <w:rFonts w:asciiTheme="majorHAnsi" w:hAnsiTheme="majorHAnsi"/>
          <w:sz w:val="20"/>
          <w:szCs w:val="20"/>
          <w:lang w:val="fr-CA"/>
        </w:rPr>
        <w:t>Malatest</w:t>
      </w:r>
      <w:proofErr w:type="spellEnd"/>
      <w:r w:rsidRPr="009161C2">
        <w:rPr>
          <w:rFonts w:asciiTheme="majorHAnsi" w:hAnsiTheme="majorHAnsi"/>
          <w:sz w:val="20"/>
          <w:szCs w:val="20"/>
          <w:lang w:val="fr-CA"/>
        </w:rPr>
        <w:t xml:space="preserve"> &amp; Associates Ltd., </w:t>
      </w:r>
      <w:r>
        <w:rPr>
          <w:rFonts w:asciiTheme="majorHAnsi" w:hAnsiTheme="majorHAnsi"/>
          <w:i/>
          <w:sz w:val="20"/>
          <w:szCs w:val="20"/>
          <w:lang w:val="fr-CA"/>
        </w:rPr>
        <w:t>La population autochtone et l’éducation postsecondaire : Ce que les enseignants ont appris; Collection de recherches du millénaire n</w:t>
      </w:r>
      <w:r w:rsidRPr="000344B6">
        <w:rPr>
          <w:rFonts w:asciiTheme="majorHAnsi" w:hAnsiTheme="majorHAnsi"/>
          <w:i/>
          <w:sz w:val="20"/>
          <w:szCs w:val="20"/>
          <w:vertAlign w:val="superscript"/>
          <w:lang w:val="fr-CA"/>
        </w:rPr>
        <w:t>o</w:t>
      </w:r>
      <w:r>
        <w:rPr>
          <w:rFonts w:asciiTheme="majorHAnsi" w:hAnsiTheme="majorHAnsi"/>
          <w:i/>
          <w:sz w:val="20"/>
          <w:szCs w:val="20"/>
          <w:lang w:val="fr-CA"/>
        </w:rPr>
        <w:t xml:space="preserve"> 8</w:t>
      </w:r>
      <w:r w:rsidRPr="009161C2">
        <w:rPr>
          <w:rFonts w:asciiTheme="majorHAnsi" w:hAnsiTheme="majorHAnsi"/>
          <w:i/>
          <w:sz w:val="20"/>
          <w:szCs w:val="20"/>
          <w:lang w:val="fr-CA"/>
        </w:rPr>
        <w:t xml:space="preserve"> </w:t>
      </w:r>
      <w:r>
        <w:rPr>
          <w:rFonts w:asciiTheme="majorHAnsi" w:hAnsiTheme="majorHAnsi"/>
          <w:sz w:val="20"/>
          <w:szCs w:val="20"/>
          <w:lang w:val="fr-CA"/>
        </w:rPr>
        <w:t>(Montré</w:t>
      </w:r>
      <w:r w:rsidRPr="009161C2">
        <w:rPr>
          <w:rFonts w:asciiTheme="majorHAnsi" w:hAnsiTheme="majorHAnsi"/>
          <w:sz w:val="20"/>
          <w:szCs w:val="20"/>
          <w:lang w:val="fr-CA"/>
        </w:rPr>
        <w:t>al</w:t>
      </w:r>
      <w:r>
        <w:rPr>
          <w:rFonts w:asciiTheme="majorHAnsi" w:hAnsiTheme="majorHAnsi"/>
          <w:sz w:val="20"/>
          <w:szCs w:val="20"/>
          <w:lang w:val="fr-CA"/>
        </w:rPr>
        <w:t xml:space="preserve"> </w:t>
      </w:r>
      <w:r w:rsidRPr="009161C2">
        <w:rPr>
          <w:rFonts w:asciiTheme="majorHAnsi" w:hAnsiTheme="majorHAnsi"/>
          <w:sz w:val="20"/>
          <w:szCs w:val="20"/>
          <w:lang w:val="fr-CA"/>
        </w:rPr>
        <w:t xml:space="preserve">: </w:t>
      </w:r>
      <w:r>
        <w:rPr>
          <w:rFonts w:asciiTheme="majorHAnsi" w:hAnsiTheme="majorHAnsi"/>
          <w:sz w:val="20"/>
          <w:szCs w:val="20"/>
          <w:lang w:val="fr-CA"/>
        </w:rPr>
        <w:t>Fondation canadienne des bourses du millénaire, 2004</w:t>
      </w:r>
      <w:r w:rsidRPr="009161C2">
        <w:rPr>
          <w:rFonts w:asciiTheme="majorHAnsi" w:hAnsiTheme="majorHAnsi"/>
          <w:sz w:val="20"/>
          <w:szCs w:val="20"/>
          <w:lang w:val="fr-CA"/>
        </w:rPr>
        <w:t>).</w:t>
      </w:r>
      <w:r>
        <w:rPr>
          <w:rFonts w:asciiTheme="majorHAnsi" w:hAnsiTheme="majorHAnsi"/>
          <w:sz w:val="20"/>
          <w:szCs w:val="20"/>
          <w:lang w:val="fr-CA"/>
        </w:rPr>
        <w:t xml:space="preserve"> Consulté en ligne : </w:t>
      </w:r>
      <w:r w:rsidRPr="009161C2">
        <w:rPr>
          <w:rFonts w:asciiTheme="majorHAnsi" w:hAnsiTheme="majorHAnsi"/>
          <w:sz w:val="20"/>
          <w:szCs w:val="20"/>
          <w:lang w:val="fr-CA"/>
        </w:rPr>
        <w:t xml:space="preserve"> </w:t>
      </w:r>
      <w:hyperlink r:id="rId10" w:history="1">
        <w:r>
          <w:rPr>
            <w:rStyle w:val="Hyperlink"/>
            <w:rFonts w:asciiTheme="majorHAnsi" w:hAnsiTheme="majorHAnsi"/>
            <w:sz w:val="20"/>
            <w:szCs w:val="20"/>
            <w:lang w:val="fr-CA"/>
          </w:rPr>
          <w:t>http://www.capres.ca/wp-content/uploads/2015/01/Autochtones-PS-janv04.pdf</w:t>
        </w:r>
      </w:hyperlink>
      <w:r w:rsidRPr="009161C2">
        <w:rPr>
          <w:rFonts w:asciiTheme="majorHAnsi" w:hAnsiTheme="majorHAnsi"/>
          <w:sz w:val="20"/>
          <w:szCs w:val="20"/>
          <w:lang w:val="fr-CA"/>
        </w:rPr>
        <w:t xml:space="preserve">. </w:t>
      </w:r>
    </w:p>
  </w:footnote>
  <w:footnote w:id="10">
    <w:p w14:paraId="7511EF21" w14:textId="21C463A2" w:rsidR="009554EB" w:rsidRPr="009161C2" w:rsidRDefault="009554EB">
      <w:pPr>
        <w:pStyle w:val="FootnoteText"/>
        <w:rPr>
          <w:rFonts w:asciiTheme="majorHAnsi" w:hAnsiTheme="majorHAnsi"/>
          <w:sz w:val="20"/>
          <w:szCs w:val="20"/>
          <w:lang w:val="fr-CA"/>
        </w:rPr>
      </w:pPr>
      <w:r w:rsidRPr="009161C2">
        <w:rPr>
          <w:rStyle w:val="FootnoteReference"/>
          <w:rFonts w:asciiTheme="majorHAnsi" w:hAnsiTheme="majorHAnsi"/>
          <w:sz w:val="20"/>
          <w:szCs w:val="20"/>
          <w:lang w:val="fr-CA"/>
        </w:rPr>
        <w:footnoteRef/>
      </w:r>
      <w:r w:rsidRPr="009161C2">
        <w:rPr>
          <w:rFonts w:asciiTheme="majorHAnsi" w:hAnsiTheme="majorHAnsi"/>
          <w:sz w:val="20"/>
          <w:szCs w:val="20"/>
          <w:lang w:val="fr-CA"/>
        </w:rPr>
        <w:t xml:space="preserve"> </w:t>
      </w:r>
      <w:r w:rsidRPr="009161C2">
        <w:rPr>
          <w:rFonts w:asciiTheme="majorHAnsi" w:hAnsiTheme="majorHAnsi"/>
          <w:i/>
          <w:sz w:val="20"/>
          <w:szCs w:val="20"/>
          <w:lang w:val="fr-CA"/>
        </w:rPr>
        <w:t>H</w:t>
      </w:r>
      <w:r>
        <w:rPr>
          <w:rFonts w:asciiTheme="majorHAnsi" w:hAnsiTheme="majorHAnsi"/>
          <w:i/>
          <w:sz w:val="20"/>
          <w:szCs w:val="20"/>
          <w:lang w:val="fr-CA"/>
        </w:rPr>
        <w:t>onorer la vérité, réconcilier pour l’avenir : Sommaire du rapport final de la Commission de vérité et réconciliation du Canada</w:t>
      </w:r>
      <w:r w:rsidRPr="009161C2">
        <w:rPr>
          <w:rFonts w:asciiTheme="majorHAnsi" w:hAnsiTheme="majorHAnsi"/>
          <w:i/>
          <w:sz w:val="20"/>
          <w:szCs w:val="20"/>
          <w:lang w:val="fr-CA"/>
        </w:rPr>
        <w:t xml:space="preserve"> </w:t>
      </w:r>
      <w:r w:rsidRPr="009161C2">
        <w:rPr>
          <w:rFonts w:asciiTheme="majorHAnsi" w:hAnsiTheme="majorHAnsi"/>
          <w:sz w:val="20"/>
          <w:szCs w:val="20"/>
          <w:lang w:val="fr-CA"/>
        </w:rPr>
        <w:t>(</w:t>
      </w:r>
      <w:r>
        <w:rPr>
          <w:rFonts w:asciiTheme="majorHAnsi" w:hAnsiTheme="majorHAnsi"/>
          <w:sz w:val="20"/>
          <w:szCs w:val="20"/>
          <w:lang w:val="fr-CA"/>
        </w:rPr>
        <w:t xml:space="preserve">Commission de vérité et réconciliation du Canada, </w:t>
      </w:r>
      <w:r w:rsidRPr="009161C2">
        <w:rPr>
          <w:rFonts w:asciiTheme="majorHAnsi" w:hAnsiTheme="majorHAnsi"/>
          <w:sz w:val="20"/>
          <w:szCs w:val="20"/>
          <w:lang w:val="fr-CA"/>
        </w:rPr>
        <w:t xml:space="preserve">2015). </w:t>
      </w:r>
      <w:r>
        <w:rPr>
          <w:rFonts w:asciiTheme="majorHAnsi" w:hAnsiTheme="majorHAnsi"/>
          <w:sz w:val="20"/>
          <w:szCs w:val="20"/>
          <w:lang w:val="fr-CA"/>
        </w:rPr>
        <w:t>Consulté en ligne </w:t>
      </w:r>
      <w:r w:rsidRPr="009161C2">
        <w:rPr>
          <w:rFonts w:asciiTheme="majorHAnsi" w:hAnsiTheme="majorHAnsi"/>
          <w:sz w:val="20"/>
          <w:szCs w:val="20"/>
          <w:lang w:val="fr-CA"/>
        </w:rPr>
        <w:t xml:space="preserve">: </w:t>
      </w:r>
      <w:hyperlink r:id="rId11" w:history="1">
        <w:r>
          <w:rPr>
            <w:rStyle w:val="Hyperlink"/>
            <w:rFonts w:asciiTheme="majorHAnsi" w:hAnsiTheme="majorHAnsi"/>
            <w:sz w:val="20"/>
            <w:szCs w:val="20"/>
            <w:lang w:val="fr-CA"/>
          </w:rPr>
          <w:t>http://www.trc.ca/websites/trcinstitution/File/French_Exec_Summary_web_revised.pdf</w:t>
        </w:r>
      </w:hyperlink>
      <w:r w:rsidRPr="009161C2">
        <w:rPr>
          <w:rFonts w:asciiTheme="majorHAnsi" w:hAnsiTheme="majorHAnsi"/>
          <w:sz w:val="20"/>
          <w:szCs w:val="20"/>
          <w:lang w:val="fr-CA"/>
        </w:rPr>
        <w:t xml:space="preserve"> </w:t>
      </w:r>
    </w:p>
  </w:footnote>
  <w:footnote w:id="11">
    <w:p w14:paraId="74C12008" w14:textId="7FF61E7F" w:rsidR="009554EB" w:rsidRPr="002975EA" w:rsidRDefault="009554EB">
      <w:pPr>
        <w:pStyle w:val="FootnoteText"/>
        <w:rPr>
          <w:lang w:val="fr-CA"/>
        </w:rPr>
      </w:pPr>
      <w:r w:rsidRPr="009161C2">
        <w:rPr>
          <w:rStyle w:val="FootnoteReference"/>
          <w:sz w:val="20"/>
          <w:szCs w:val="20"/>
          <w:lang w:val="fr-CA"/>
        </w:rPr>
        <w:footnoteRef/>
      </w:r>
      <w:r w:rsidRPr="009161C2">
        <w:rPr>
          <w:sz w:val="20"/>
          <w:szCs w:val="20"/>
          <w:lang w:val="fr-CA"/>
        </w:rPr>
        <w:t xml:space="preserve"> </w:t>
      </w:r>
      <w:r>
        <w:rPr>
          <w:i/>
          <w:sz w:val="20"/>
          <w:szCs w:val="20"/>
          <w:lang w:val="fr-CA"/>
        </w:rPr>
        <w:t>Ce que nous avons retenu : Les principes de la vérité et de la réconciliation</w:t>
      </w:r>
      <w:r w:rsidRPr="009161C2">
        <w:rPr>
          <w:i/>
          <w:sz w:val="20"/>
          <w:szCs w:val="20"/>
          <w:lang w:val="fr-CA"/>
        </w:rPr>
        <w:t xml:space="preserve"> </w:t>
      </w:r>
      <w:r w:rsidRPr="009161C2">
        <w:rPr>
          <w:sz w:val="20"/>
          <w:szCs w:val="20"/>
          <w:lang w:val="fr-CA"/>
        </w:rPr>
        <w:t>(</w:t>
      </w:r>
      <w:r>
        <w:rPr>
          <w:sz w:val="20"/>
          <w:szCs w:val="20"/>
          <w:lang w:val="fr-CA"/>
        </w:rPr>
        <w:t>Commission de vérité et réconciliation du Canada,</w:t>
      </w:r>
      <w:r w:rsidRPr="009161C2">
        <w:rPr>
          <w:sz w:val="20"/>
          <w:szCs w:val="20"/>
          <w:lang w:val="fr-CA"/>
        </w:rPr>
        <w:t xml:space="preserve"> 2015), 25. </w:t>
      </w:r>
      <w:r>
        <w:rPr>
          <w:sz w:val="20"/>
          <w:szCs w:val="20"/>
          <w:lang w:val="fr-CA"/>
        </w:rPr>
        <w:t>Consulté en ligne </w:t>
      </w:r>
      <w:r w:rsidRPr="009161C2">
        <w:rPr>
          <w:sz w:val="20"/>
          <w:szCs w:val="20"/>
          <w:lang w:val="fr-CA"/>
        </w:rPr>
        <w:t xml:space="preserve">: </w:t>
      </w:r>
      <w:hyperlink r:id="rId12" w:history="1">
        <w:r>
          <w:rPr>
            <w:rStyle w:val="Hyperlink"/>
            <w:sz w:val="20"/>
            <w:szCs w:val="20"/>
            <w:lang w:val="fr-CA"/>
          </w:rPr>
          <w:t>http://www.trc.ca/websites/trcinstitution/File/2015/Findings/Principes%20de%20la%20verite%20et%20de%20la%20reconciliation.pdf</w:t>
        </w:r>
      </w:hyperlink>
      <w:r w:rsidRPr="002975EA">
        <w:rPr>
          <w:sz w:val="20"/>
          <w:szCs w:val="20"/>
          <w:lang w:val="fr-CA"/>
        </w:rPr>
        <w:t xml:space="preserve"> </w:t>
      </w:r>
    </w:p>
  </w:footnote>
  <w:footnote w:id="12">
    <w:p w14:paraId="60F7823D" w14:textId="4545AF6A" w:rsidR="009554EB" w:rsidRPr="003C3E6D" w:rsidRDefault="009554EB" w:rsidP="0049240C">
      <w:pPr>
        <w:pStyle w:val="FootnoteText"/>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sidRPr="003C3E6D">
        <w:rPr>
          <w:rFonts w:asciiTheme="majorHAnsi" w:hAnsiTheme="majorHAnsi"/>
          <w:i/>
          <w:sz w:val="20"/>
          <w:szCs w:val="20"/>
          <w:lang w:val="fr-CA"/>
        </w:rPr>
        <w:t xml:space="preserve">Dépenses fédérales pour l’éducation postsecondaire – Données </w:t>
      </w:r>
      <w:r w:rsidRPr="003C3E6D">
        <w:rPr>
          <w:rFonts w:asciiTheme="majorHAnsi" w:hAnsiTheme="majorHAnsi"/>
          <w:sz w:val="20"/>
          <w:szCs w:val="20"/>
          <w:lang w:val="fr-CA"/>
        </w:rPr>
        <w:t xml:space="preserve">(Ottawa : Bureau du directeur parlementaire du budget, mai 2016). Consulté en ligne : </w:t>
      </w:r>
      <w:hyperlink r:id="rId13" w:history="1">
        <w:r w:rsidRPr="003C3E6D">
          <w:rPr>
            <w:rStyle w:val="Hyperlink"/>
            <w:rFonts w:asciiTheme="majorHAnsi" w:hAnsiTheme="majorHAnsi"/>
            <w:sz w:val="20"/>
            <w:szCs w:val="20"/>
            <w:lang w:val="fr-CA"/>
          </w:rPr>
          <w:t>http://www.pbo-dpb.gc.ca/web/default/files/Documents/Reports/2016/PSE/PSE_EN.pdf</w:t>
        </w:r>
      </w:hyperlink>
      <w:r w:rsidRPr="003C3E6D">
        <w:rPr>
          <w:rFonts w:asciiTheme="majorHAnsi" w:hAnsiTheme="majorHAnsi"/>
          <w:sz w:val="20"/>
          <w:szCs w:val="20"/>
          <w:lang w:val="fr-CA"/>
        </w:rPr>
        <w:t xml:space="preserve"> </w:t>
      </w:r>
    </w:p>
  </w:footnote>
  <w:footnote w:id="13">
    <w:p w14:paraId="3A295E1A" w14:textId="1CBF0701" w:rsidR="009554EB" w:rsidRPr="003C3E6D" w:rsidRDefault="009554EB" w:rsidP="003732F8">
      <w:pPr>
        <w:rPr>
          <w:rFonts w:asciiTheme="majorHAnsi" w:hAnsiTheme="majorHAnsi"/>
          <w:sz w:val="20"/>
          <w:szCs w:val="20"/>
          <w:lang w:val="fr-CA"/>
        </w:rPr>
      </w:pPr>
      <w:r w:rsidRPr="003C3E6D">
        <w:rPr>
          <w:rStyle w:val="FootnoteReference"/>
          <w:rFonts w:asciiTheme="majorHAnsi" w:hAnsiTheme="majorHAnsi"/>
          <w:sz w:val="20"/>
          <w:szCs w:val="20"/>
          <w:lang w:val="fr-CA"/>
        </w:rPr>
        <w:footnoteRef/>
      </w:r>
      <w:r w:rsidRPr="003C3E6D">
        <w:rPr>
          <w:rFonts w:asciiTheme="majorHAnsi" w:hAnsiTheme="majorHAnsi"/>
          <w:sz w:val="20"/>
          <w:szCs w:val="20"/>
          <w:lang w:val="fr-CA"/>
        </w:rPr>
        <w:t xml:space="preserve"> </w:t>
      </w:r>
      <w:r w:rsidRPr="003C3E6D">
        <w:rPr>
          <w:rFonts w:asciiTheme="majorHAnsi" w:hAnsiTheme="majorHAnsi"/>
          <w:sz w:val="20"/>
          <w:szCs w:val="20"/>
          <w:lang w:val="fr-CA" w:eastAsia="en-CA"/>
        </w:rPr>
        <w:t xml:space="preserve">R.A. </w:t>
      </w:r>
      <w:proofErr w:type="spellStart"/>
      <w:r w:rsidRPr="003C3E6D">
        <w:rPr>
          <w:rFonts w:asciiTheme="majorHAnsi" w:hAnsiTheme="majorHAnsi"/>
          <w:sz w:val="20"/>
          <w:szCs w:val="20"/>
          <w:lang w:val="fr-CA" w:eastAsia="en-CA"/>
        </w:rPr>
        <w:t>Malatest</w:t>
      </w:r>
      <w:proofErr w:type="spellEnd"/>
      <w:r w:rsidRPr="003C3E6D">
        <w:rPr>
          <w:rFonts w:asciiTheme="majorHAnsi" w:hAnsiTheme="majorHAnsi"/>
          <w:sz w:val="20"/>
          <w:szCs w:val="20"/>
          <w:lang w:val="fr-CA" w:eastAsia="en-CA"/>
        </w:rPr>
        <w:t xml:space="preserve"> &amp; Associates Ltd. &amp; Dr. Blair </w:t>
      </w:r>
      <w:proofErr w:type="spellStart"/>
      <w:r w:rsidRPr="003C3E6D">
        <w:rPr>
          <w:rFonts w:asciiTheme="majorHAnsi" w:hAnsiTheme="majorHAnsi"/>
          <w:sz w:val="20"/>
          <w:szCs w:val="20"/>
          <w:lang w:val="fr-CA" w:eastAsia="en-CA"/>
        </w:rPr>
        <w:t>Stonechild</w:t>
      </w:r>
      <w:proofErr w:type="spellEnd"/>
      <w:r w:rsidRPr="003C3E6D">
        <w:rPr>
          <w:rFonts w:asciiTheme="majorHAnsi" w:hAnsiTheme="majorHAnsi"/>
          <w:sz w:val="20"/>
          <w:szCs w:val="20"/>
          <w:lang w:val="fr-CA" w:eastAsia="en-CA"/>
        </w:rPr>
        <w:t xml:space="preserve">, </w:t>
      </w:r>
      <w:r w:rsidRPr="003C3E6D">
        <w:rPr>
          <w:rFonts w:asciiTheme="majorHAnsi" w:hAnsiTheme="majorHAnsi"/>
          <w:i/>
          <w:sz w:val="20"/>
          <w:szCs w:val="20"/>
          <w:lang w:val="fr-CA" w:eastAsia="en-CA"/>
        </w:rPr>
        <w:t>F</w:t>
      </w:r>
      <w:r>
        <w:rPr>
          <w:rFonts w:asciiTheme="majorHAnsi" w:hAnsiTheme="majorHAnsi"/>
          <w:i/>
          <w:sz w:val="20"/>
          <w:szCs w:val="20"/>
          <w:lang w:val="fr-CA" w:eastAsia="en-CA"/>
        </w:rPr>
        <w:t xml:space="preserve">acteurs influençant le recours aux programmes d’aide financière aux études par les jeunes autochtones </w:t>
      </w:r>
      <w:r>
        <w:rPr>
          <w:rFonts w:asciiTheme="majorHAnsi" w:hAnsiTheme="majorHAnsi"/>
          <w:sz w:val="20"/>
          <w:szCs w:val="20"/>
          <w:lang w:val="fr-CA" w:eastAsia="en-CA"/>
        </w:rPr>
        <w:t>(Montré</w:t>
      </w:r>
      <w:r w:rsidRPr="003C3E6D">
        <w:rPr>
          <w:rFonts w:asciiTheme="majorHAnsi" w:hAnsiTheme="majorHAnsi"/>
          <w:sz w:val="20"/>
          <w:szCs w:val="20"/>
          <w:lang w:val="fr-CA" w:eastAsia="en-CA"/>
        </w:rPr>
        <w:t>al</w:t>
      </w:r>
      <w:r>
        <w:rPr>
          <w:rFonts w:asciiTheme="majorHAnsi" w:hAnsiTheme="majorHAnsi"/>
          <w:sz w:val="20"/>
          <w:szCs w:val="20"/>
          <w:lang w:val="fr-CA" w:eastAsia="en-CA"/>
        </w:rPr>
        <w:t xml:space="preserve"> </w:t>
      </w:r>
      <w:r w:rsidRPr="003C3E6D">
        <w:rPr>
          <w:rFonts w:asciiTheme="majorHAnsi" w:hAnsiTheme="majorHAnsi"/>
          <w:sz w:val="20"/>
          <w:szCs w:val="20"/>
          <w:lang w:val="fr-CA" w:eastAsia="en-CA"/>
        </w:rPr>
        <w:t xml:space="preserve">: </w:t>
      </w:r>
      <w:r>
        <w:rPr>
          <w:rFonts w:asciiTheme="majorHAnsi" w:hAnsiTheme="majorHAnsi"/>
          <w:sz w:val="20"/>
          <w:szCs w:val="20"/>
          <w:lang w:val="fr-CA" w:eastAsia="en-CA"/>
        </w:rPr>
        <w:t xml:space="preserve">Fondation canadienne des bourses d’études du millénaire, 2008). </w:t>
      </w:r>
      <w:r w:rsidRPr="003C3E6D">
        <w:rPr>
          <w:rFonts w:asciiTheme="majorHAnsi" w:hAnsiTheme="majorHAnsi"/>
          <w:sz w:val="20"/>
          <w:szCs w:val="20"/>
          <w:lang w:val="fr-CA" w:eastAsia="en-CA"/>
        </w:rPr>
        <w:t xml:space="preserve"> </w:t>
      </w:r>
    </w:p>
  </w:footnote>
  <w:footnote w:id="14">
    <w:p w14:paraId="76330DD8" w14:textId="595690D7" w:rsidR="009554EB" w:rsidRPr="003345F7" w:rsidRDefault="009554EB" w:rsidP="007D1923">
      <w:pPr>
        <w:pStyle w:val="FootnoteText"/>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sidRPr="003345F7">
        <w:rPr>
          <w:rFonts w:asciiTheme="majorHAnsi" w:hAnsiTheme="majorHAnsi"/>
          <w:sz w:val="20"/>
          <w:szCs w:val="20"/>
          <w:lang w:val="fr-CA"/>
        </w:rPr>
        <w:t xml:space="preserve">James Flaherty, </w:t>
      </w:r>
      <w:r w:rsidRPr="003345F7">
        <w:rPr>
          <w:rFonts w:asciiTheme="majorHAnsi" w:hAnsiTheme="majorHAnsi"/>
          <w:i/>
          <w:sz w:val="20"/>
          <w:szCs w:val="20"/>
          <w:lang w:val="fr-CA"/>
        </w:rPr>
        <w:t xml:space="preserve">Un leadership responsable : le plan budgétaire de 2008 </w:t>
      </w:r>
      <w:r w:rsidRPr="003345F7">
        <w:rPr>
          <w:rFonts w:asciiTheme="majorHAnsi" w:hAnsiTheme="majorHAnsi"/>
          <w:sz w:val="20"/>
          <w:szCs w:val="20"/>
          <w:lang w:val="fr-CA"/>
        </w:rPr>
        <w:t>(Ottawa</w:t>
      </w:r>
      <w:r>
        <w:rPr>
          <w:rFonts w:asciiTheme="majorHAnsi" w:hAnsiTheme="majorHAnsi"/>
          <w:sz w:val="20"/>
          <w:szCs w:val="20"/>
          <w:lang w:val="fr-CA"/>
        </w:rPr>
        <w:t xml:space="preserve"> </w:t>
      </w:r>
      <w:r w:rsidRPr="003345F7">
        <w:rPr>
          <w:rFonts w:asciiTheme="majorHAnsi" w:hAnsiTheme="majorHAnsi"/>
          <w:sz w:val="20"/>
          <w:szCs w:val="20"/>
          <w:lang w:val="fr-CA"/>
        </w:rPr>
        <w:t xml:space="preserve">: </w:t>
      </w:r>
      <w:r>
        <w:rPr>
          <w:rFonts w:asciiTheme="majorHAnsi" w:hAnsiTheme="majorHAnsi"/>
          <w:sz w:val="20"/>
          <w:szCs w:val="20"/>
          <w:lang w:val="fr-CA"/>
        </w:rPr>
        <w:t>ministre des Finances</w:t>
      </w:r>
      <w:r w:rsidRPr="003345F7">
        <w:rPr>
          <w:rFonts w:asciiTheme="majorHAnsi" w:hAnsiTheme="majorHAnsi"/>
          <w:sz w:val="20"/>
          <w:szCs w:val="20"/>
          <w:lang w:val="fr-CA"/>
        </w:rPr>
        <w:t xml:space="preserve">, 2008). </w:t>
      </w:r>
      <w:r>
        <w:rPr>
          <w:rFonts w:asciiTheme="majorHAnsi" w:hAnsiTheme="majorHAnsi"/>
          <w:sz w:val="20"/>
          <w:szCs w:val="20"/>
          <w:lang w:val="fr-CA"/>
        </w:rPr>
        <w:t xml:space="preserve">Consulté en ligne : </w:t>
      </w:r>
      <w:hyperlink r:id="rId14" w:history="1">
        <w:r>
          <w:rPr>
            <w:rStyle w:val="Hyperlink"/>
            <w:rFonts w:asciiTheme="majorHAnsi" w:hAnsiTheme="majorHAnsi"/>
            <w:sz w:val="20"/>
            <w:szCs w:val="20"/>
            <w:lang w:val="fr-CA"/>
          </w:rPr>
          <w:t>https://www.budget.gc.ca/2008/pdf/plan-fra.pdf</w:t>
        </w:r>
      </w:hyperlink>
      <w:r w:rsidRPr="003345F7">
        <w:rPr>
          <w:rFonts w:asciiTheme="majorHAnsi" w:hAnsiTheme="majorHAnsi"/>
          <w:sz w:val="20"/>
          <w:szCs w:val="20"/>
          <w:lang w:val="fr-CA"/>
        </w:rPr>
        <w:t>, p 11</w:t>
      </w:r>
      <w:r>
        <w:rPr>
          <w:rFonts w:asciiTheme="majorHAnsi" w:hAnsiTheme="majorHAnsi"/>
          <w:sz w:val="20"/>
          <w:szCs w:val="20"/>
          <w:lang w:val="fr-CA"/>
        </w:rPr>
        <w:t>7</w:t>
      </w:r>
      <w:r w:rsidRPr="003345F7">
        <w:rPr>
          <w:rFonts w:asciiTheme="majorHAnsi" w:hAnsiTheme="majorHAnsi"/>
          <w:sz w:val="20"/>
          <w:szCs w:val="20"/>
          <w:lang w:val="fr-CA"/>
        </w:rPr>
        <w:t>.</w:t>
      </w:r>
    </w:p>
  </w:footnote>
  <w:footnote w:id="15">
    <w:p w14:paraId="20379931" w14:textId="1006816B" w:rsidR="009554EB" w:rsidRPr="00AD3395" w:rsidRDefault="009554EB" w:rsidP="00631189">
      <w:pPr>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proofErr w:type="spellStart"/>
      <w:r w:rsidRPr="00AD3395">
        <w:rPr>
          <w:rFonts w:asciiTheme="majorHAnsi" w:hAnsiTheme="majorHAnsi"/>
          <w:i/>
          <w:sz w:val="20"/>
          <w:szCs w:val="20"/>
          <w:lang w:val="fr-CA"/>
        </w:rPr>
        <w:t>Momentum</w:t>
      </w:r>
      <w:proofErr w:type="spellEnd"/>
      <w:r w:rsidRPr="00AD3395">
        <w:rPr>
          <w:rFonts w:asciiTheme="majorHAnsi" w:hAnsiTheme="majorHAnsi"/>
          <w:i/>
          <w:sz w:val="20"/>
          <w:szCs w:val="20"/>
          <w:lang w:val="fr-CA"/>
        </w:rPr>
        <w:t xml:space="preserve">: The 2008 Report on </w:t>
      </w:r>
      <w:proofErr w:type="spellStart"/>
      <w:r w:rsidRPr="00AD3395">
        <w:rPr>
          <w:rFonts w:asciiTheme="majorHAnsi" w:hAnsiTheme="majorHAnsi"/>
          <w:i/>
          <w:sz w:val="20"/>
          <w:szCs w:val="20"/>
          <w:lang w:val="fr-CA"/>
        </w:rPr>
        <w:t>University</w:t>
      </w:r>
      <w:proofErr w:type="spellEnd"/>
      <w:r w:rsidRPr="00AD3395">
        <w:rPr>
          <w:rFonts w:asciiTheme="majorHAnsi" w:hAnsiTheme="majorHAnsi"/>
          <w:i/>
          <w:sz w:val="20"/>
          <w:szCs w:val="20"/>
          <w:lang w:val="fr-CA"/>
        </w:rPr>
        <w:t xml:space="preserve"> </w:t>
      </w:r>
      <w:proofErr w:type="spellStart"/>
      <w:r w:rsidRPr="00AD3395">
        <w:rPr>
          <w:rFonts w:asciiTheme="majorHAnsi" w:hAnsiTheme="majorHAnsi"/>
          <w:i/>
          <w:sz w:val="20"/>
          <w:szCs w:val="20"/>
          <w:lang w:val="fr-CA"/>
        </w:rPr>
        <w:t>Research</w:t>
      </w:r>
      <w:proofErr w:type="spellEnd"/>
      <w:r w:rsidRPr="00AD3395">
        <w:rPr>
          <w:rFonts w:asciiTheme="majorHAnsi" w:hAnsiTheme="majorHAnsi"/>
          <w:i/>
          <w:sz w:val="20"/>
          <w:szCs w:val="20"/>
          <w:lang w:val="fr-CA"/>
        </w:rPr>
        <w:t xml:space="preserve"> and </w:t>
      </w:r>
      <w:proofErr w:type="spellStart"/>
      <w:r w:rsidRPr="00AD3395">
        <w:rPr>
          <w:rFonts w:asciiTheme="majorHAnsi" w:hAnsiTheme="majorHAnsi"/>
          <w:i/>
          <w:sz w:val="20"/>
          <w:szCs w:val="20"/>
          <w:lang w:val="fr-CA"/>
        </w:rPr>
        <w:t>Knowledge</w:t>
      </w:r>
      <w:proofErr w:type="spellEnd"/>
      <w:r w:rsidRPr="00AD3395">
        <w:rPr>
          <w:rFonts w:asciiTheme="majorHAnsi" w:hAnsiTheme="majorHAnsi"/>
          <w:i/>
          <w:sz w:val="20"/>
          <w:szCs w:val="20"/>
          <w:lang w:val="fr-CA"/>
        </w:rPr>
        <w:t xml:space="preserve"> </w:t>
      </w:r>
      <w:proofErr w:type="spellStart"/>
      <w:r w:rsidRPr="00AD3395">
        <w:rPr>
          <w:rFonts w:asciiTheme="majorHAnsi" w:hAnsiTheme="majorHAnsi"/>
          <w:i/>
          <w:sz w:val="20"/>
          <w:szCs w:val="20"/>
          <w:lang w:val="fr-CA"/>
        </w:rPr>
        <w:t>Mobilization</w:t>
      </w:r>
      <w:proofErr w:type="spellEnd"/>
      <w:r w:rsidRPr="00AD3395">
        <w:rPr>
          <w:rFonts w:asciiTheme="majorHAnsi" w:hAnsiTheme="majorHAnsi"/>
          <w:sz w:val="20"/>
          <w:szCs w:val="20"/>
          <w:lang w:val="fr-CA"/>
        </w:rPr>
        <w:t xml:space="preserve"> (Association des universités et collèges du Canada, mai 2008). </w:t>
      </w:r>
      <w:r>
        <w:rPr>
          <w:rFonts w:asciiTheme="majorHAnsi" w:hAnsiTheme="majorHAnsi"/>
          <w:sz w:val="20"/>
          <w:szCs w:val="20"/>
          <w:lang w:val="fr-CA"/>
        </w:rPr>
        <w:t>Consulté en ligne </w:t>
      </w:r>
      <w:r w:rsidRPr="00AD3395">
        <w:rPr>
          <w:rFonts w:asciiTheme="majorHAnsi" w:hAnsiTheme="majorHAnsi"/>
          <w:sz w:val="20"/>
          <w:szCs w:val="20"/>
          <w:lang w:val="fr-CA"/>
        </w:rPr>
        <w:t xml:space="preserve">: </w:t>
      </w:r>
      <w:hyperlink r:id="rId15" w:history="1">
        <w:r w:rsidRPr="00AD3395">
          <w:rPr>
            <w:rStyle w:val="Hyperlink"/>
            <w:rFonts w:asciiTheme="majorHAnsi" w:hAnsiTheme="majorHAnsi"/>
            <w:sz w:val="20"/>
            <w:szCs w:val="20"/>
            <w:lang w:val="fr-CA"/>
          </w:rPr>
          <w:t>http://www.aucc.ca/media-room/publications/momentum-the-2008-report-on-university-research-and-knowledge-mobilization/</w:t>
        </w:r>
      </w:hyperlink>
      <w:r w:rsidRPr="00AD3395">
        <w:rPr>
          <w:rFonts w:asciiTheme="majorHAnsi" w:hAnsiTheme="majorHAnsi"/>
          <w:sz w:val="20"/>
          <w:szCs w:val="20"/>
          <w:lang w:val="fr-CA"/>
        </w:rPr>
        <w:t xml:space="preserve">, </w:t>
      </w:r>
    </w:p>
  </w:footnote>
  <w:footnote w:id="16">
    <w:p w14:paraId="0FFCB0EA" w14:textId="25315248" w:rsidR="009554EB" w:rsidRPr="00AD3395" w:rsidRDefault="009554EB" w:rsidP="00631189">
      <w:pPr>
        <w:pStyle w:val="FootnoteText"/>
        <w:rPr>
          <w:rFonts w:asciiTheme="majorHAnsi" w:hAnsiTheme="majorHAnsi"/>
          <w:sz w:val="20"/>
          <w:szCs w:val="20"/>
          <w:lang w:val="fr-CA"/>
        </w:rPr>
      </w:pPr>
      <w:r w:rsidRPr="00AD3395">
        <w:rPr>
          <w:rStyle w:val="FootnoteReference"/>
          <w:rFonts w:asciiTheme="majorHAnsi" w:hAnsiTheme="majorHAnsi"/>
          <w:sz w:val="20"/>
          <w:szCs w:val="20"/>
          <w:lang w:val="fr-CA"/>
        </w:rPr>
        <w:footnoteRef/>
      </w:r>
      <w:r w:rsidRPr="002975EA">
        <w:rPr>
          <w:rFonts w:asciiTheme="majorHAnsi" w:hAnsiTheme="majorHAnsi"/>
          <w:sz w:val="20"/>
          <w:szCs w:val="20"/>
          <w:lang w:val="en-US"/>
        </w:rPr>
        <w:t xml:space="preserve"> </w:t>
      </w:r>
      <w:r w:rsidRPr="002975EA">
        <w:rPr>
          <w:rFonts w:asciiTheme="majorHAnsi" w:hAnsiTheme="majorHAnsi"/>
          <w:i/>
          <w:sz w:val="20"/>
          <w:szCs w:val="20"/>
          <w:lang w:val="en-US"/>
        </w:rPr>
        <w:t>How Canada Performs</w:t>
      </w:r>
      <w:r w:rsidRPr="002975EA">
        <w:rPr>
          <w:rFonts w:asciiTheme="majorHAnsi" w:hAnsiTheme="majorHAnsi"/>
          <w:sz w:val="20"/>
          <w:szCs w:val="20"/>
          <w:lang w:val="en-US"/>
        </w:rPr>
        <w:t xml:space="preserve">; </w:t>
      </w:r>
      <w:r w:rsidRPr="002975EA">
        <w:rPr>
          <w:rFonts w:asciiTheme="majorHAnsi" w:hAnsiTheme="majorHAnsi"/>
          <w:i/>
          <w:sz w:val="20"/>
          <w:szCs w:val="20"/>
          <w:lang w:val="en-US"/>
        </w:rPr>
        <w:t>PhD Graduates</w:t>
      </w:r>
      <w:r w:rsidRPr="002975EA">
        <w:rPr>
          <w:rFonts w:asciiTheme="majorHAnsi" w:hAnsiTheme="majorHAnsi"/>
          <w:sz w:val="20"/>
          <w:szCs w:val="20"/>
          <w:lang w:val="en-US"/>
        </w:rPr>
        <w:t xml:space="preserve"> (Conference Board du Canada, 2013). </w:t>
      </w:r>
      <w:r>
        <w:rPr>
          <w:rFonts w:asciiTheme="majorHAnsi" w:hAnsiTheme="majorHAnsi"/>
          <w:sz w:val="20"/>
          <w:szCs w:val="20"/>
          <w:lang w:val="fr-CA"/>
        </w:rPr>
        <w:t>Consulté en ligne </w:t>
      </w:r>
      <w:r w:rsidRPr="00AD3395">
        <w:rPr>
          <w:rFonts w:asciiTheme="majorHAnsi" w:hAnsiTheme="majorHAnsi"/>
          <w:sz w:val="20"/>
          <w:szCs w:val="20"/>
          <w:lang w:val="fr-CA"/>
        </w:rPr>
        <w:t xml:space="preserve">: </w:t>
      </w:r>
      <w:hyperlink r:id="rId16" w:history="1">
        <w:r w:rsidRPr="00AD3395">
          <w:rPr>
            <w:rStyle w:val="Hyperlink"/>
            <w:rFonts w:asciiTheme="majorHAnsi" w:hAnsiTheme="majorHAnsi"/>
            <w:sz w:val="20"/>
            <w:szCs w:val="20"/>
            <w:lang w:val="fr-CA"/>
          </w:rPr>
          <w:t>http://www.conferenceboard.ca/hcp/details/education/phd-graduates.aspx</w:t>
        </w:r>
      </w:hyperlink>
      <w:r w:rsidRPr="00AD3395">
        <w:rPr>
          <w:rFonts w:asciiTheme="majorHAnsi" w:hAnsiTheme="majorHAnsi"/>
          <w:sz w:val="20"/>
          <w:szCs w:val="20"/>
          <w:lang w:val="fr-CA"/>
        </w:rPr>
        <w:t xml:space="preserve"> </w:t>
      </w:r>
    </w:p>
  </w:footnote>
  <w:footnote w:id="17">
    <w:p w14:paraId="63B4B0F2" w14:textId="5FA4DD37" w:rsidR="009554EB" w:rsidRPr="002975EA" w:rsidRDefault="009554EB">
      <w:pPr>
        <w:pStyle w:val="FootnoteText"/>
        <w:rPr>
          <w:rFonts w:asciiTheme="majorHAnsi" w:hAnsiTheme="majorHAnsi"/>
          <w:sz w:val="20"/>
          <w:szCs w:val="20"/>
          <w:lang w:val="fr-CA"/>
        </w:rPr>
      </w:pPr>
      <w:r w:rsidRPr="00AD3395">
        <w:rPr>
          <w:rStyle w:val="FootnoteReference"/>
          <w:rFonts w:asciiTheme="majorHAnsi" w:hAnsiTheme="majorHAnsi"/>
          <w:sz w:val="20"/>
          <w:szCs w:val="20"/>
          <w:lang w:val="fr-CA"/>
        </w:rPr>
        <w:footnoteRef/>
      </w:r>
      <w:r w:rsidRPr="00AD3395">
        <w:rPr>
          <w:rFonts w:asciiTheme="majorHAnsi" w:hAnsiTheme="majorHAnsi"/>
          <w:sz w:val="20"/>
          <w:szCs w:val="20"/>
          <w:lang w:val="fr-CA"/>
        </w:rPr>
        <w:t xml:space="preserve"> </w:t>
      </w:r>
      <w:r>
        <w:rPr>
          <w:rFonts w:asciiTheme="majorHAnsi" w:hAnsiTheme="majorHAnsi"/>
          <w:i/>
          <w:sz w:val="20"/>
          <w:szCs w:val="20"/>
          <w:lang w:val="fr-CA"/>
        </w:rPr>
        <w:t xml:space="preserve">Frais de scolarité pour les programmes menant à un grade, </w:t>
      </w:r>
      <w:r w:rsidRPr="00AD3395">
        <w:rPr>
          <w:rFonts w:asciiTheme="majorHAnsi" w:hAnsiTheme="majorHAnsi"/>
          <w:i/>
          <w:sz w:val="20"/>
          <w:szCs w:val="20"/>
          <w:lang w:val="fr-CA"/>
        </w:rPr>
        <w:t>2016</w:t>
      </w:r>
      <w:r>
        <w:rPr>
          <w:rFonts w:asciiTheme="majorHAnsi" w:hAnsiTheme="majorHAnsi"/>
          <w:i/>
          <w:sz w:val="20"/>
          <w:szCs w:val="20"/>
          <w:lang w:val="fr-CA"/>
        </w:rPr>
        <w:t>-20</w:t>
      </w:r>
      <w:r w:rsidRPr="00AD3395">
        <w:rPr>
          <w:rFonts w:asciiTheme="majorHAnsi" w:hAnsiTheme="majorHAnsi"/>
          <w:i/>
          <w:sz w:val="20"/>
          <w:szCs w:val="20"/>
          <w:lang w:val="fr-CA"/>
        </w:rPr>
        <w:t xml:space="preserve">17 </w:t>
      </w:r>
      <w:r w:rsidRPr="00AD3395">
        <w:rPr>
          <w:rFonts w:asciiTheme="majorHAnsi" w:hAnsiTheme="majorHAnsi"/>
          <w:sz w:val="20"/>
          <w:szCs w:val="20"/>
          <w:lang w:val="fr-CA"/>
        </w:rPr>
        <w:t>(Ottawa</w:t>
      </w:r>
      <w:r>
        <w:rPr>
          <w:rFonts w:asciiTheme="majorHAnsi" w:hAnsiTheme="majorHAnsi"/>
          <w:sz w:val="20"/>
          <w:szCs w:val="20"/>
          <w:lang w:val="fr-CA"/>
        </w:rPr>
        <w:t xml:space="preserve"> : Statistique</w:t>
      </w:r>
      <w:r w:rsidRPr="00AD3395">
        <w:rPr>
          <w:rFonts w:asciiTheme="majorHAnsi" w:hAnsiTheme="majorHAnsi"/>
          <w:sz w:val="20"/>
          <w:szCs w:val="20"/>
          <w:lang w:val="fr-CA"/>
        </w:rPr>
        <w:t xml:space="preserve"> Canada, 2016). </w:t>
      </w:r>
      <w:r>
        <w:rPr>
          <w:rFonts w:asciiTheme="majorHAnsi" w:hAnsiTheme="majorHAnsi"/>
          <w:sz w:val="20"/>
          <w:szCs w:val="20"/>
          <w:lang w:val="fr-CA"/>
        </w:rPr>
        <w:t xml:space="preserve">Consulté en ligne </w:t>
      </w:r>
      <w:r w:rsidRPr="00AD3395">
        <w:rPr>
          <w:rFonts w:asciiTheme="majorHAnsi" w:hAnsiTheme="majorHAnsi"/>
          <w:sz w:val="20"/>
          <w:szCs w:val="20"/>
          <w:lang w:val="fr-CA"/>
        </w:rPr>
        <w:t xml:space="preserve">: </w:t>
      </w:r>
      <w:hyperlink r:id="rId17" w:history="1">
        <w:r>
          <w:rPr>
            <w:rStyle w:val="Hyperlink"/>
            <w:rFonts w:asciiTheme="majorHAnsi" w:hAnsiTheme="majorHAnsi"/>
            <w:sz w:val="20"/>
            <w:szCs w:val="20"/>
            <w:lang w:val="fr-CA"/>
          </w:rPr>
          <w:t>http://www.statcan.gc.ca/daily-quotidien/160907/dq160907a-fra.htm</w:t>
        </w:r>
      </w:hyperlink>
      <w:r w:rsidRPr="002975EA">
        <w:rPr>
          <w:rFonts w:asciiTheme="majorHAnsi" w:hAnsiTheme="majorHAnsi"/>
          <w:sz w:val="20"/>
          <w:szCs w:val="20"/>
          <w:lang w:val="fr-CA"/>
        </w:rPr>
        <w:t xml:space="preserve"> </w:t>
      </w:r>
    </w:p>
  </w:footnote>
  <w:footnote w:id="18">
    <w:p w14:paraId="69693C86" w14:textId="687799A8" w:rsidR="009554EB" w:rsidRPr="00653442" w:rsidRDefault="009554EB">
      <w:pPr>
        <w:pStyle w:val="FootnoteText"/>
        <w:rPr>
          <w:rFonts w:asciiTheme="majorHAnsi" w:hAnsiTheme="majorHAnsi"/>
          <w:sz w:val="20"/>
          <w:szCs w:val="20"/>
          <w:lang w:val="fr-CA"/>
        </w:rPr>
      </w:pPr>
      <w:r w:rsidRPr="001E2A57">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sidRPr="00653442">
        <w:rPr>
          <w:rFonts w:asciiTheme="majorHAnsi" w:hAnsiTheme="majorHAnsi"/>
          <w:i/>
          <w:sz w:val="20"/>
          <w:szCs w:val="20"/>
          <w:lang w:val="fr-CA"/>
        </w:rPr>
        <w:t xml:space="preserve">Enquête de 2015 auprès des étudiants de dernière année : Rapport </w:t>
      </w:r>
      <w:r>
        <w:rPr>
          <w:rFonts w:asciiTheme="majorHAnsi" w:hAnsiTheme="majorHAnsi"/>
          <w:i/>
          <w:sz w:val="20"/>
          <w:szCs w:val="20"/>
          <w:lang w:val="fr-CA"/>
        </w:rPr>
        <w:t xml:space="preserve">général </w:t>
      </w:r>
      <w:r w:rsidRPr="00653442">
        <w:rPr>
          <w:rFonts w:asciiTheme="majorHAnsi" w:hAnsiTheme="majorHAnsi"/>
          <w:sz w:val="20"/>
          <w:szCs w:val="20"/>
          <w:lang w:val="fr-CA"/>
        </w:rPr>
        <w:t>(</w:t>
      </w:r>
      <w:r>
        <w:rPr>
          <w:rFonts w:asciiTheme="majorHAnsi" w:hAnsiTheme="majorHAnsi"/>
          <w:sz w:val="20"/>
          <w:szCs w:val="20"/>
          <w:lang w:val="fr-CA"/>
        </w:rPr>
        <w:t>Consortium canadien de recherche sur les étudiants universitaires, juillet 2015)</w:t>
      </w:r>
      <w:r w:rsidRPr="00653442">
        <w:rPr>
          <w:rFonts w:asciiTheme="majorHAnsi" w:hAnsiTheme="majorHAnsi"/>
          <w:sz w:val="20"/>
          <w:szCs w:val="20"/>
          <w:lang w:val="fr-CA"/>
        </w:rPr>
        <w:t xml:space="preserve">. </w:t>
      </w:r>
      <w:r>
        <w:rPr>
          <w:rFonts w:asciiTheme="majorHAnsi" w:hAnsiTheme="majorHAnsi"/>
          <w:sz w:val="20"/>
          <w:szCs w:val="20"/>
          <w:lang w:val="fr-CA"/>
        </w:rPr>
        <w:t>Consulté en ligne </w:t>
      </w:r>
      <w:r w:rsidRPr="00653442">
        <w:rPr>
          <w:rFonts w:asciiTheme="majorHAnsi" w:hAnsiTheme="majorHAnsi"/>
          <w:sz w:val="20"/>
          <w:szCs w:val="20"/>
          <w:lang w:val="fr-CA"/>
        </w:rPr>
        <w:t xml:space="preserve">: </w:t>
      </w:r>
      <w:hyperlink r:id="rId18" w:history="1">
        <w:r>
          <w:rPr>
            <w:rStyle w:val="Hyperlink"/>
            <w:rFonts w:asciiTheme="majorHAnsi" w:hAnsiTheme="majorHAnsi"/>
            <w:sz w:val="20"/>
            <w:szCs w:val="20"/>
            <w:lang w:val="fr-CA"/>
          </w:rPr>
          <w:t>http://www.cusc-ccreu.ca/CUSC_2015_Graduating_Master_Report_French.pdf</w:t>
        </w:r>
      </w:hyperlink>
      <w:r w:rsidRPr="00653442">
        <w:rPr>
          <w:rFonts w:asciiTheme="majorHAnsi" w:hAnsiTheme="majorHAnsi"/>
          <w:sz w:val="20"/>
          <w:szCs w:val="20"/>
          <w:lang w:val="fr-CA"/>
        </w:rPr>
        <w:t xml:space="preserve"> </w:t>
      </w:r>
    </w:p>
  </w:footnote>
  <w:footnote w:id="19">
    <w:p w14:paraId="5201F5D5" w14:textId="630E1699" w:rsidR="009554EB" w:rsidRPr="00653442" w:rsidRDefault="009554EB" w:rsidP="00F3193C">
      <w:pPr>
        <w:rPr>
          <w:lang w:val="fr-CA"/>
        </w:rPr>
      </w:pPr>
      <w:r w:rsidRPr="00653442">
        <w:rPr>
          <w:rStyle w:val="FootnoteReference"/>
          <w:rFonts w:asciiTheme="majorHAnsi" w:hAnsiTheme="majorHAnsi"/>
          <w:sz w:val="20"/>
          <w:szCs w:val="20"/>
          <w:lang w:val="fr-CA"/>
        </w:rPr>
        <w:footnoteRef/>
      </w:r>
      <w:r w:rsidRPr="002975EA">
        <w:rPr>
          <w:rFonts w:asciiTheme="majorHAnsi" w:hAnsiTheme="majorHAnsi"/>
          <w:sz w:val="20"/>
          <w:szCs w:val="20"/>
        </w:rPr>
        <w:t xml:space="preserve"> Rosanna Tamburri, « The PhD is in need of revision », </w:t>
      </w:r>
      <w:r w:rsidRPr="002975EA">
        <w:rPr>
          <w:rFonts w:asciiTheme="majorHAnsi" w:hAnsiTheme="majorHAnsi"/>
          <w:i/>
          <w:sz w:val="20"/>
          <w:szCs w:val="20"/>
        </w:rPr>
        <w:t xml:space="preserve">University Affairs </w:t>
      </w:r>
      <w:r w:rsidRPr="002975EA">
        <w:rPr>
          <w:rFonts w:asciiTheme="majorHAnsi" w:hAnsiTheme="majorHAnsi"/>
          <w:sz w:val="20"/>
          <w:szCs w:val="20"/>
        </w:rPr>
        <w:t xml:space="preserve">(6 février 2013). Consulté en ligne : </w:t>
      </w:r>
      <w:hyperlink r:id="rId19" w:history="1">
        <w:r w:rsidRPr="002975EA">
          <w:rPr>
            <w:rStyle w:val="Hyperlink"/>
            <w:rFonts w:asciiTheme="majorHAnsi" w:hAnsiTheme="majorHAnsi"/>
            <w:sz w:val="20"/>
            <w:szCs w:val="20"/>
          </w:rPr>
          <w:t>http://www.universityaffairs.ca/features/feature-article/the-phd-is-in-need-of-revision/</w:t>
        </w:r>
      </w:hyperlink>
      <w:r w:rsidRPr="002975EA">
        <w:rPr>
          <w:rFonts w:asciiTheme="majorHAnsi" w:hAnsiTheme="majorHAnsi"/>
          <w:sz w:val="20"/>
          <w:szCs w:val="20"/>
        </w:rPr>
        <w:t xml:space="preserve">; </w:t>
      </w:r>
      <w:r w:rsidRPr="002975EA">
        <w:rPr>
          <w:rFonts w:asciiTheme="majorHAnsi" w:hAnsiTheme="majorHAnsi"/>
          <w:i/>
          <w:sz w:val="20"/>
          <w:szCs w:val="20"/>
        </w:rPr>
        <w:t>Survey on Doctoral Completion Time, Final Report</w:t>
      </w:r>
      <w:r w:rsidRPr="002975EA">
        <w:rPr>
          <w:rFonts w:asciiTheme="majorHAnsi" w:hAnsiTheme="majorHAnsi"/>
          <w:sz w:val="20"/>
          <w:szCs w:val="20"/>
        </w:rPr>
        <w:t xml:space="preserve"> (Queen’s University: School of Graduate Studies, mai 2013). </w:t>
      </w:r>
      <w:r>
        <w:rPr>
          <w:rFonts w:asciiTheme="majorHAnsi" w:hAnsiTheme="majorHAnsi"/>
          <w:sz w:val="20"/>
          <w:szCs w:val="20"/>
          <w:lang w:val="fr-CA"/>
        </w:rPr>
        <w:t>Consulté en ligne </w:t>
      </w:r>
      <w:r w:rsidRPr="00653442">
        <w:rPr>
          <w:rFonts w:asciiTheme="majorHAnsi" w:hAnsiTheme="majorHAnsi"/>
          <w:sz w:val="20"/>
          <w:szCs w:val="20"/>
          <w:lang w:val="fr-CA"/>
        </w:rPr>
        <w:t xml:space="preserve">: </w:t>
      </w:r>
      <w:hyperlink r:id="rId20" w:history="1">
        <w:r w:rsidRPr="00653442">
          <w:rPr>
            <w:rStyle w:val="Hyperlink"/>
            <w:rFonts w:asciiTheme="majorHAnsi" w:hAnsiTheme="majorHAnsi"/>
            <w:sz w:val="20"/>
            <w:szCs w:val="20"/>
            <w:lang w:val="fr-CA"/>
          </w:rPr>
          <w:t>http://www.queensu.ca/sgs/sites/webpublish.queensu.ca.sgswww/files/files/Faculty-degree%20completion/TTC%20Survey%20Final%20report.pdf</w:t>
        </w:r>
      </w:hyperlink>
      <w:r w:rsidRPr="00653442">
        <w:rPr>
          <w:rFonts w:asciiTheme="majorHAnsi" w:hAnsiTheme="majorHAnsi"/>
          <w:sz w:val="20"/>
          <w:szCs w:val="20"/>
          <w:lang w:val="fr-CA"/>
        </w:rPr>
        <w:t xml:space="preserve"> </w:t>
      </w:r>
    </w:p>
  </w:footnote>
  <w:footnote w:id="20">
    <w:p w14:paraId="3BC02649" w14:textId="11E6AB22" w:rsidR="009554EB" w:rsidRPr="002975EA" w:rsidRDefault="009554EB">
      <w:pPr>
        <w:pStyle w:val="FootnoteText"/>
        <w:rPr>
          <w:sz w:val="20"/>
          <w:szCs w:val="20"/>
          <w:lang w:val="fr-CA"/>
        </w:rPr>
      </w:pPr>
      <w:r w:rsidRPr="00653442">
        <w:rPr>
          <w:rStyle w:val="FootnoteReference"/>
          <w:lang w:val="fr-CA"/>
        </w:rPr>
        <w:footnoteRef/>
      </w:r>
      <w:r w:rsidRPr="00653442">
        <w:rPr>
          <w:lang w:val="fr-CA"/>
        </w:rPr>
        <w:t xml:space="preserve"> </w:t>
      </w:r>
      <w:proofErr w:type="spellStart"/>
      <w:r w:rsidRPr="00653442">
        <w:rPr>
          <w:sz w:val="20"/>
          <w:szCs w:val="20"/>
          <w:lang w:val="fr-CA"/>
        </w:rPr>
        <w:t>Rubab</w:t>
      </w:r>
      <w:proofErr w:type="spellEnd"/>
      <w:r w:rsidRPr="00653442">
        <w:rPr>
          <w:sz w:val="20"/>
          <w:szCs w:val="20"/>
          <w:lang w:val="fr-CA"/>
        </w:rPr>
        <w:t xml:space="preserve"> </w:t>
      </w:r>
      <w:proofErr w:type="spellStart"/>
      <w:r w:rsidRPr="00653442">
        <w:rPr>
          <w:sz w:val="20"/>
          <w:szCs w:val="20"/>
          <w:lang w:val="fr-CA"/>
        </w:rPr>
        <w:t>Arim</w:t>
      </w:r>
      <w:proofErr w:type="spellEnd"/>
      <w:r w:rsidRPr="00653442">
        <w:rPr>
          <w:sz w:val="20"/>
          <w:szCs w:val="20"/>
          <w:lang w:val="fr-CA"/>
        </w:rPr>
        <w:t xml:space="preserve">, </w:t>
      </w:r>
      <w:r>
        <w:rPr>
          <w:i/>
          <w:sz w:val="20"/>
          <w:szCs w:val="20"/>
          <w:lang w:val="fr-CA"/>
        </w:rPr>
        <w:t xml:space="preserve">Profil des expériences sur le marché du travail : adultes canadiens de 15 ans et plus ayant une incapacité, 2012 </w:t>
      </w:r>
      <w:r w:rsidRPr="00653442">
        <w:rPr>
          <w:sz w:val="20"/>
          <w:szCs w:val="20"/>
          <w:lang w:val="fr-CA"/>
        </w:rPr>
        <w:t>(</w:t>
      </w:r>
      <w:r>
        <w:rPr>
          <w:sz w:val="20"/>
          <w:szCs w:val="20"/>
          <w:lang w:val="fr-CA"/>
        </w:rPr>
        <w:t xml:space="preserve">Statistique </w:t>
      </w:r>
      <w:r w:rsidRPr="00653442">
        <w:rPr>
          <w:sz w:val="20"/>
          <w:szCs w:val="20"/>
          <w:lang w:val="fr-CA"/>
        </w:rPr>
        <w:t xml:space="preserve">Canada, </w:t>
      </w:r>
      <w:r>
        <w:rPr>
          <w:sz w:val="20"/>
          <w:szCs w:val="20"/>
          <w:lang w:val="fr-CA"/>
        </w:rPr>
        <w:t xml:space="preserve">13 mars </w:t>
      </w:r>
      <w:r w:rsidRPr="00653442">
        <w:rPr>
          <w:sz w:val="20"/>
          <w:szCs w:val="20"/>
          <w:lang w:val="fr-CA"/>
        </w:rPr>
        <w:t xml:space="preserve">2015). </w:t>
      </w:r>
      <w:r>
        <w:rPr>
          <w:sz w:val="20"/>
          <w:szCs w:val="20"/>
          <w:lang w:val="fr-CA"/>
        </w:rPr>
        <w:t xml:space="preserve">Consulté en ligne </w:t>
      </w:r>
      <w:r w:rsidRPr="00653442">
        <w:rPr>
          <w:sz w:val="20"/>
          <w:szCs w:val="20"/>
          <w:lang w:val="fr-CA"/>
        </w:rPr>
        <w:t xml:space="preserve">: </w:t>
      </w:r>
      <w:hyperlink r:id="rId21" w:history="1">
        <w:r w:rsidRPr="00C21B56">
          <w:rPr>
            <w:rStyle w:val="Hyperlink"/>
            <w:sz w:val="20"/>
            <w:szCs w:val="20"/>
            <w:lang w:val="fr-CA"/>
          </w:rPr>
          <w:t>http://www.statcan.gc.ca/pub/89-654-x/89-654-x2015005-fra.htm</w:t>
        </w:r>
      </w:hyperlink>
      <w:r>
        <w:rPr>
          <w:sz w:val="20"/>
          <w:szCs w:val="20"/>
          <w:lang w:val="fr-CA"/>
        </w:rPr>
        <w:t xml:space="preserve"> </w:t>
      </w:r>
    </w:p>
  </w:footnote>
  <w:footnote w:id="21">
    <w:p w14:paraId="543A3F9A" w14:textId="62C46740" w:rsidR="009554EB" w:rsidRPr="00653442" w:rsidRDefault="009554EB">
      <w:pPr>
        <w:pStyle w:val="FootnoteText"/>
        <w:rPr>
          <w:sz w:val="20"/>
          <w:szCs w:val="20"/>
          <w:lang w:val="fr-CA"/>
        </w:rPr>
      </w:pPr>
      <w:r>
        <w:rPr>
          <w:rStyle w:val="FootnoteReference"/>
        </w:rPr>
        <w:footnoteRef/>
      </w:r>
      <w:r w:rsidRPr="002975EA">
        <w:rPr>
          <w:lang w:val="fr-CA"/>
        </w:rPr>
        <w:t xml:space="preserve"> </w:t>
      </w:r>
      <w:proofErr w:type="spellStart"/>
      <w:r w:rsidRPr="00653442">
        <w:rPr>
          <w:sz w:val="20"/>
          <w:szCs w:val="20"/>
          <w:lang w:val="fr-CA"/>
        </w:rPr>
        <w:t>Rubab</w:t>
      </w:r>
      <w:proofErr w:type="spellEnd"/>
      <w:r w:rsidRPr="00653442">
        <w:rPr>
          <w:sz w:val="20"/>
          <w:szCs w:val="20"/>
          <w:lang w:val="fr-CA"/>
        </w:rPr>
        <w:t xml:space="preserve"> </w:t>
      </w:r>
      <w:proofErr w:type="spellStart"/>
      <w:r w:rsidRPr="00653442">
        <w:rPr>
          <w:sz w:val="20"/>
          <w:szCs w:val="20"/>
          <w:lang w:val="fr-CA"/>
        </w:rPr>
        <w:t>Arim</w:t>
      </w:r>
      <w:proofErr w:type="spellEnd"/>
      <w:r w:rsidRPr="00653442">
        <w:rPr>
          <w:sz w:val="20"/>
          <w:szCs w:val="20"/>
          <w:lang w:val="fr-CA"/>
        </w:rPr>
        <w:t xml:space="preserve">, </w:t>
      </w:r>
      <w:r w:rsidRPr="00653442">
        <w:rPr>
          <w:i/>
          <w:sz w:val="20"/>
          <w:szCs w:val="20"/>
          <w:lang w:val="fr-CA"/>
        </w:rPr>
        <w:t xml:space="preserve">Profil des expériences sur le marché du travail : adultes canadiens de 15 ans et plus ayant une incapacité, 2012 </w:t>
      </w:r>
      <w:r w:rsidRPr="00653442">
        <w:rPr>
          <w:sz w:val="20"/>
          <w:szCs w:val="20"/>
          <w:lang w:val="fr-CA"/>
        </w:rPr>
        <w:t xml:space="preserve">(Statistique Canada, 13 mars 2015). Consulté en ligne : </w:t>
      </w:r>
      <w:hyperlink r:id="rId22" w:history="1">
        <w:r w:rsidRPr="00653442">
          <w:rPr>
            <w:rStyle w:val="Hyperlink"/>
            <w:sz w:val="20"/>
            <w:szCs w:val="20"/>
            <w:lang w:val="fr-CA"/>
          </w:rPr>
          <w:t>http://www.statcan.gc.ca/pub/89-654-x/89-654-x2015005-fra.htm</w:t>
        </w:r>
      </w:hyperlink>
    </w:p>
  </w:footnote>
  <w:footnote w:id="22">
    <w:p w14:paraId="6A3DF8B7" w14:textId="660AF7A6" w:rsidR="009554EB" w:rsidRPr="00653442" w:rsidRDefault="009554EB">
      <w:pPr>
        <w:pStyle w:val="FootnoteText"/>
        <w:rPr>
          <w:lang w:val="fr-CA"/>
        </w:rPr>
      </w:pPr>
      <w:r w:rsidRPr="00653442">
        <w:rPr>
          <w:rStyle w:val="FootnoteReference"/>
          <w:sz w:val="20"/>
          <w:szCs w:val="20"/>
          <w:lang w:val="fr-CA"/>
        </w:rPr>
        <w:footnoteRef/>
      </w:r>
      <w:r w:rsidRPr="00653442">
        <w:rPr>
          <w:sz w:val="20"/>
          <w:szCs w:val="20"/>
          <w:lang w:val="fr-CA"/>
        </w:rPr>
        <w:t xml:space="preserve"> Matthew Till, Tim Leonard, </w:t>
      </w:r>
      <w:proofErr w:type="spellStart"/>
      <w:r w:rsidRPr="00653442">
        <w:rPr>
          <w:sz w:val="20"/>
          <w:szCs w:val="20"/>
          <w:lang w:val="fr-CA"/>
        </w:rPr>
        <w:t>Sebastian</w:t>
      </w:r>
      <w:proofErr w:type="spellEnd"/>
      <w:r w:rsidRPr="00653442">
        <w:rPr>
          <w:sz w:val="20"/>
          <w:szCs w:val="20"/>
          <w:lang w:val="fr-CA"/>
        </w:rPr>
        <w:t xml:space="preserve"> Yeung </w:t>
      </w:r>
      <w:r>
        <w:rPr>
          <w:sz w:val="20"/>
          <w:szCs w:val="20"/>
          <w:lang w:val="fr-CA"/>
        </w:rPr>
        <w:t xml:space="preserve">et </w:t>
      </w:r>
      <w:proofErr w:type="spellStart"/>
      <w:r w:rsidRPr="00653442">
        <w:rPr>
          <w:sz w:val="20"/>
          <w:szCs w:val="20"/>
          <w:lang w:val="fr-CA"/>
        </w:rPr>
        <w:t>Gradon</w:t>
      </w:r>
      <w:proofErr w:type="spellEnd"/>
      <w:r w:rsidRPr="00653442">
        <w:rPr>
          <w:sz w:val="20"/>
          <w:szCs w:val="20"/>
          <w:lang w:val="fr-CA"/>
        </w:rPr>
        <w:t xml:space="preserve"> </w:t>
      </w:r>
      <w:proofErr w:type="spellStart"/>
      <w:r w:rsidRPr="00653442">
        <w:rPr>
          <w:sz w:val="20"/>
          <w:szCs w:val="20"/>
          <w:lang w:val="fr-CA"/>
        </w:rPr>
        <w:t>Nicholls</w:t>
      </w:r>
      <w:proofErr w:type="spellEnd"/>
      <w:r w:rsidRPr="00653442">
        <w:rPr>
          <w:sz w:val="20"/>
          <w:szCs w:val="20"/>
          <w:lang w:val="fr-CA"/>
        </w:rPr>
        <w:t xml:space="preserve">, </w:t>
      </w:r>
      <w:r>
        <w:rPr>
          <w:i/>
          <w:sz w:val="20"/>
          <w:szCs w:val="20"/>
          <w:lang w:val="fr-CA"/>
        </w:rPr>
        <w:t>Profil des expériences sur le marché du travail : adultes canadiens de 15 ans et plus ayant une incapacité, 2012</w:t>
      </w:r>
      <w:r w:rsidRPr="00653442">
        <w:rPr>
          <w:i/>
          <w:sz w:val="20"/>
          <w:szCs w:val="20"/>
          <w:lang w:val="fr-CA"/>
        </w:rPr>
        <w:t xml:space="preserve"> </w:t>
      </w:r>
      <w:r>
        <w:rPr>
          <w:sz w:val="20"/>
          <w:szCs w:val="20"/>
          <w:lang w:val="fr-CA"/>
        </w:rPr>
        <w:t>(Statistique</w:t>
      </w:r>
      <w:r w:rsidRPr="00653442">
        <w:rPr>
          <w:sz w:val="20"/>
          <w:szCs w:val="20"/>
          <w:lang w:val="fr-CA"/>
        </w:rPr>
        <w:t xml:space="preserve"> Canada, </w:t>
      </w:r>
      <w:r>
        <w:rPr>
          <w:sz w:val="20"/>
          <w:szCs w:val="20"/>
          <w:lang w:val="fr-CA"/>
        </w:rPr>
        <w:t xml:space="preserve">3 décembre </w:t>
      </w:r>
      <w:r w:rsidRPr="00653442">
        <w:rPr>
          <w:sz w:val="20"/>
          <w:szCs w:val="20"/>
          <w:lang w:val="fr-CA"/>
        </w:rPr>
        <w:t xml:space="preserve">2015). </w:t>
      </w:r>
      <w:r>
        <w:rPr>
          <w:sz w:val="20"/>
          <w:szCs w:val="20"/>
          <w:lang w:val="fr-CA"/>
        </w:rPr>
        <w:t xml:space="preserve">Consulté en ligne </w:t>
      </w:r>
      <w:r w:rsidRPr="00653442">
        <w:rPr>
          <w:sz w:val="20"/>
          <w:szCs w:val="20"/>
          <w:lang w:val="fr-CA"/>
        </w:rPr>
        <w:t xml:space="preserve">: </w:t>
      </w:r>
      <w:hyperlink r:id="rId23" w:history="1">
        <w:r>
          <w:rPr>
            <w:rStyle w:val="Hyperlink"/>
            <w:sz w:val="20"/>
            <w:szCs w:val="20"/>
            <w:lang w:val="fr-CA"/>
          </w:rPr>
          <w:t>http://www.statcan.gc.ca/pub/89-654-x/89-654-x2015005-fra.htm</w:t>
        </w:r>
      </w:hyperlink>
      <w:r w:rsidRPr="00653442">
        <w:rPr>
          <w:sz w:val="20"/>
          <w:szCs w:val="20"/>
          <w:lang w:val="fr-CA"/>
        </w:rPr>
        <w:t xml:space="preserve"> </w:t>
      </w:r>
    </w:p>
  </w:footnote>
  <w:footnote w:id="23">
    <w:p w14:paraId="77C1D0F3" w14:textId="7370C9B3" w:rsidR="009554EB" w:rsidRPr="00653442" w:rsidRDefault="009554EB">
      <w:pPr>
        <w:pStyle w:val="FootnoteText"/>
        <w:rPr>
          <w:sz w:val="20"/>
          <w:szCs w:val="20"/>
          <w:lang w:val="fr-CA"/>
        </w:rPr>
      </w:pPr>
      <w:r w:rsidRPr="00653442">
        <w:rPr>
          <w:rStyle w:val="FootnoteReference"/>
          <w:sz w:val="20"/>
          <w:szCs w:val="20"/>
          <w:lang w:val="fr-CA"/>
        </w:rPr>
        <w:footnoteRef/>
      </w:r>
      <w:r w:rsidRPr="00653442">
        <w:rPr>
          <w:sz w:val="20"/>
          <w:szCs w:val="20"/>
          <w:lang w:val="fr-CA"/>
        </w:rPr>
        <w:t xml:space="preserve"> </w:t>
      </w:r>
      <w:r w:rsidRPr="00653442">
        <w:rPr>
          <w:i/>
          <w:sz w:val="20"/>
          <w:szCs w:val="20"/>
          <w:lang w:val="fr-CA"/>
        </w:rPr>
        <w:t>O</w:t>
      </w:r>
      <w:r>
        <w:rPr>
          <w:i/>
          <w:sz w:val="20"/>
          <w:szCs w:val="20"/>
          <w:lang w:val="fr-CA"/>
        </w:rPr>
        <w:t xml:space="preserve">uvrir la porte : Surmonter les obstacles aux études postsecondaires au Canada </w:t>
      </w:r>
      <w:r w:rsidRPr="00653442">
        <w:rPr>
          <w:sz w:val="20"/>
          <w:szCs w:val="20"/>
          <w:lang w:val="fr-CA"/>
        </w:rPr>
        <w:t>(</w:t>
      </w:r>
      <w:r>
        <w:rPr>
          <w:sz w:val="20"/>
          <w:szCs w:val="20"/>
          <w:lang w:val="fr-CA"/>
        </w:rPr>
        <w:t xml:space="preserve">Comité sénatorial permanent des affaires sociales, des sciences et de la technologie, décembre 2011), 29. Consulté en ligne : </w:t>
      </w:r>
      <w:hyperlink r:id="rId24" w:history="1">
        <w:r w:rsidRPr="00C21B56">
          <w:rPr>
            <w:rStyle w:val="Hyperlink"/>
            <w:sz w:val="20"/>
            <w:szCs w:val="20"/>
            <w:lang w:val="fr-CA"/>
          </w:rPr>
          <w:t>https://sencanada.ca/content/sen/committee/411/soci/rep/rep06dec11-f.pdf</w:t>
        </w:r>
      </w:hyperlink>
      <w:r>
        <w:rPr>
          <w:sz w:val="20"/>
          <w:szCs w:val="20"/>
          <w:lang w:val="fr-CA"/>
        </w:rPr>
        <w:t xml:space="preserve"> </w:t>
      </w:r>
    </w:p>
  </w:footnote>
  <w:footnote w:id="24">
    <w:p w14:paraId="2269E472" w14:textId="01F9D393" w:rsidR="009554EB" w:rsidRPr="00653442" w:rsidRDefault="009554EB">
      <w:pPr>
        <w:pStyle w:val="FootnoteText"/>
        <w:rPr>
          <w:lang w:val="fr-CA"/>
        </w:rPr>
      </w:pPr>
      <w:r w:rsidRPr="00653442">
        <w:rPr>
          <w:rStyle w:val="FootnoteReference"/>
          <w:sz w:val="20"/>
          <w:szCs w:val="20"/>
          <w:lang w:val="fr-CA"/>
        </w:rPr>
        <w:footnoteRef/>
      </w:r>
      <w:r w:rsidRPr="00653442">
        <w:rPr>
          <w:sz w:val="20"/>
          <w:szCs w:val="20"/>
          <w:lang w:val="fr-CA"/>
        </w:rPr>
        <w:t xml:space="preserve"> </w:t>
      </w:r>
      <w:proofErr w:type="spellStart"/>
      <w:r w:rsidRPr="00653442">
        <w:rPr>
          <w:sz w:val="20"/>
          <w:szCs w:val="20"/>
          <w:lang w:val="fr-CA"/>
        </w:rPr>
        <w:t>Rubab</w:t>
      </w:r>
      <w:proofErr w:type="spellEnd"/>
      <w:r w:rsidRPr="00653442">
        <w:rPr>
          <w:sz w:val="20"/>
          <w:szCs w:val="20"/>
          <w:lang w:val="fr-CA"/>
        </w:rPr>
        <w:t xml:space="preserve"> </w:t>
      </w:r>
      <w:proofErr w:type="spellStart"/>
      <w:r w:rsidRPr="00653442">
        <w:rPr>
          <w:sz w:val="20"/>
          <w:szCs w:val="20"/>
          <w:lang w:val="fr-CA"/>
        </w:rPr>
        <w:t>Arim</w:t>
      </w:r>
      <w:proofErr w:type="spellEnd"/>
      <w:r w:rsidRPr="00653442">
        <w:rPr>
          <w:sz w:val="20"/>
          <w:szCs w:val="20"/>
          <w:lang w:val="fr-CA"/>
        </w:rPr>
        <w:t xml:space="preserve">, </w:t>
      </w:r>
      <w:r>
        <w:rPr>
          <w:i/>
          <w:sz w:val="20"/>
          <w:szCs w:val="20"/>
          <w:lang w:val="fr-CA"/>
        </w:rPr>
        <w:t xml:space="preserve">Profil des expériences sur le marché du travail : adultes canadiens de 15 ans et plus ayant une incapacité, 2012 </w:t>
      </w:r>
      <w:r w:rsidRPr="00653442">
        <w:rPr>
          <w:sz w:val="20"/>
          <w:szCs w:val="20"/>
          <w:lang w:val="fr-CA"/>
        </w:rPr>
        <w:t>(</w:t>
      </w:r>
      <w:r>
        <w:rPr>
          <w:sz w:val="20"/>
          <w:szCs w:val="20"/>
          <w:lang w:val="fr-CA"/>
        </w:rPr>
        <w:t xml:space="preserve">Statistique </w:t>
      </w:r>
      <w:r w:rsidRPr="00653442">
        <w:rPr>
          <w:sz w:val="20"/>
          <w:szCs w:val="20"/>
          <w:lang w:val="fr-CA"/>
        </w:rPr>
        <w:t xml:space="preserve">Canada, </w:t>
      </w:r>
      <w:r>
        <w:rPr>
          <w:sz w:val="20"/>
          <w:szCs w:val="20"/>
          <w:lang w:val="fr-CA"/>
        </w:rPr>
        <w:t xml:space="preserve">13 mars </w:t>
      </w:r>
      <w:r w:rsidRPr="00653442">
        <w:rPr>
          <w:sz w:val="20"/>
          <w:szCs w:val="20"/>
          <w:lang w:val="fr-CA"/>
        </w:rPr>
        <w:t xml:space="preserve">2015). </w:t>
      </w:r>
      <w:r>
        <w:rPr>
          <w:sz w:val="20"/>
          <w:szCs w:val="20"/>
          <w:lang w:val="fr-CA"/>
        </w:rPr>
        <w:t xml:space="preserve">Consulté en ligne </w:t>
      </w:r>
      <w:r w:rsidRPr="00653442">
        <w:rPr>
          <w:sz w:val="20"/>
          <w:szCs w:val="20"/>
          <w:lang w:val="fr-CA"/>
        </w:rPr>
        <w:t xml:space="preserve">: </w:t>
      </w:r>
      <w:hyperlink r:id="rId25" w:history="1">
        <w:r w:rsidRPr="00C21B56">
          <w:rPr>
            <w:rStyle w:val="Hyperlink"/>
            <w:sz w:val="20"/>
            <w:szCs w:val="20"/>
            <w:lang w:val="fr-CA"/>
          </w:rPr>
          <w:t>http://www.statcan.gc.ca/pub/89-654-x/89-654-x2015005-fra.htm</w:t>
        </w:r>
      </w:hyperlink>
    </w:p>
  </w:footnote>
  <w:footnote w:id="25">
    <w:p w14:paraId="172927A3" w14:textId="708A35CB" w:rsidR="009554EB" w:rsidRPr="00653442" w:rsidRDefault="009554EB">
      <w:pPr>
        <w:pStyle w:val="FootnoteText"/>
        <w:rPr>
          <w:sz w:val="20"/>
          <w:szCs w:val="20"/>
          <w:lang w:val="fr-CA"/>
        </w:rPr>
      </w:pPr>
      <w:r w:rsidRPr="00653442">
        <w:rPr>
          <w:rStyle w:val="FootnoteReference"/>
          <w:sz w:val="20"/>
          <w:szCs w:val="20"/>
          <w:lang w:val="fr-CA"/>
        </w:rPr>
        <w:footnoteRef/>
      </w:r>
      <w:r w:rsidRPr="00653442">
        <w:rPr>
          <w:sz w:val="20"/>
          <w:szCs w:val="20"/>
          <w:lang w:val="fr-CA"/>
        </w:rPr>
        <w:t xml:space="preserve"> </w:t>
      </w:r>
      <w:r>
        <w:rPr>
          <w:rFonts w:asciiTheme="majorHAnsi" w:hAnsiTheme="majorHAnsi"/>
          <w:i/>
          <w:sz w:val="20"/>
          <w:szCs w:val="20"/>
          <w:lang w:val="fr-CA"/>
        </w:rPr>
        <w:t xml:space="preserve">PCPE Rapport annuel </w:t>
      </w:r>
      <w:r w:rsidRPr="009161C2">
        <w:rPr>
          <w:rFonts w:asciiTheme="majorHAnsi" w:hAnsiTheme="majorHAnsi"/>
          <w:i/>
          <w:sz w:val="20"/>
          <w:szCs w:val="20"/>
          <w:lang w:val="fr-CA"/>
        </w:rPr>
        <w:t xml:space="preserve">2014-2015 </w:t>
      </w:r>
      <w:r w:rsidRPr="009161C2">
        <w:rPr>
          <w:rFonts w:asciiTheme="majorHAnsi" w:hAnsiTheme="majorHAnsi"/>
          <w:sz w:val="20"/>
          <w:szCs w:val="20"/>
          <w:lang w:val="fr-CA"/>
        </w:rPr>
        <w:t>(</w:t>
      </w:r>
      <w:r>
        <w:rPr>
          <w:rFonts w:asciiTheme="majorHAnsi" w:hAnsiTheme="majorHAnsi"/>
          <w:sz w:val="20"/>
          <w:szCs w:val="20"/>
          <w:lang w:val="fr-CA"/>
        </w:rPr>
        <w:t>Emploi et Développement social Canada</w:t>
      </w:r>
      <w:r w:rsidRPr="009161C2">
        <w:rPr>
          <w:rFonts w:asciiTheme="majorHAnsi" w:hAnsiTheme="majorHAnsi"/>
          <w:sz w:val="20"/>
          <w:szCs w:val="20"/>
          <w:lang w:val="fr-CA"/>
        </w:rPr>
        <w:t xml:space="preserve">, 2016). </w:t>
      </w:r>
      <w:r>
        <w:rPr>
          <w:rFonts w:asciiTheme="majorHAnsi" w:hAnsiTheme="majorHAnsi"/>
          <w:sz w:val="20"/>
          <w:szCs w:val="20"/>
          <w:lang w:val="fr-CA"/>
        </w:rPr>
        <w:t>Consulté en ligne </w:t>
      </w:r>
      <w:r w:rsidRPr="009161C2">
        <w:rPr>
          <w:rFonts w:asciiTheme="majorHAnsi" w:hAnsiTheme="majorHAnsi"/>
          <w:sz w:val="20"/>
          <w:szCs w:val="20"/>
          <w:lang w:val="fr-CA"/>
        </w:rPr>
        <w:t xml:space="preserve">:  </w:t>
      </w:r>
      <w:hyperlink r:id="rId26" w:history="1">
        <w:r w:rsidRPr="002200B1">
          <w:rPr>
            <w:rStyle w:val="Hyperlink"/>
            <w:rFonts w:asciiTheme="majorHAnsi" w:hAnsiTheme="majorHAnsi"/>
            <w:sz w:val="20"/>
            <w:szCs w:val="20"/>
            <w:lang w:val="fr-CA"/>
          </w:rPr>
          <w:t>https://www.canada.ca/fr/emploi-developpement-social/programmes/prets-bourses-canadiens-etudiants/rapports/pcpe-2015.html</w:t>
        </w:r>
      </w:hyperlink>
      <w:r w:rsidRPr="00653442">
        <w:rPr>
          <w:sz w:val="20"/>
          <w:szCs w:val="20"/>
          <w:lang w:val="fr-CA"/>
        </w:rPr>
        <w:t xml:space="preserve"> </w:t>
      </w:r>
    </w:p>
  </w:footnote>
  <w:footnote w:id="26">
    <w:p w14:paraId="4A54A437" w14:textId="35BD380F" w:rsidR="009554EB" w:rsidRPr="00653442" w:rsidRDefault="009554EB">
      <w:pPr>
        <w:pStyle w:val="FootnoteText"/>
        <w:rPr>
          <w:lang w:val="fr-CA"/>
        </w:rPr>
      </w:pPr>
      <w:r w:rsidRPr="00653442">
        <w:rPr>
          <w:rStyle w:val="FootnoteReference"/>
          <w:sz w:val="20"/>
          <w:szCs w:val="20"/>
          <w:lang w:val="fr-CA"/>
        </w:rPr>
        <w:footnoteRef/>
      </w:r>
      <w:r w:rsidRPr="00653442">
        <w:rPr>
          <w:sz w:val="20"/>
          <w:szCs w:val="20"/>
          <w:lang w:val="fr-CA"/>
        </w:rPr>
        <w:t xml:space="preserve"> </w:t>
      </w:r>
      <w:r>
        <w:rPr>
          <w:i/>
          <w:sz w:val="20"/>
          <w:szCs w:val="20"/>
          <w:lang w:val="fr-CA"/>
        </w:rPr>
        <w:t xml:space="preserve">Améliorer l’accessibilité dans les établissements d’enseignement postsecondaire : Guide à l’intention des fournisseurs de services aux personnes handicapées </w:t>
      </w:r>
      <w:r w:rsidRPr="00653442">
        <w:rPr>
          <w:sz w:val="20"/>
          <w:szCs w:val="20"/>
          <w:lang w:val="fr-CA"/>
        </w:rPr>
        <w:t>(</w:t>
      </w:r>
      <w:r>
        <w:rPr>
          <w:sz w:val="20"/>
          <w:szCs w:val="20"/>
          <w:lang w:val="fr-CA"/>
        </w:rPr>
        <w:t>Association nationale des étudiant-e-s handicapé-e-s au niveau postsecondaire</w:t>
      </w:r>
      <w:r w:rsidRPr="00653442">
        <w:rPr>
          <w:sz w:val="20"/>
          <w:szCs w:val="20"/>
          <w:lang w:val="fr-CA"/>
        </w:rPr>
        <w:t xml:space="preserve">, 2012). </w:t>
      </w:r>
      <w:r>
        <w:rPr>
          <w:sz w:val="20"/>
          <w:szCs w:val="20"/>
          <w:lang w:val="fr-CA"/>
        </w:rPr>
        <w:t xml:space="preserve">Consulté en ligne </w:t>
      </w:r>
      <w:r w:rsidRPr="00653442">
        <w:rPr>
          <w:sz w:val="20"/>
          <w:szCs w:val="20"/>
          <w:lang w:val="fr-CA"/>
        </w:rPr>
        <w:t xml:space="preserve">: </w:t>
      </w:r>
      <w:hyperlink r:id="rId27" w:history="1">
        <w:r>
          <w:rPr>
            <w:rStyle w:val="Hyperlink"/>
            <w:sz w:val="20"/>
            <w:szCs w:val="20"/>
            <w:lang w:val="fr-CA"/>
          </w:rPr>
          <w:t>http://www.neads.ca/fr/norc/eag/eag_fr.pdf</w:t>
        </w:r>
      </w:hyperlink>
      <w:r w:rsidRPr="00653442">
        <w:rPr>
          <w:sz w:val="20"/>
          <w:szCs w:val="20"/>
          <w:lang w:val="fr-CA"/>
        </w:rPr>
        <w:t xml:space="preserve">; Kelly L. Woods, Marjorie Cook, Lindsay </w:t>
      </w:r>
      <w:proofErr w:type="spellStart"/>
      <w:r w:rsidRPr="00653442">
        <w:rPr>
          <w:sz w:val="20"/>
          <w:szCs w:val="20"/>
          <w:lang w:val="fr-CA"/>
        </w:rPr>
        <w:t>DeClou</w:t>
      </w:r>
      <w:proofErr w:type="spellEnd"/>
      <w:r w:rsidRPr="00653442">
        <w:rPr>
          <w:sz w:val="20"/>
          <w:szCs w:val="20"/>
          <w:lang w:val="fr-CA"/>
        </w:rPr>
        <w:t xml:space="preserve"> </w:t>
      </w:r>
      <w:r>
        <w:rPr>
          <w:sz w:val="20"/>
          <w:szCs w:val="20"/>
          <w:lang w:val="fr-CA"/>
        </w:rPr>
        <w:t xml:space="preserve">et </w:t>
      </w:r>
      <w:r w:rsidRPr="00653442">
        <w:rPr>
          <w:sz w:val="20"/>
          <w:szCs w:val="20"/>
          <w:lang w:val="fr-CA"/>
        </w:rPr>
        <w:t xml:space="preserve">Ursula </w:t>
      </w:r>
      <w:proofErr w:type="spellStart"/>
      <w:r w:rsidRPr="00653442">
        <w:rPr>
          <w:sz w:val="20"/>
          <w:szCs w:val="20"/>
          <w:lang w:val="fr-CA"/>
        </w:rPr>
        <w:t>McCloy</w:t>
      </w:r>
      <w:proofErr w:type="spellEnd"/>
      <w:r w:rsidRPr="00653442">
        <w:rPr>
          <w:sz w:val="20"/>
          <w:szCs w:val="20"/>
          <w:lang w:val="fr-CA"/>
        </w:rPr>
        <w:t xml:space="preserve">, </w:t>
      </w:r>
      <w:r>
        <w:rPr>
          <w:i/>
          <w:sz w:val="20"/>
          <w:szCs w:val="20"/>
          <w:lang w:val="fr-CA"/>
        </w:rPr>
        <w:t>Réussir malgré une incapacité : facteurs influant sur la durée des études des diplômés ayant une incapacité</w:t>
      </w:r>
      <w:r w:rsidRPr="00653442">
        <w:rPr>
          <w:sz w:val="20"/>
          <w:szCs w:val="20"/>
          <w:lang w:val="fr-CA"/>
        </w:rPr>
        <w:t xml:space="preserve"> (Toronto: </w:t>
      </w:r>
      <w:r>
        <w:rPr>
          <w:sz w:val="20"/>
          <w:szCs w:val="20"/>
          <w:lang w:val="fr-CA"/>
        </w:rPr>
        <w:t>Conseil ontarien de la qualité de l’enseignement supérieur</w:t>
      </w:r>
      <w:r w:rsidRPr="00653442">
        <w:rPr>
          <w:sz w:val="20"/>
          <w:szCs w:val="20"/>
          <w:lang w:val="fr-CA"/>
        </w:rPr>
        <w:t xml:space="preserve">, 2013),17-18. </w:t>
      </w:r>
      <w:r>
        <w:rPr>
          <w:sz w:val="20"/>
          <w:szCs w:val="20"/>
          <w:lang w:val="fr-CA"/>
        </w:rPr>
        <w:t xml:space="preserve">Consulté en ligne </w:t>
      </w:r>
      <w:r w:rsidRPr="00653442">
        <w:rPr>
          <w:sz w:val="20"/>
          <w:szCs w:val="20"/>
          <w:lang w:val="fr-CA"/>
        </w:rPr>
        <w:t xml:space="preserve">: </w:t>
      </w:r>
      <w:hyperlink r:id="rId28" w:history="1">
        <w:r>
          <w:rPr>
            <w:rStyle w:val="Hyperlink"/>
            <w:sz w:val="20"/>
            <w:szCs w:val="20"/>
            <w:lang w:val="fr-CA"/>
          </w:rPr>
          <w:t>http://www.heqco.ca/SiteCollectionDocuments/Succeeding_with_disabilities_FR.pdf</w:t>
        </w:r>
      </w:hyperlink>
    </w:p>
  </w:footnote>
  <w:footnote w:id="27">
    <w:p w14:paraId="2A8C531F" w14:textId="2FFA64F7" w:rsidR="009554EB" w:rsidRPr="00041CB1" w:rsidRDefault="009554EB">
      <w:pPr>
        <w:pStyle w:val="FootnoteText"/>
        <w:rPr>
          <w:lang w:val="fr-CA"/>
        </w:rPr>
      </w:pPr>
      <w:r w:rsidRPr="00653442">
        <w:rPr>
          <w:rStyle w:val="FootnoteReference"/>
          <w:lang w:val="fr-CA"/>
        </w:rPr>
        <w:footnoteRef/>
      </w:r>
      <w:r w:rsidRPr="00653442">
        <w:rPr>
          <w:lang w:val="fr-CA"/>
        </w:rPr>
        <w:t xml:space="preserve"> </w:t>
      </w:r>
      <w:proofErr w:type="spellStart"/>
      <w:r w:rsidRPr="00041CB1">
        <w:rPr>
          <w:sz w:val="20"/>
          <w:szCs w:val="20"/>
          <w:lang w:val="fr-CA"/>
        </w:rPr>
        <w:t>Rubab</w:t>
      </w:r>
      <w:proofErr w:type="spellEnd"/>
      <w:r w:rsidRPr="00041CB1">
        <w:rPr>
          <w:sz w:val="20"/>
          <w:szCs w:val="20"/>
          <w:lang w:val="fr-CA"/>
        </w:rPr>
        <w:t xml:space="preserve"> </w:t>
      </w:r>
      <w:proofErr w:type="spellStart"/>
      <w:r w:rsidRPr="00041CB1">
        <w:rPr>
          <w:sz w:val="20"/>
          <w:szCs w:val="20"/>
          <w:lang w:val="fr-CA"/>
        </w:rPr>
        <w:t>Arim</w:t>
      </w:r>
      <w:proofErr w:type="spellEnd"/>
      <w:r w:rsidRPr="00041CB1">
        <w:rPr>
          <w:sz w:val="20"/>
          <w:szCs w:val="20"/>
          <w:lang w:val="fr-CA"/>
        </w:rPr>
        <w:t xml:space="preserve">, </w:t>
      </w:r>
      <w:r w:rsidRPr="00041CB1">
        <w:rPr>
          <w:i/>
          <w:sz w:val="20"/>
          <w:szCs w:val="20"/>
          <w:lang w:val="fr-CA"/>
        </w:rPr>
        <w:t xml:space="preserve">Profil des expériences sur le marché du travail : adultes canadiens de 15 ans et plus ayant une incapacité, 2012 </w:t>
      </w:r>
      <w:r w:rsidRPr="00041CB1">
        <w:rPr>
          <w:sz w:val="20"/>
          <w:szCs w:val="20"/>
          <w:lang w:val="fr-CA"/>
        </w:rPr>
        <w:t xml:space="preserve">(Statistique Canada, 13 mars 2015). Consulté en ligne : </w:t>
      </w:r>
      <w:hyperlink r:id="rId29" w:history="1">
        <w:r w:rsidRPr="00041CB1">
          <w:rPr>
            <w:rStyle w:val="Hyperlink"/>
            <w:sz w:val="20"/>
            <w:szCs w:val="20"/>
            <w:lang w:val="fr-CA"/>
          </w:rPr>
          <w:t>http://www.statcan.gc.ca/pub/89-654-x/89-654-x2015005-fra.htm</w:t>
        </w:r>
      </w:hyperlink>
    </w:p>
  </w:footnote>
  <w:footnote w:id="28">
    <w:p w14:paraId="7459C346" w14:textId="71F34E3F" w:rsidR="009554EB" w:rsidRPr="00041CB1" w:rsidRDefault="009554EB">
      <w:pPr>
        <w:pStyle w:val="FootnoteText"/>
        <w:rPr>
          <w:sz w:val="20"/>
          <w:szCs w:val="20"/>
          <w:lang w:val="fr-CA"/>
        </w:rPr>
      </w:pPr>
      <w:r w:rsidRPr="00041CB1">
        <w:rPr>
          <w:rStyle w:val="FootnoteReference"/>
          <w:sz w:val="20"/>
          <w:szCs w:val="20"/>
          <w:lang w:val="fr-CA"/>
        </w:rPr>
        <w:footnoteRef/>
      </w:r>
      <w:r w:rsidRPr="00041CB1">
        <w:rPr>
          <w:sz w:val="20"/>
          <w:szCs w:val="20"/>
          <w:lang w:val="fr-CA"/>
        </w:rPr>
        <w:t xml:space="preserve"> </w:t>
      </w:r>
      <w:r w:rsidRPr="00041CB1">
        <w:rPr>
          <w:i/>
          <w:sz w:val="20"/>
          <w:szCs w:val="20"/>
          <w:lang w:val="fr-CA"/>
        </w:rPr>
        <w:t xml:space="preserve">Ouvrir la porte : Surmonter les obstacles aux études postsecondaires au Canada </w:t>
      </w:r>
      <w:r w:rsidRPr="00041CB1">
        <w:rPr>
          <w:sz w:val="20"/>
          <w:szCs w:val="20"/>
          <w:lang w:val="fr-CA"/>
        </w:rPr>
        <w:t xml:space="preserve">(Comité sénatorial permanent des affaires sociales, des sciences et de la technologie, décembre 2011), 29. Consulté en ligne : </w:t>
      </w:r>
      <w:hyperlink r:id="rId30" w:history="1">
        <w:r w:rsidRPr="00041CB1">
          <w:rPr>
            <w:rStyle w:val="Hyperlink"/>
            <w:sz w:val="20"/>
            <w:szCs w:val="20"/>
            <w:lang w:val="fr-CA"/>
          </w:rPr>
          <w:t>https://sencanada.ca/content/sen/committee/411/soci/rep/rep06dec11-f.pdf</w:t>
        </w:r>
      </w:hyperlink>
    </w:p>
  </w:footnote>
  <w:footnote w:id="29">
    <w:p w14:paraId="568BF309" w14:textId="294F1BB3" w:rsidR="009554EB" w:rsidRPr="002975EA" w:rsidRDefault="009554EB">
      <w:pPr>
        <w:pStyle w:val="FootnoteText"/>
        <w:rPr>
          <w:sz w:val="20"/>
          <w:szCs w:val="20"/>
          <w:lang w:val="fr-CA"/>
        </w:rPr>
      </w:pPr>
      <w:r w:rsidRPr="00041CB1">
        <w:rPr>
          <w:rStyle w:val="FootnoteReference"/>
          <w:sz w:val="20"/>
          <w:szCs w:val="20"/>
          <w:lang w:val="fr-CA"/>
        </w:rPr>
        <w:footnoteRef/>
      </w:r>
      <w:r w:rsidRPr="00041CB1">
        <w:rPr>
          <w:sz w:val="20"/>
          <w:szCs w:val="20"/>
          <w:lang w:val="fr-CA"/>
        </w:rPr>
        <w:t xml:space="preserve"> </w:t>
      </w:r>
      <w:r>
        <w:rPr>
          <w:i/>
          <w:sz w:val="20"/>
          <w:szCs w:val="20"/>
          <w:lang w:val="fr-CA"/>
        </w:rPr>
        <w:t xml:space="preserve">Demande de Disposition applicable aux étudiants ayant une invalidité permanente </w:t>
      </w:r>
      <w:r w:rsidRPr="00041CB1">
        <w:rPr>
          <w:sz w:val="20"/>
          <w:szCs w:val="20"/>
          <w:lang w:val="fr-CA"/>
        </w:rPr>
        <w:t>(</w:t>
      </w:r>
      <w:r>
        <w:rPr>
          <w:sz w:val="20"/>
          <w:szCs w:val="20"/>
          <w:lang w:val="fr-CA"/>
        </w:rPr>
        <w:t>Emploi et Développement social Canada</w:t>
      </w:r>
      <w:r w:rsidRPr="00041CB1">
        <w:rPr>
          <w:sz w:val="20"/>
          <w:szCs w:val="20"/>
          <w:lang w:val="fr-CA"/>
        </w:rPr>
        <w:t xml:space="preserve">). </w:t>
      </w:r>
      <w:r>
        <w:rPr>
          <w:sz w:val="20"/>
          <w:szCs w:val="20"/>
          <w:lang w:val="fr-CA"/>
        </w:rPr>
        <w:t xml:space="preserve">Consulté en ligne : </w:t>
      </w:r>
      <w:hyperlink r:id="rId31" w:history="1">
        <w:r>
          <w:rPr>
            <w:rStyle w:val="Hyperlink"/>
            <w:sz w:val="20"/>
            <w:szCs w:val="20"/>
            <w:lang w:val="fr-CA"/>
          </w:rPr>
          <w:t>https://www.canada.ca/fr/emploi-developpement-social/services/education/prestations-invalidite-grave-permanente.html</w:t>
        </w:r>
      </w:hyperlink>
      <w:r w:rsidRPr="002975EA">
        <w:rPr>
          <w:sz w:val="20"/>
          <w:szCs w:val="20"/>
          <w:lang w:val="fr-CA"/>
        </w:rPr>
        <w:t xml:space="preserve"> </w:t>
      </w:r>
    </w:p>
  </w:footnote>
  <w:footnote w:id="30">
    <w:p w14:paraId="2701BA8E" w14:textId="79673DFB" w:rsidR="009554EB" w:rsidRPr="002975EA" w:rsidRDefault="009554EB">
      <w:pPr>
        <w:pStyle w:val="FootnoteText"/>
        <w:rPr>
          <w:lang w:val="fr-CA"/>
        </w:rPr>
      </w:pPr>
      <w:r w:rsidRPr="00F94628">
        <w:rPr>
          <w:rStyle w:val="FootnoteReference"/>
          <w:sz w:val="20"/>
          <w:szCs w:val="20"/>
        </w:rPr>
        <w:footnoteRef/>
      </w:r>
      <w:r w:rsidRPr="002975EA">
        <w:rPr>
          <w:sz w:val="20"/>
          <w:szCs w:val="20"/>
          <w:lang w:val="fr-CA"/>
        </w:rPr>
        <w:t xml:space="preserve"> </w:t>
      </w:r>
      <w:r>
        <w:rPr>
          <w:i/>
          <w:sz w:val="20"/>
          <w:szCs w:val="20"/>
          <w:lang w:val="fr-CA"/>
        </w:rPr>
        <w:t xml:space="preserve">Améliorer l’accessibilité dans les établissements d’enseignement postsecondaire : Guide à l’intention des fournisseurs de services aux personnes handicapées </w:t>
      </w:r>
      <w:r w:rsidRPr="00653442">
        <w:rPr>
          <w:sz w:val="20"/>
          <w:szCs w:val="20"/>
          <w:lang w:val="fr-CA"/>
        </w:rPr>
        <w:t>(</w:t>
      </w:r>
      <w:r>
        <w:rPr>
          <w:sz w:val="20"/>
          <w:szCs w:val="20"/>
          <w:lang w:val="fr-CA"/>
        </w:rPr>
        <w:t>Association nationale des étudiant-e-s handicapé-e-s au niveau postsecondaire</w:t>
      </w:r>
      <w:r w:rsidRPr="00653442">
        <w:rPr>
          <w:sz w:val="20"/>
          <w:szCs w:val="20"/>
          <w:lang w:val="fr-CA"/>
        </w:rPr>
        <w:t xml:space="preserve">, 2012). </w:t>
      </w:r>
      <w:r>
        <w:rPr>
          <w:sz w:val="20"/>
          <w:szCs w:val="20"/>
          <w:lang w:val="fr-CA"/>
        </w:rPr>
        <w:t xml:space="preserve">Consulté en ligne </w:t>
      </w:r>
      <w:r w:rsidRPr="00653442">
        <w:rPr>
          <w:sz w:val="20"/>
          <w:szCs w:val="20"/>
          <w:lang w:val="fr-CA"/>
        </w:rPr>
        <w:t xml:space="preserve">: </w:t>
      </w:r>
      <w:hyperlink r:id="rId32" w:history="1">
        <w:r>
          <w:rPr>
            <w:rStyle w:val="Hyperlink"/>
            <w:sz w:val="20"/>
            <w:szCs w:val="20"/>
            <w:lang w:val="fr-CA"/>
          </w:rPr>
          <w:t>http://www.neads.ca/fr/norc/eag/eag_fr.pdf</w:t>
        </w:r>
      </w:hyperlink>
      <w:r w:rsidRPr="002975EA">
        <w:rPr>
          <w:sz w:val="20"/>
          <w:szCs w:val="20"/>
          <w:lang w:val="fr-CA"/>
        </w:rPr>
        <w:t xml:space="preserve"> </w:t>
      </w:r>
    </w:p>
  </w:footnote>
  <w:footnote w:id="31">
    <w:p w14:paraId="5AECC48E" w14:textId="0A979B82" w:rsidR="009554EB" w:rsidRPr="00953E5F" w:rsidRDefault="009554EB" w:rsidP="003D1C23">
      <w:pPr>
        <w:pStyle w:val="FootnoteText"/>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sidRPr="00953E5F">
        <w:rPr>
          <w:rFonts w:asciiTheme="majorHAnsi" w:hAnsiTheme="majorHAnsi"/>
          <w:sz w:val="20"/>
          <w:szCs w:val="20"/>
          <w:lang w:val="fr-CA"/>
        </w:rPr>
        <w:t xml:space="preserve">Tim R. </w:t>
      </w:r>
      <w:proofErr w:type="spellStart"/>
      <w:r w:rsidRPr="00953E5F">
        <w:rPr>
          <w:rFonts w:asciiTheme="majorHAnsi" w:hAnsiTheme="majorHAnsi"/>
          <w:sz w:val="20"/>
          <w:szCs w:val="20"/>
          <w:lang w:val="fr-CA"/>
        </w:rPr>
        <w:t>Raaflaub</w:t>
      </w:r>
      <w:proofErr w:type="spellEnd"/>
      <w:r w:rsidRPr="00953E5F">
        <w:rPr>
          <w:rFonts w:asciiTheme="majorHAnsi" w:hAnsiTheme="majorHAnsi"/>
          <w:sz w:val="20"/>
          <w:szCs w:val="20"/>
          <w:lang w:val="fr-CA"/>
        </w:rPr>
        <w:t xml:space="preserve">, </w:t>
      </w:r>
      <w:r w:rsidRPr="00953E5F">
        <w:rPr>
          <w:rFonts w:asciiTheme="majorHAnsi" w:hAnsiTheme="majorHAnsi"/>
          <w:i/>
          <w:sz w:val="20"/>
          <w:szCs w:val="20"/>
          <w:lang w:val="fr-CA"/>
        </w:rPr>
        <w:t xml:space="preserve">Programme canadien de prêts aux étudiants </w:t>
      </w:r>
      <w:r w:rsidRPr="00953E5F">
        <w:rPr>
          <w:rFonts w:asciiTheme="majorHAnsi" w:hAnsiTheme="majorHAnsi"/>
          <w:sz w:val="20"/>
          <w:szCs w:val="20"/>
          <w:lang w:val="fr-CA"/>
        </w:rPr>
        <w:t>(Ottawa</w:t>
      </w:r>
      <w:r>
        <w:rPr>
          <w:rFonts w:asciiTheme="majorHAnsi" w:hAnsiTheme="majorHAnsi"/>
          <w:sz w:val="20"/>
          <w:szCs w:val="20"/>
          <w:lang w:val="fr-CA"/>
        </w:rPr>
        <w:t xml:space="preserve"> </w:t>
      </w:r>
      <w:r w:rsidRPr="00953E5F">
        <w:rPr>
          <w:rFonts w:asciiTheme="majorHAnsi" w:hAnsiTheme="majorHAnsi"/>
          <w:sz w:val="20"/>
          <w:szCs w:val="20"/>
          <w:lang w:val="fr-CA"/>
        </w:rPr>
        <w:t xml:space="preserve">: </w:t>
      </w:r>
      <w:r>
        <w:rPr>
          <w:rFonts w:asciiTheme="majorHAnsi" w:hAnsiTheme="majorHAnsi"/>
          <w:sz w:val="20"/>
          <w:szCs w:val="20"/>
          <w:lang w:val="fr-CA"/>
        </w:rPr>
        <w:t xml:space="preserve">Bibliothèque du Parlement, 8 novembre </w:t>
      </w:r>
      <w:r w:rsidRPr="00953E5F">
        <w:rPr>
          <w:rFonts w:asciiTheme="majorHAnsi" w:hAnsiTheme="majorHAnsi"/>
          <w:sz w:val="20"/>
          <w:szCs w:val="20"/>
          <w:lang w:val="fr-CA"/>
        </w:rPr>
        <w:t xml:space="preserve">2006). </w:t>
      </w:r>
      <w:r>
        <w:rPr>
          <w:rFonts w:asciiTheme="majorHAnsi" w:hAnsiTheme="majorHAnsi"/>
          <w:sz w:val="20"/>
          <w:szCs w:val="20"/>
          <w:lang w:val="fr-CA"/>
        </w:rPr>
        <w:t>Consulté en ligne </w:t>
      </w:r>
      <w:r w:rsidRPr="00953E5F">
        <w:rPr>
          <w:rFonts w:asciiTheme="majorHAnsi" w:hAnsiTheme="majorHAnsi"/>
          <w:sz w:val="20"/>
          <w:szCs w:val="20"/>
          <w:lang w:val="fr-CA"/>
        </w:rPr>
        <w:t xml:space="preserve">: </w:t>
      </w:r>
      <w:hyperlink r:id="rId33" w:history="1">
        <w:r>
          <w:rPr>
            <w:rStyle w:val="Hyperlink"/>
            <w:rFonts w:asciiTheme="majorHAnsi" w:hAnsiTheme="majorHAnsi"/>
            <w:sz w:val="20"/>
            <w:szCs w:val="20"/>
            <w:lang w:val="fr-CA"/>
          </w:rPr>
          <w:t>https://lop.parl.ca/content/lop/researchpublications/prb0343-f.htm</w:t>
        </w:r>
      </w:hyperlink>
      <w:r w:rsidRPr="00953E5F">
        <w:rPr>
          <w:rFonts w:asciiTheme="majorHAnsi" w:hAnsiTheme="majorHAnsi"/>
          <w:sz w:val="20"/>
          <w:szCs w:val="20"/>
          <w:lang w:val="fr-CA"/>
        </w:rPr>
        <w:t xml:space="preserve">. </w:t>
      </w:r>
    </w:p>
  </w:footnote>
  <w:footnote w:id="32">
    <w:p w14:paraId="483D5F9D" w14:textId="205634DB" w:rsidR="009554EB" w:rsidRPr="00953E5F" w:rsidRDefault="009554EB" w:rsidP="003D1C23">
      <w:pPr>
        <w:rPr>
          <w:rFonts w:asciiTheme="majorHAnsi" w:eastAsia="Times New Roman" w:hAnsiTheme="majorHAnsi"/>
          <w:sz w:val="20"/>
          <w:szCs w:val="20"/>
          <w:lang w:val="fr-CA"/>
        </w:rPr>
      </w:pPr>
      <w:r w:rsidRPr="00953E5F">
        <w:rPr>
          <w:rStyle w:val="FootnoteReference"/>
          <w:rFonts w:asciiTheme="majorHAnsi" w:hAnsiTheme="majorHAnsi"/>
          <w:sz w:val="20"/>
          <w:szCs w:val="20"/>
          <w:lang w:val="fr-CA"/>
        </w:rPr>
        <w:footnoteRef/>
      </w:r>
      <w:r w:rsidRPr="00953E5F">
        <w:rPr>
          <w:rFonts w:asciiTheme="majorHAnsi" w:hAnsiTheme="majorHAnsi"/>
          <w:sz w:val="20"/>
          <w:szCs w:val="20"/>
          <w:lang w:val="fr-CA"/>
        </w:rPr>
        <w:t xml:space="preserve"> </w:t>
      </w:r>
      <w:r>
        <w:rPr>
          <w:rFonts w:asciiTheme="majorHAnsi" w:eastAsia="Times New Roman" w:hAnsiTheme="majorHAnsi"/>
          <w:i/>
          <w:sz w:val="20"/>
          <w:szCs w:val="20"/>
          <w:lang w:val="fr-CA"/>
        </w:rPr>
        <w:t xml:space="preserve">Rapport actuariel sur le Programme canadien de prêts aux étudiants 2011 </w:t>
      </w:r>
      <w:r w:rsidRPr="00953E5F">
        <w:rPr>
          <w:rFonts w:asciiTheme="majorHAnsi" w:eastAsia="Times New Roman" w:hAnsiTheme="majorHAnsi"/>
          <w:sz w:val="20"/>
          <w:szCs w:val="20"/>
          <w:lang w:val="fr-CA"/>
        </w:rPr>
        <w:t>(Ottawa</w:t>
      </w:r>
      <w:r>
        <w:rPr>
          <w:rFonts w:asciiTheme="majorHAnsi" w:eastAsia="Times New Roman" w:hAnsiTheme="majorHAnsi"/>
          <w:sz w:val="20"/>
          <w:szCs w:val="20"/>
          <w:lang w:val="fr-CA"/>
        </w:rPr>
        <w:t xml:space="preserve"> </w:t>
      </w:r>
      <w:r w:rsidRPr="00953E5F">
        <w:rPr>
          <w:rFonts w:asciiTheme="majorHAnsi" w:eastAsia="Times New Roman" w:hAnsiTheme="majorHAnsi"/>
          <w:sz w:val="20"/>
          <w:szCs w:val="20"/>
          <w:lang w:val="fr-CA"/>
        </w:rPr>
        <w:t xml:space="preserve">: </w:t>
      </w:r>
      <w:r>
        <w:rPr>
          <w:rFonts w:asciiTheme="majorHAnsi" w:eastAsia="Times New Roman" w:hAnsiTheme="majorHAnsi"/>
          <w:sz w:val="20"/>
          <w:szCs w:val="20"/>
          <w:lang w:val="fr-CA"/>
        </w:rPr>
        <w:t>Bureau de l’actuaire en chef, juin 2012</w:t>
      </w:r>
      <w:r w:rsidRPr="00953E5F">
        <w:rPr>
          <w:rFonts w:asciiTheme="majorHAnsi" w:eastAsia="Times New Roman" w:hAnsiTheme="majorHAnsi"/>
          <w:sz w:val="20"/>
          <w:szCs w:val="20"/>
          <w:lang w:val="fr-CA"/>
        </w:rPr>
        <w:t xml:space="preserve">), p. 68. </w:t>
      </w:r>
      <w:r>
        <w:rPr>
          <w:rFonts w:asciiTheme="majorHAnsi" w:eastAsia="Times New Roman" w:hAnsiTheme="majorHAnsi"/>
          <w:sz w:val="20"/>
          <w:szCs w:val="20"/>
          <w:lang w:val="fr-CA"/>
        </w:rPr>
        <w:t>Consulté en ligne </w:t>
      </w:r>
      <w:r w:rsidRPr="00953E5F">
        <w:rPr>
          <w:rFonts w:asciiTheme="majorHAnsi" w:eastAsia="Times New Roman" w:hAnsiTheme="majorHAnsi"/>
          <w:sz w:val="20"/>
          <w:szCs w:val="20"/>
          <w:lang w:val="fr-CA"/>
        </w:rPr>
        <w:t xml:space="preserve">: </w:t>
      </w:r>
      <w:hyperlink r:id="rId34" w:history="1">
        <w:r w:rsidRPr="00C21B56">
          <w:rPr>
            <w:rStyle w:val="Hyperlink"/>
            <w:rFonts w:asciiTheme="majorHAnsi" w:eastAsia="Times New Roman" w:hAnsiTheme="majorHAnsi"/>
            <w:sz w:val="20"/>
            <w:szCs w:val="20"/>
            <w:lang w:val="fr-CA"/>
          </w:rPr>
          <w:t>http://www.osfi-bsif.gc.ca/fra/oca-bac/ar-ra/cslp-pcpe/Pages/CSLP_2011.aspx</w:t>
        </w:r>
      </w:hyperlink>
      <w:r>
        <w:rPr>
          <w:rFonts w:asciiTheme="majorHAnsi" w:eastAsia="Times New Roman" w:hAnsiTheme="majorHAnsi"/>
          <w:sz w:val="20"/>
          <w:szCs w:val="20"/>
          <w:lang w:val="fr-CA"/>
        </w:rPr>
        <w:t xml:space="preserve"> </w:t>
      </w:r>
    </w:p>
  </w:footnote>
  <w:footnote w:id="33">
    <w:p w14:paraId="7589F6AE" w14:textId="2C8EFE72" w:rsidR="009554EB" w:rsidRPr="00953E5F" w:rsidRDefault="009554EB" w:rsidP="003D1C23">
      <w:pPr>
        <w:rPr>
          <w:rFonts w:asciiTheme="majorHAnsi" w:eastAsia="Times New Roman" w:hAnsiTheme="majorHAnsi"/>
          <w:sz w:val="20"/>
          <w:szCs w:val="20"/>
          <w:lang w:val="fr-CA"/>
        </w:rPr>
      </w:pPr>
      <w:r w:rsidRPr="00953E5F">
        <w:rPr>
          <w:rStyle w:val="FootnoteReference"/>
          <w:rFonts w:asciiTheme="majorHAnsi" w:hAnsiTheme="majorHAnsi"/>
          <w:sz w:val="20"/>
          <w:szCs w:val="20"/>
          <w:lang w:val="fr-CA"/>
        </w:rPr>
        <w:footnoteRef/>
      </w:r>
      <w:r w:rsidRPr="00953E5F">
        <w:rPr>
          <w:rFonts w:asciiTheme="majorHAnsi" w:hAnsiTheme="majorHAnsi"/>
          <w:sz w:val="20"/>
          <w:szCs w:val="20"/>
          <w:lang w:val="fr-CA"/>
        </w:rPr>
        <w:t xml:space="preserve"> </w:t>
      </w:r>
      <w:proofErr w:type="spellStart"/>
      <w:r w:rsidRPr="00953E5F">
        <w:rPr>
          <w:rFonts w:asciiTheme="majorHAnsi" w:eastAsia="Times New Roman" w:hAnsiTheme="majorHAnsi"/>
          <w:i/>
          <w:sz w:val="20"/>
          <w:szCs w:val="20"/>
          <w:lang w:val="fr-CA"/>
        </w:rPr>
        <w:t>Backgrounder</w:t>
      </w:r>
      <w:proofErr w:type="spellEnd"/>
      <w:r w:rsidRPr="00953E5F">
        <w:rPr>
          <w:rFonts w:asciiTheme="majorHAnsi" w:eastAsia="Times New Roman" w:hAnsiTheme="majorHAnsi"/>
          <w:i/>
          <w:sz w:val="20"/>
          <w:szCs w:val="20"/>
          <w:lang w:val="fr-CA"/>
        </w:rPr>
        <w:t xml:space="preserve">: Parental </w:t>
      </w:r>
      <w:proofErr w:type="spellStart"/>
      <w:r w:rsidRPr="00953E5F">
        <w:rPr>
          <w:rFonts w:asciiTheme="majorHAnsi" w:eastAsia="Times New Roman" w:hAnsiTheme="majorHAnsi"/>
          <w:i/>
          <w:sz w:val="20"/>
          <w:szCs w:val="20"/>
          <w:lang w:val="fr-CA"/>
        </w:rPr>
        <w:t>Views</w:t>
      </w:r>
      <w:proofErr w:type="spellEnd"/>
      <w:r w:rsidRPr="00953E5F">
        <w:rPr>
          <w:rFonts w:asciiTheme="majorHAnsi" w:eastAsia="Times New Roman" w:hAnsiTheme="majorHAnsi"/>
          <w:i/>
          <w:sz w:val="20"/>
          <w:szCs w:val="20"/>
          <w:lang w:val="fr-CA"/>
        </w:rPr>
        <w:t xml:space="preserve"> on Post-</w:t>
      </w:r>
      <w:proofErr w:type="spellStart"/>
      <w:r w:rsidRPr="00953E5F">
        <w:rPr>
          <w:rFonts w:asciiTheme="majorHAnsi" w:eastAsia="Times New Roman" w:hAnsiTheme="majorHAnsi"/>
          <w:i/>
          <w:sz w:val="20"/>
          <w:szCs w:val="20"/>
          <w:lang w:val="fr-CA"/>
        </w:rPr>
        <w:t>Secondary</w:t>
      </w:r>
      <w:proofErr w:type="spellEnd"/>
      <w:r w:rsidRPr="00953E5F">
        <w:rPr>
          <w:rFonts w:asciiTheme="majorHAnsi" w:eastAsia="Times New Roman" w:hAnsiTheme="majorHAnsi"/>
          <w:i/>
          <w:sz w:val="20"/>
          <w:szCs w:val="20"/>
          <w:lang w:val="fr-CA"/>
        </w:rPr>
        <w:t xml:space="preserve"> </w:t>
      </w:r>
      <w:proofErr w:type="spellStart"/>
      <w:r w:rsidRPr="00953E5F">
        <w:rPr>
          <w:rFonts w:asciiTheme="majorHAnsi" w:eastAsia="Times New Roman" w:hAnsiTheme="majorHAnsi"/>
          <w:i/>
          <w:sz w:val="20"/>
          <w:szCs w:val="20"/>
          <w:lang w:val="fr-CA"/>
        </w:rPr>
        <w:t>Education</w:t>
      </w:r>
      <w:proofErr w:type="spellEnd"/>
      <w:r w:rsidRPr="00953E5F">
        <w:rPr>
          <w:rFonts w:asciiTheme="majorHAnsi" w:eastAsia="Times New Roman" w:hAnsiTheme="majorHAnsi"/>
          <w:i/>
          <w:sz w:val="20"/>
          <w:szCs w:val="20"/>
          <w:lang w:val="fr-CA"/>
        </w:rPr>
        <w:t xml:space="preserve"> </w:t>
      </w:r>
      <w:r w:rsidRPr="00953E5F">
        <w:rPr>
          <w:rFonts w:asciiTheme="majorHAnsi" w:eastAsia="Times New Roman" w:hAnsiTheme="majorHAnsi"/>
          <w:sz w:val="20"/>
          <w:szCs w:val="20"/>
          <w:lang w:val="fr-CA"/>
        </w:rPr>
        <w:t>(</w:t>
      </w:r>
      <w:r>
        <w:rPr>
          <w:rFonts w:asciiTheme="majorHAnsi" w:eastAsia="Times New Roman" w:hAnsiTheme="majorHAnsi"/>
          <w:sz w:val="20"/>
          <w:szCs w:val="20"/>
          <w:lang w:val="fr-CA"/>
        </w:rPr>
        <w:t>Alliance canadienne des associations étudiantes, juin 2014)</w:t>
      </w:r>
      <w:r w:rsidRPr="00953E5F">
        <w:rPr>
          <w:rFonts w:asciiTheme="majorHAnsi" w:eastAsia="Times New Roman" w:hAnsiTheme="majorHAnsi"/>
          <w:sz w:val="20"/>
          <w:szCs w:val="20"/>
          <w:lang w:val="fr-CA"/>
        </w:rPr>
        <w:t xml:space="preserve">. </w:t>
      </w:r>
      <w:r>
        <w:rPr>
          <w:rFonts w:asciiTheme="majorHAnsi" w:eastAsia="Times New Roman" w:hAnsiTheme="majorHAnsi"/>
          <w:sz w:val="20"/>
          <w:szCs w:val="20"/>
          <w:lang w:val="fr-CA"/>
        </w:rPr>
        <w:t xml:space="preserve">Consulté en ligne : </w:t>
      </w:r>
      <w:hyperlink r:id="rId35" w:history="1">
        <w:r w:rsidRPr="00953E5F">
          <w:rPr>
            <w:rStyle w:val="Hyperlink"/>
            <w:rFonts w:asciiTheme="majorHAnsi" w:eastAsia="Times New Roman" w:hAnsiTheme="majorHAnsi"/>
            <w:sz w:val="20"/>
            <w:szCs w:val="20"/>
            <w:lang w:val="fr-CA"/>
          </w:rPr>
          <w:t>http://www.casa-acae.com/research?page=3</w:t>
        </w:r>
      </w:hyperlink>
      <w:r w:rsidRPr="00953E5F">
        <w:rPr>
          <w:rFonts w:asciiTheme="majorHAnsi" w:eastAsia="Times New Roman" w:hAnsiTheme="majorHAnsi"/>
          <w:sz w:val="20"/>
          <w:szCs w:val="20"/>
          <w:lang w:val="fr-CA"/>
        </w:rPr>
        <w:t xml:space="preserve"> </w:t>
      </w:r>
    </w:p>
  </w:footnote>
  <w:footnote w:id="34">
    <w:p w14:paraId="48C95996" w14:textId="7A1310E5" w:rsidR="009554EB" w:rsidRPr="002975EA" w:rsidRDefault="009554EB" w:rsidP="003D1C23">
      <w:pPr>
        <w:pStyle w:val="FootnoteText"/>
        <w:rPr>
          <w:rFonts w:asciiTheme="majorHAnsi" w:hAnsiTheme="majorHAnsi"/>
          <w:i/>
          <w:sz w:val="20"/>
          <w:szCs w:val="20"/>
          <w:lang w:val="fr-CA"/>
        </w:rPr>
      </w:pPr>
      <w:r w:rsidRPr="00953E5F">
        <w:rPr>
          <w:rStyle w:val="FootnoteReference"/>
          <w:rFonts w:asciiTheme="majorHAnsi" w:hAnsiTheme="majorHAnsi"/>
          <w:sz w:val="20"/>
          <w:szCs w:val="20"/>
          <w:lang w:val="fr-CA"/>
        </w:rPr>
        <w:footnoteRef/>
      </w:r>
      <w:r>
        <w:rPr>
          <w:rFonts w:asciiTheme="majorHAnsi" w:hAnsiTheme="majorHAnsi"/>
          <w:sz w:val="20"/>
          <w:szCs w:val="20"/>
          <w:lang w:val="fr-CA"/>
        </w:rPr>
        <w:t xml:space="preserve"> En </w:t>
      </w:r>
      <w:r w:rsidRPr="00953E5F">
        <w:rPr>
          <w:rFonts w:asciiTheme="majorHAnsi" w:hAnsiTheme="majorHAnsi"/>
          <w:sz w:val="20"/>
          <w:szCs w:val="20"/>
          <w:lang w:val="fr-CA"/>
        </w:rPr>
        <w:t xml:space="preserve">2012-2013, </w:t>
      </w:r>
      <w:r>
        <w:rPr>
          <w:rFonts w:asciiTheme="majorHAnsi" w:hAnsiTheme="majorHAnsi"/>
          <w:sz w:val="20"/>
          <w:szCs w:val="20"/>
          <w:lang w:val="fr-CA"/>
        </w:rPr>
        <w:t>le PCPE a versé un prêt à 472 000</w:t>
      </w:r>
      <w:r w:rsidRPr="00953E5F">
        <w:rPr>
          <w:rFonts w:asciiTheme="majorHAnsi" w:hAnsiTheme="majorHAnsi"/>
          <w:sz w:val="20"/>
          <w:szCs w:val="20"/>
          <w:lang w:val="fr-CA"/>
        </w:rPr>
        <w:t xml:space="preserve"> </w:t>
      </w:r>
      <w:r>
        <w:rPr>
          <w:rFonts w:asciiTheme="majorHAnsi" w:hAnsiTheme="majorHAnsi"/>
          <w:sz w:val="20"/>
          <w:szCs w:val="20"/>
          <w:lang w:val="fr-CA"/>
        </w:rPr>
        <w:t>étudiants à temps plein</w:t>
      </w:r>
      <w:r w:rsidRPr="00953E5F">
        <w:rPr>
          <w:rFonts w:asciiTheme="majorHAnsi" w:hAnsiTheme="majorHAnsi"/>
          <w:sz w:val="20"/>
          <w:szCs w:val="20"/>
          <w:lang w:val="fr-CA"/>
        </w:rPr>
        <w:t xml:space="preserve">. </w:t>
      </w:r>
      <w:r>
        <w:rPr>
          <w:rFonts w:asciiTheme="majorHAnsi" w:hAnsiTheme="majorHAnsi"/>
          <w:i/>
          <w:sz w:val="20"/>
          <w:szCs w:val="20"/>
          <w:lang w:val="fr-CA"/>
        </w:rPr>
        <w:t xml:space="preserve">Rapport annuel : Programme canadien de prêts aux étudiants </w:t>
      </w:r>
      <w:r w:rsidRPr="00953E5F">
        <w:rPr>
          <w:rFonts w:asciiTheme="majorHAnsi" w:hAnsiTheme="majorHAnsi"/>
          <w:i/>
          <w:sz w:val="20"/>
          <w:szCs w:val="20"/>
          <w:lang w:val="fr-CA"/>
        </w:rPr>
        <w:t xml:space="preserve">2012-2013 </w:t>
      </w:r>
      <w:r w:rsidRPr="00953E5F">
        <w:rPr>
          <w:rFonts w:asciiTheme="majorHAnsi" w:hAnsiTheme="majorHAnsi"/>
          <w:sz w:val="20"/>
          <w:szCs w:val="20"/>
          <w:lang w:val="fr-CA"/>
        </w:rPr>
        <w:t>(Ottawa</w:t>
      </w:r>
      <w:r>
        <w:rPr>
          <w:rFonts w:asciiTheme="majorHAnsi" w:hAnsiTheme="majorHAnsi"/>
          <w:sz w:val="20"/>
          <w:szCs w:val="20"/>
          <w:lang w:val="fr-CA"/>
        </w:rPr>
        <w:t xml:space="preserve"> </w:t>
      </w:r>
      <w:r w:rsidRPr="00953E5F">
        <w:rPr>
          <w:rFonts w:asciiTheme="majorHAnsi" w:hAnsiTheme="majorHAnsi"/>
          <w:sz w:val="20"/>
          <w:szCs w:val="20"/>
          <w:lang w:val="fr-CA"/>
        </w:rPr>
        <w:t xml:space="preserve">: </w:t>
      </w:r>
      <w:r>
        <w:rPr>
          <w:rFonts w:asciiTheme="majorHAnsi" w:hAnsiTheme="majorHAnsi"/>
          <w:sz w:val="20"/>
          <w:szCs w:val="20"/>
          <w:lang w:val="fr-CA"/>
        </w:rPr>
        <w:t>Emploi et Développement social Canada, 2014</w:t>
      </w:r>
      <w:r w:rsidRPr="00953E5F">
        <w:rPr>
          <w:rFonts w:asciiTheme="majorHAnsi" w:hAnsiTheme="majorHAnsi"/>
          <w:sz w:val="20"/>
          <w:szCs w:val="20"/>
          <w:lang w:val="fr-CA"/>
        </w:rPr>
        <w:t>)</w:t>
      </w:r>
      <w:r w:rsidRPr="00953E5F">
        <w:rPr>
          <w:rFonts w:asciiTheme="majorHAnsi" w:hAnsiTheme="majorHAnsi"/>
          <w:i/>
          <w:sz w:val="20"/>
          <w:szCs w:val="20"/>
          <w:lang w:val="fr-CA"/>
        </w:rPr>
        <w:t xml:space="preserve">. </w:t>
      </w:r>
      <w:r>
        <w:rPr>
          <w:rFonts w:asciiTheme="majorHAnsi" w:hAnsiTheme="majorHAnsi"/>
          <w:sz w:val="20"/>
          <w:szCs w:val="20"/>
          <w:lang w:val="fr-CA"/>
        </w:rPr>
        <w:t>Consulté en ligne </w:t>
      </w:r>
      <w:r w:rsidRPr="00953E5F">
        <w:rPr>
          <w:rFonts w:asciiTheme="majorHAnsi" w:hAnsiTheme="majorHAnsi"/>
          <w:sz w:val="20"/>
          <w:szCs w:val="20"/>
          <w:lang w:val="fr-CA"/>
        </w:rPr>
        <w:t>:</w:t>
      </w:r>
      <w:r w:rsidRPr="00953E5F">
        <w:rPr>
          <w:rFonts w:asciiTheme="majorHAnsi" w:hAnsiTheme="majorHAnsi"/>
          <w:i/>
          <w:sz w:val="20"/>
          <w:szCs w:val="20"/>
          <w:lang w:val="fr-CA"/>
        </w:rPr>
        <w:t xml:space="preserve"> </w:t>
      </w:r>
      <w:hyperlink r:id="rId36" w:history="1">
        <w:r>
          <w:rPr>
            <w:rStyle w:val="Hyperlink"/>
            <w:rFonts w:asciiTheme="majorHAnsi" w:hAnsiTheme="majorHAnsi"/>
            <w:i/>
            <w:sz w:val="20"/>
            <w:szCs w:val="20"/>
            <w:lang w:val="fr-CA"/>
          </w:rPr>
          <w:t>https://www.canada.ca/fr/emploi-developpement-social/programmes/prets-bourses-canadiens-etudiants/rapports/pcpe-2013.html</w:t>
        </w:r>
      </w:hyperlink>
      <w:r w:rsidRPr="002975EA">
        <w:rPr>
          <w:rFonts w:asciiTheme="majorHAnsi" w:hAnsiTheme="majorHAnsi"/>
          <w:i/>
          <w:sz w:val="20"/>
          <w:szCs w:val="20"/>
          <w:lang w:val="fr-CA"/>
        </w:rPr>
        <w:t xml:space="preserve">  </w:t>
      </w:r>
    </w:p>
  </w:footnote>
  <w:footnote w:id="35">
    <w:p w14:paraId="695B31BD" w14:textId="39EC668E" w:rsidR="009554EB" w:rsidRPr="00FD4D63" w:rsidRDefault="009554EB" w:rsidP="003D1C23">
      <w:pPr>
        <w:pStyle w:val="FootnoteText"/>
        <w:rPr>
          <w:rFonts w:asciiTheme="majorHAnsi" w:hAnsiTheme="majorHAnsi"/>
          <w:b/>
          <w:bCs/>
          <w:sz w:val="20"/>
          <w:szCs w:val="20"/>
          <w:lang w:val="fr-CA"/>
        </w:rPr>
      </w:pPr>
      <w:r w:rsidRPr="00016F59">
        <w:rPr>
          <w:rStyle w:val="FootnoteReference"/>
          <w:rFonts w:asciiTheme="majorHAnsi" w:hAnsiTheme="majorHAnsi"/>
          <w:sz w:val="20"/>
          <w:szCs w:val="20"/>
        </w:rPr>
        <w:footnoteRef/>
      </w:r>
      <w:r w:rsidRPr="00016F59">
        <w:rPr>
          <w:rFonts w:asciiTheme="majorHAnsi" w:hAnsiTheme="majorHAnsi"/>
          <w:sz w:val="20"/>
          <w:szCs w:val="20"/>
        </w:rPr>
        <w:t xml:space="preserve"> </w:t>
      </w:r>
      <w:r w:rsidRPr="002975EA">
        <w:rPr>
          <w:rFonts w:asciiTheme="majorHAnsi" w:hAnsiTheme="majorHAnsi"/>
          <w:sz w:val="20"/>
          <w:szCs w:val="20"/>
          <w:lang w:val="en-US"/>
        </w:rPr>
        <w:t>Voir par exemple « </w:t>
      </w:r>
      <w:r w:rsidRPr="002975EA">
        <w:rPr>
          <w:rFonts w:asciiTheme="majorHAnsi" w:hAnsiTheme="majorHAnsi"/>
          <w:bCs/>
          <w:sz w:val="20"/>
          <w:szCs w:val="20"/>
          <w:lang w:val="en-US"/>
        </w:rPr>
        <w:t xml:space="preserve">Tuition Deposit: New for Fall 2014 » (University of Alberta). </w:t>
      </w:r>
      <w:r>
        <w:rPr>
          <w:rFonts w:asciiTheme="majorHAnsi" w:hAnsiTheme="majorHAnsi"/>
          <w:bCs/>
          <w:sz w:val="20"/>
          <w:szCs w:val="20"/>
          <w:lang w:val="fr-CA"/>
        </w:rPr>
        <w:t>Consulté en ligne </w:t>
      </w:r>
      <w:r w:rsidRPr="00FD4D63">
        <w:rPr>
          <w:rFonts w:asciiTheme="majorHAnsi" w:hAnsiTheme="majorHAnsi"/>
          <w:bCs/>
          <w:sz w:val="20"/>
          <w:szCs w:val="20"/>
          <w:lang w:val="fr-CA"/>
        </w:rPr>
        <w:t>:</w:t>
      </w:r>
    </w:p>
    <w:p w14:paraId="6A900C14" w14:textId="77777777" w:rsidR="009554EB" w:rsidRPr="00FD4D63" w:rsidRDefault="009554EB" w:rsidP="003D1C23">
      <w:pPr>
        <w:pStyle w:val="FootnoteText"/>
        <w:rPr>
          <w:rFonts w:asciiTheme="majorHAnsi" w:hAnsiTheme="majorHAnsi"/>
          <w:sz w:val="20"/>
          <w:szCs w:val="20"/>
          <w:lang w:val="fr-CA"/>
        </w:rPr>
      </w:pPr>
      <w:r w:rsidRPr="00FD4D63">
        <w:rPr>
          <w:rFonts w:asciiTheme="majorHAnsi" w:hAnsiTheme="majorHAnsi"/>
          <w:sz w:val="20"/>
          <w:szCs w:val="20"/>
          <w:lang w:val="fr-CA"/>
        </w:rPr>
        <w:t xml:space="preserve"> </w:t>
      </w:r>
      <w:hyperlink r:id="rId37" w:history="1">
        <w:r w:rsidRPr="00FD4D63">
          <w:rPr>
            <w:rStyle w:val="Hyperlink"/>
            <w:rFonts w:asciiTheme="majorHAnsi" w:hAnsiTheme="majorHAnsi"/>
            <w:sz w:val="20"/>
            <w:szCs w:val="20"/>
            <w:lang w:val="fr-CA"/>
          </w:rPr>
          <w:t>http://www.registrarsoffice.ualberta.ca/Registration-and-Courses/How-to-Register/Tuition-Deposit.aspx</w:t>
        </w:r>
      </w:hyperlink>
      <w:r w:rsidRPr="00FD4D63">
        <w:rPr>
          <w:rFonts w:asciiTheme="majorHAnsi" w:hAnsiTheme="majorHAnsi"/>
          <w:sz w:val="20"/>
          <w:szCs w:val="20"/>
          <w:lang w:val="fr-CA"/>
        </w:rPr>
        <w:t xml:space="preserve"> </w:t>
      </w:r>
    </w:p>
  </w:footnote>
  <w:footnote w:id="36">
    <w:p w14:paraId="46C98742" w14:textId="7332C720" w:rsidR="009554EB" w:rsidRPr="002975EA" w:rsidRDefault="009554EB" w:rsidP="003D1C23">
      <w:pPr>
        <w:pStyle w:val="FootnoteText"/>
        <w:rPr>
          <w:rFonts w:asciiTheme="majorHAnsi" w:hAnsiTheme="majorHAnsi"/>
          <w:sz w:val="20"/>
          <w:szCs w:val="20"/>
          <w:lang w:val="fr-CA"/>
        </w:rPr>
      </w:pPr>
      <w:r w:rsidRPr="00FD4D63">
        <w:rPr>
          <w:rStyle w:val="FootnoteReference"/>
          <w:rFonts w:asciiTheme="majorHAnsi" w:hAnsiTheme="majorHAnsi"/>
          <w:sz w:val="20"/>
          <w:szCs w:val="20"/>
          <w:lang w:val="fr-CA"/>
        </w:rPr>
        <w:footnoteRef/>
      </w:r>
      <w:r w:rsidRPr="00FD4D63">
        <w:rPr>
          <w:rFonts w:asciiTheme="majorHAnsi" w:hAnsiTheme="majorHAnsi"/>
          <w:sz w:val="20"/>
          <w:szCs w:val="20"/>
          <w:lang w:val="fr-CA"/>
        </w:rPr>
        <w:t xml:space="preserve"> </w:t>
      </w:r>
      <w:r>
        <w:rPr>
          <w:rFonts w:asciiTheme="majorHAnsi" w:hAnsiTheme="majorHAnsi"/>
          <w:i/>
          <w:sz w:val="20"/>
          <w:szCs w:val="20"/>
          <w:lang w:val="fr-CA"/>
        </w:rPr>
        <w:t>L’impact des bourses : endettement et persévérance des étudiants de niveau postsecondaire</w:t>
      </w:r>
      <w:r w:rsidRPr="00FD4D63">
        <w:rPr>
          <w:rFonts w:asciiTheme="majorHAnsi" w:hAnsiTheme="majorHAnsi"/>
          <w:i/>
          <w:sz w:val="20"/>
          <w:szCs w:val="20"/>
          <w:lang w:val="fr-CA"/>
        </w:rPr>
        <w:t xml:space="preserve"> </w:t>
      </w:r>
      <w:r>
        <w:rPr>
          <w:rFonts w:asciiTheme="majorHAnsi" w:hAnsiTheme="majorHAnsi"/>
          <w:sz w:val="20"/>
          <w:szCs w:val="20"/>
          <w:lang w:val="fr-CA"/>
        </w:rPr>
        <w:t>(Montré</w:t>
      </w:r>
      <w:r w:rsidRPr="00FD4D63">
        <w:rPr>
          <w:rFonts w:asciiTheme="majorHAnsi" w:hAnsiTheme="majorHAnsi"/>
          <w:sz w:val="20"/>
          <w:szCs w:val="20"/>
          <w:lang w:val="fr-CA"/>
        </w:rPr>
        <w:t>al</w:t>
      </w:r>
      <w:r>
        <w:rPr>
          <w:rFonts w:asciiTheme="majorHAnsi" w:hAnsiTheme="majorHAnsi"/>
          <w:sz w:val="20"/>
          <w:szCs w:val="20"/>
          <w:lang w:val="fr-CA"/>
        </w:rPr>
        <w:t xml:space="preserve"> </w:t>
      </w:r>
      <w:r w:rsidRPr="00FD4D63">
        <w:rPr>
          <w:rFonts w:asciiTheme="majorHAnsi" w:hAnsiTheme="majorHAnsi"/>
          <w:sz w:val="20"/>
          <w:szCs w:val="20"/>
          <w:lang w:val="fr-CA"/>
        </w:rPr>
        <w:t xml:space="preserve">: </w:t>
      </w:r>
      <w:r>
        <w:rPr>
          <w:rFonts w:asciiTheme="majorHAnsi" w:hAnsiTheme="majorHAnsi"/>
          <w:sz w:val="20"/>
          <w:szCs w:val="20"/>
          <w:lang w:val="fr-CA"/>
        </w:rPr>
        <w:t>Fondation canadienne des bourses d’études du millénaire</w:t>
      </w:r>
      <w:r w:rsidRPr="00FD4D63">
        <w:rPr>
          <w:rFonts w:asciiTheme="majorHAnsi" w:hAnsiTheme="majorHAnsi"/>
          <w:sz w:val="20"/>
          <w:szCs w:val="20"/>
          <w:lang w:val="fr-CA"/>
        </w:rPr>
        <w:t xml:space="preserve">, </w:t>
      </w:r>
      <w:r>
        <w:rPr>
          <w:rFonts w:asciiTheme="majorHAnsi" w:hAnsiTheme="majorHAnsi"/>
          <w:sz w:val="20"/>
          <w:szCs w:val="20"/>
          <w:lang w:val="fr-CA"/>
        </w:rPr>
        <w:t xml:space="preserve">juillet </w:t>
      </w:r>
      <w:r w:rsidRPr="00FD4D63">
        <w:rPr>
          <w:rFonts w:asciiTheme="majorHAnsi" w:hAnsiTheme="majorHAnsi"/>
          <w:sz w:val="20"/>
          <w:szCs w:val="20"/>
          <w:lang w:val="fr-CA"/>
        </w:rPr>
        <w:t xml:space="preserve">2006). </w:t>
      </w:r>
      <w:r>
        <w:rPr>
          <w:rFonts w:asciiTheme="majorHAnsi" w:hAnsiTheme="majorHAnsi"/>
          <w:sz w:val="20"/>
          <w:szCs w:val="20"/>
          <w:lang w:val="fr-CA"/>
        </w:rPr>
        <w:t>Consulté en ligne </w:t>
      </w:r>
      <w:r w:rsidRPr="00FD4D63">
        <w:rPr>
          <w:rFonts w:asciiTheme="majorHAnsi" w:hAnsiTheme="majorHAnsi"/>
          <w:sz w:val="20"/>
          <w:szCs w:val="20"/>
          <w:lang w:val="fr-CA"/>
        </w:rPr>
        <w:t xml:space="preserve">: </w:t>
      </w:r>
      <w:hyperlink r:id="rId38" w:history="1">
        <w:r>
          <w:rPr>
            <w:rStyle w:val="Hyperlink"/>
            <w:rFonts w:asciiTheme="majorHAnsi" w:hAnsiTheme="majorHAnsi"/>
            <w:sz w:val="20"/>
            <w:szCs w:val="20"/>
            <w:lang w:val="fr-CA"/>
          </w:rPr>
          <w:t>http://www.capres.ca/wp-content/uploads/2015/01/Impact-bourses-juillet06.pdf</w:t>
        </w:r>
      </w:hyperlink>
      <w:r w:rsidRPr="002975EA">
        <w:rPr>
          <w:rFonts w:asciiTheme="majorHAnsi" w:hAnsiTheme="majorHAnsi"/>
          <w:sz w:val="20"/>
          <w:szCs w:val="20"/>
          <w:lang w:val="fr-CA"/>
        </w:rPr>
        <w:t xml:space="preserve"> </w:t>
      </w:r>
    </w:p>
  </w:footnote>
  <w:footnote w:id="37">
    <w:p w14:paraId="32FC17BD" w14:textId="3FEB08C3" w:rsidR="009554EB" w:rsidRPr="000D6804" w:rsidRDefault="009554EB">
      <w:pPr>
        <w:pStyle w:val="FootnoteText"/>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sidRPr="000D6804">
        <w:rPr>
          <w:rFonts w:asciiTheme="majorHAnsi" w:hAnsiTheme="majorHAnsi"/>
          <w:i/>
          <w:sz w:val="20"/>
          <w:szCs w:val="20"/>
          <w:lang w:val="fr-CA"/>
        </w:rPr>
        <w:t xml:space="preserve">Rapport actuariel sur le Programme canadien de prêts aux étudiants au 31 juillet 2014 </w:t>
      </w:r>
      <w:r w:rsidRPr="000D6804">
        <w:rPr>
          <w:rFonts w:asciiTheme="majorHAnsi" w:hAnsiTheme="majorHAnsi"/>
          <w:sz w:val="20"/>
          <w:szCs w:val="20"/>
          <w:lang w:val="fr-CA"/>
        </w:rPr>
        <w:t xml:space="preserve">(Ottawa : Bureau de l’actuaire en chef, 2015), 12. </w:t>
      </w:r>
      <w:r>
        <w:rPr>
          <w:rFonts w:asciiTheme="majorHAnsi" w:hAnsiTheme="majorHAnsi"/>
          <w:sz w:val="20"/>
          <w:szCs w:val="20"/>
          <w:lang w:val="fr-CA"/>
        </w:rPr>
        <w:t>Consulté en ligne </w:t>
      </w:r>
      <w:r w:rsidRPr="000D6804">
        <w:rPr>
          <w:rFonts w:asciiTheme="majorHAnsi" w:hAnsiTheme="majorHAnsi"/>
          <w:sz w:val="20"/>
          <w:szCs w:val="20"/>
          <w:lang w:val="fr-CA"/>
        </w:rPr>
        <w:t xml:space="preserve">: </w:t>
      </w:r>
      <w:hyperlink r:id="rId39" w:history="1">
        <w:r>
          <w:rPr>
            <w:rStyle w:val="Hyperlink"/>
            <w:rFonts w:asciiTheme="majorHAnsi" w:hAnsiTheme="majorHAnsi"/>
            <w:sz w:val="20"/>
            <w:szCs w:val="20"/>
            <w:lang w:val="fr-CA"/>
          </w:rPr>
          <w:t>http://www.osfi-bsif.gc.ca/fra/Docs/CSLP_2014.pdf</w:t>
        </w:r>
      </w:hyperlink>
      <w:r w:rsidRPr="000D6804">
        <w:rPr>
          <w:rFonts w:asciiTheme="majorHAnsi" w:hAnsiTheme="majorHAnsi"/>
          <w:sz w:val="20"/>
          <w:szCs w:val="20"/>
          <w:lang w:val="fr-CA"/>
        </w:rPr>
        <w:t xml:space="preserve"> </w:t>
      </w:r>
    </w:p>
  </w:footnote>
  <w:footnote w:id="38">
    <w:p w14:paraId="691223B5" w14:textId="3596443E" w:rsidR="009554EB" w:rsidRPr="001E71CC" w:rsidRDefault="009554EB" w:rsidP="003D1C23">
      <w:pPr>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Pr>
          <w:rFonts w:asciiTheme="majorHAnsi" w:hAnsiTheme="majorHAnsi"/>
          <w:i/>
          <w:sz w:val="20"/>
          <w:szCs w:val="20"/>
          <w:lang w:val="fr-CA"/>
        </w:rPr>
        <w:t>PCPE Rapport statistique 20</w:t>
      </w:r>
      <w:r w:rsidRPr="001E71CC">
        <w:rPr>
          <w:rFonts w:asciiTheme="majorHAnsi" w:hAnsiTheme="majorHAnsi"/>
          <w:i/>
          <w:sz w:val="20"/>
          <w:szCs w:val="20"/>
          <w:lang w:val="fr-CA"/>
        </w:rPr>
        <w:t xml:space="preserve">11-2012 </w:t>
      </w:r>
      <w:r w:rsidRPr="001E71CC">
        <w:rPr>
          <w:rFonts w:asciiTheme="majorHAnsi" w:hAnsiTheme="majorHAnsi"/>
          <w:sz w:val="20"/>
          <w:szCs w:val="20"/>
          <w:lang w:val="fr-CA"/>
        </w:rPr>
        <w:t>(Ottawa</w:t>
      </w:r>
      <w:r>
        <w:rPr>
          <w:rFonts w:asciiTheme="majorHAnsi" w:hAnsiTheme="majorHAnsi"/>
          <w:sz w:val="20"/>
          <w:szCs w:val="20"/>
          <w:lang w:val="fr-CA"/>
        </w:rPr>
        <w:t xml:space="preserve"> </w:t>
      </w:r>
      <w:r w:rsidRPr="001E71CC">
        <w:rPr>
          <w:rFonts w:asciiTheme="majorHAnsi" w:hAnsiTheme="majorHAnsi"/>
          <w:sz w:val="20"/>
          <w:szCs w:val="20"/>
          <w:lang w:val="fr-CA"/>
        </w:rPr>
        <w:t xml:space="preserve">: </w:t>
      </w:r>
      <w:r>
        <w:rPr>
          <w:rFonts w:asciiTheme="majorHAnsi" w:hAnsiTheme="majorHAnsi"/>
          <w:sz w:val="20"/>
          <w:szCs w:val="20"/>
          <w:lang w:val="fr-CA"/>
        </w:rPr>
        <w:t>Emploi et Développement social Canada</w:t>
      </w:r>
      <w:r w:rsidRPr="001E71CC">
        <w:rPr>
          <w:rFonts w:asciiTheme="majorHAnsi" w:hAnsiTheme="majorHAnsi"/>
          <w:sz w:val="20"/>
          <w:szCs w:val="20"/>
          <w:lang w:val="fr-CA"/>
        </w:rPr>
        <w:t xml:space="preserve">, 2012). </w:t>
      </w:r>
      <w:r>
        <w:rPr>
          <w:rFonts w:asciiTheme="majorHAnsi" w:hAnsiTheme="majorHAnsi"/>
          <w:sz w:val="20"/>
          <w:szCs w:val="20"/>
          <w:lang w:val="fr-CA"/>
        </w:rPr>
        <w:t xml:space="preserve">Consulté en ligne </w:t>
      </w:r>
      <w:r w:rsidRPr="001E71CC">
        <w:rPr>
          <w:rFonts w:asciiTheme="majorHAnsi" w:hAnsiTheme="majorHAnsi"/>
          <w:sz w:val="20"/>
          <w:szCs w:val="20"/>
          <w:lang w:val="fr-CA"/>
        </w:rPr>
        <w:t xml:space="preserve">: </w:t>
      </w:r>
      <w:hyperlink r:id="rId40" w:history="1">
        <w:r w:rsidRPr="008209CF">
          <w:rPr>
            <w:rStyle w:val="Hyperlink"/>
            <w:rFonts w:asciiTheme="majorHAnsi" w:hAnsiTheme="majorHAnsi"/>
            <w:sz w:val="20"/>
            <w:szCs w:val="20"/>
            <w:lang w:val="fr-CA"/>
          </w:rPr>
          <w:t>http://publications.gc.ca/collections/collection_2013/rhdcc-hrsdc/HS45-2-2012-fra.pdf</w:t>
        </w:r>
      </w:hyperlink>
      <w:r>
        <w:rPr>
          <w:rFonts w:asciiTheme="majorHAnsi" w:hAnsiTheme="majorHAnsi"/>
          <w:sz w:val="20"/>
          <w:szCs w:val="20"/>
          <w:lang w:val="fr-CA"/>
        </w:rPr>
        <w:t xml:space="preserve"> </w:t>
      </w:r>
    </w:p>
  </w:footnote>
  <w:footnote w:id="39">
    <w:p w14:paraId="776A538E" w14:textId="32BCE661" w:rsidR="009554EB" w:rsidRPr="005C0566" w:rsidRDefault="009554EB" w:rsidP="003D1C23">
      <w:pPr>
        <w:pStyle w:val="FootnoteText"/>
        <w:rPr>
          <w:rFonts w:asciiTheme="majorHAnsi" w:hAnsiTheme="majorHAnsi"/>
          <w: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Pr>
          <w:rFonts w:asciiTheme="majorHAnsi" w:hAnsiTheme="majorHAnsi"/>
          <w:i/>
          <w:sz w:val="20"/>
          <w:szCs w:val="20"/>
          <w:lang w:val="fr-CA"/>
        </w:rPr>
        <w:t>Enquête sur la population active (EPA), estimations de la durée du chômage selon le sexe et le groupe d’âge</w:t>
      </w:r>
      <w:r w:rsidRPr="005C0566">
        <w:rPr>
          <w:rFonts w:asciiTheme="majorHAnsi" w:hAnsiTheme="majorHAnsi"/>
          <w:i/>
          <w:sz w:val="20"/>
          <w:szCs w:val="20"/>
          <w:lang w:val="fr-CA"/>
        </w:rPr>
        <w:t xml:space="preserve">, </w:t>
      </w:r>
      <w:r>
        <w:rPr>
          <w:rFonts w:asciiTheme="majorHAnsi" w:hAnsiTheme="majorHAnsi"/>
          <w:i/>
          <w:sz w:val="20"/>
          <w:szCs w:val="20"/>
          <w:lang w:val="fr-CA"/>
        </w:rPr>
        <w:t xml:space="preserve">tableau </w:t>
      </w:r>
      <w:r w:rsidRPr="005C0566">
        <w:rPr>
          <w:rFonts w:asciiTheme="majorHAnsi" w:hAnsiTheme="majorHAnsi"/>
          <w:i/>
          <w:sz w:val="20"/>
          <w:szCs w:val="20"/>
          <w:lang w:val="fr-CA"/>
        </w:rPr>
        <w:t xml:space="preserve">CANSIM 282-0048 </w:t>
      </w:r>
      <w:r>
        <w:rPr>
          <w:rFonts w:asciiTheme="majorHAnsi" w:hAnsiTheme="majorHAnsi"/>
          <w:sz w:val="20"/>
          <w:szCs w:val="20"/>
          <w:lang w:val="fr-CA"/>
        </w:rPr>
        <w:t>(Statistique</w:t>
      </w:r>
      <w:r w:rsidRPr="005C0566">
        <w:rPr>
          <w:rFonts w:asciiTheme="majorHAnsi" w:hAnsiTheme="majorHAnsi"/>
          <w:sz w:val="20"/>
          <w:szCs w:val="20"/>
          <w:lang w:val="fr-CA"/>
        </w:rPr>
        <w:t xml:space="preserve"> Canada). </w:t>
      </w:r>
      <w:r>
        <w:rPr>
          <w:rFonts w:asciiTheme="majorHAnsi" w:hAnsiTheme="majorHAnsi"/>
          <w:sz w:val="20"/>
          <w:szCs w:val="20"/>
          <w:lang w:val="fr-CA"/>
        </w:rPr>
        <w:t xml:space="preserve">Consulté en ligne : </w:t>
      </w:r>
      <w:r w:rsidRPr="005C0566">
        <w:rPr>
          <w:rFonts w:asciiTheme="majorHAnsi" w:hAnsiTheme="majorHAnsi"/>
          <w:sz w:val="20"/>
          <w:szCs w:val="20"/>
          <w:lang w:val="fr-CA"/>
        </w:rPr>
        <w:t>http://www5.statcan.gc.ca/cansim/a26?lang=fra&amp;id=2820048&amp;retrLang=fra</w:t>
      </w:r>
    </w:p>
  </w:footnote>
  <w:footnote w:id="40">
    <w:p w14:paraId="4514795A" w14:textId="1585783A" w:rsidR="009554EB" w:rsidRPr="005C0566" w:rsidRDefault="009554EB" w:rsidP="003D1C23">
      <w:pPr>
        <w:pStyle w:val="FootnoteText"/>
        <w:rPr>
          <w:rFonts w:asciiTheme="majorHAnsi" w:hAnsiTheme="majorHAnsi"/>
          <w:i/>
          <w:sz w:val="20"/>
          <w:szCs w:val="20"/>
          <w:lang w:val="fr-CA"/>
        </w:rPr>
      </w:pPr>
      <w:r w:rsidRPr="005C0566">
        <w:rPr>
          <w:rStyle w:val="FootnoteReference"/>
          <w:rFonts w:asciiTheme="majorHAnsi" w:hAnsiTheme="majorHAnsi"/>
          <w:sz w:val="20"/>
          <w:szCs w:val="20"/>
          <w:lang w:val="fr-CA"/>
        </w:rPr>
        <w:footnoteRef/>
      </w:r>
      <w:r w:rsidRPr="002975EA">
        <w:rPr>
          <w:rFonts w:asciiTheme="majorHAnsi" w:hAnsiTheme="majorHAnsi"/>
          <w:sz w:val="20"/>
          <w:szCs w:val="20"/>
          <w:lang w:val="en-US"/>
        </w:rPr>
        <w:t xml:space="preserve"> « Student Loan Activist Says Feds Misuse Term “Grace Period” » </w:t>
      </w:r>
      <w:r w:rsidRPr="002975EA">
        <w:rPr>
          <w:rFonts w:asciiTheme="majorHAnsi" w:hAnsiTheme="majorHAnsi"/>
          <w:i/>
          <w:sz w:val="20"/>
          <w:szCs w:val="20"/>
          <w:lang w:val="en-US"/>
        </w:rPr>
        <w:t xml:space="preserve">Maclean’s Magazine, </w:t>
      </w:r>
      <w:r w:rsidRPr="002975EA">
        <w:rPr>
          <w:rFonts w:asciiTheme="majorHAnsi" w:hAnsiTheme="majorHAnsi"/>
          <w:sz w:val="20"/>
          <w:szCs w:val="20"/>
          <w:lang w:val="en-US"/>
        </w:rPr>
        <w:t>(1</w:t>
      </w:r>
      <w:r w:rsidRPr="002975EA">
        <w:rPr>
          <w:rFonts w:asciiTheme="majorHAnsi" w:hAnsiTheme="majorHAnsi"/>
          <w:sz w:val="20"/>
          <w:szCs w:val="20"/>
          <w:vertAlign w:val="superscript"/>
          <w:lang w:val="en-US"/>
        </w:rPr>
        <w:t>er</w:t>
      </w:r>
      <w:r w:rsidRPr="002975EA">
        <w:rPr>
          <w:rFonts w:asciiTheme="majorHAnsi" w:hAnsiTheme="majorHAnsi"/>
          <w:sz w:val="20"/>
          <w:szCs w:val="20"/>
          <w:lang w:val="en-US"/>
        </w:rPr>
        <w:t xml:space="preserve"> juin 2009). </w:t>
      </w:r>
      <w:r>
        <w:rPr>
          <w:rFonts w:asciiTheme="majorHAnsi" w:hAnsiTheme="majorHAnsi"/>
          <w:sz w:val="20"/>
          <w:szCs w:val="20"/>
          <w:lang w:val="fr-CA"/>
        </w:rPr>
        <w:t>Consulté en ligne </w:t>
      </w:r>
      <w:r w:rsidRPr="005C0566">
        <w:rPr>
          <w:rFonts w:asciiTheme="majorHAnsi" w:hAnsiTheme="majorHAnsi"/>
          <w:sz w:val="20"/>
          <w:szCs w:val="20"/>
          <w:lang w:val="fr-CA"/>
        </w:rPr>
        <w:t xml:space="preserve">: </w:t>
      </w:r>
      <w:hyperlink r:id="rId41" w:history="1">
        <w:r w:rsidRPr="005C0566">
          <w:rPr>
            <w:rStyle w:val="Hyperlink"/>
            <w:rFonts w:asciiTheme="majorHAnsi" w:hAnsiTheme="majorHAnsi"/>
            <w:sz w:val="20"/>
            <w:szCs w:val="20"/>
            <w:lang w:val="fr-CA"/>
          </w:rPr>
          <w:t>http://www.macleans.ca/education/uniandcollege/student-loan-activist-says-ottawa-misuses-term-grace-period/</w:t>
        </w:r>
      </w:hyperlink>
      <w:r w:rsidRPr="005C0566">
        <w:rPr>
          <w:rFonts w:asciiTheme="majorHAnsi" w:hAnsiTheme="majorHAnsi"/>
          <w:sz w:val="20"/>
          <w:szCs w:val="20"/>
          <w:lang w:val="fr-CA"/>
        </w:rPr>
        <w:t xml:space="preserve"> </w:t>
      </w:r>
    </w:p>
  </w:footnote>
  <w:footnote w:id="41">
    <w:p w14:paraId="3D805AD2" w14:textId="2BAD5031" w:rsidR="009554EB" w:rsidRPr="005C0566" w:rsidRDefault="009554EB" w:rsidP="003D1C23">
      <w:pPr>
        <w:pStyle w:val="FootnoteText"/>
        <w:rPr>
          <w:rFonts w:asciiTheme="majorHAnsi" w:hAnsiTheme="majorHAnsi"/>
          <w:sz w:val="20"/>
          <w:szCs w:val="20"/>
          <w:lang w:val="fr-CA"/>
        </w:rPr>
      </w:pPr>
      <w:r w:rsidRPr="005C0566">
        <w:rPr>
          <w:rStyle w:val="FootnoteReference"/>
          <w:rFonts w:asciiTheme="majorHAnsi" w:hAnsiTheme="majorHAnsi"/>
          <w:sz w:val="20"/>
          <w:szCs w:val="20"/>
          <w:lang w:val="fr-CA"/>
        </w:rPr>
        <w:footnoteRef/>
      </w:r>
      <w:r w:rsidRPr="005C0566">
        <w:rPr>
          <w:rFonts w:asciiTheme="majorHAnsi" w:hAnsiTheme="majorHAnsi"/>
          <w:sz w:val="20"/>
          <w:szCs w:val="20"/>
          <w:lang w:val="fr-CA"/>
        </w:rPr>
        <w:t xml:space="preserve"> </w:t>
      </w:r>
      <w:r>
        <w:rPr>
          <w:rFonts w:asciiTheme="majorHAnsi" w:hAnsiTheme="majorHAnsi"/>
          <w:i/>
          <w:sz w:val="20"/>
          <w:szCs w:val="20"/>
          <w:lang w:val="fr-CA"/>
        </w:rPr>
        <w:t xml:space="preserve"> Évaluation sommative : Programme canadien de prêts aux étudiants, juin 2011</w:t>
      </w:r>
      <w:r w:rsidRPr="005C0566">
        <w:rPr>
          <w:rFonts w:asciiTheme="majorHAnsi" w:hAnsiTheme="majorHAnsi"/>
          <w:sz w:val="20"/>
          <w:szCs w:val="20"/>
          <w:lang w:val="fr-CA"/>
        </w:rPr>
        <w:t xml:space="preserve"> (Ottawa, </w:t>
      </w:r>
      <w:r>
        <w:rPr>
          <w:rFonts w:asciiTheme="majorHAnsi" w:hAnsiTheme="majorHAnsi"/>
          <w:sz w:val="20"/>
          <w:szCs w:val="20"/>
          <w:lang w:val="fr-CA"/>
        </w:rPr>
        <w:t>Emploi et Développement social Canada</w:t>
      </w:r>
      <w:r w:rsidRPr="005C0566">
        <w:rPr>
          <w:rFonts w:asciiTheme="majorHAnsi" w:hAnsiTheme="majorHAnsi"/>
          <w:sz w:val="20"/>
          <w:szCs w:val="20"/>
          <w:lang w:val="fr-CA"/>
        </w:rPr>
        <w:t xml:space="preserve">, 2011). </w:t>
      </w:r>
      <w:r>
        <w:rPr>
          <w:rFonts w:asciiTheme="majorHAnsi" w:hAnsiTheme="majorHAnsi"/>
          <w:sz w:val="20"/>
          <w:szCs w:val="20"/>
          <w:lang w:val="fr-CA"/>
        </w:rPr>
        <w:t xml:space="preserve">Consulté en ligne : </w:t>
      </w:r>
      <w:hyperlink r:id="rId42" w:history="1">
        <w:r>
          <w:rPr>
            <w:rStyle w:val="Hyperlink"/>
            <w:rFonts w:asciiTheme="majorHAnsi" w:hAnsiTheme="majorHAnsi"/>
            <w:sz w:val="20"/>
            <w:szCs w:val="20"/>
            <w:lang w:val="fr-CA"/>
          </w:rPr>
          <w:t>https://www.canada.ca/fr/emploi-developpement-social/ministere/rapports/evaluations/apprentissage-2011-juin.html</w:t>
        </w:r>
      </w:hyperlink>
      <w:r w:rsidRPr="005C0566">
        <w:rPr>
          <w:rFonts w:asciiTheme="majorHAnsi" w:hAnsiTheme="majorHAnsi"/>
          <w:sz w:val="20"/>
          <w:szCs w:val="20"/>
          <w:lang w:val="fr-CA"/>
        </w:rPr>
        <w:t xml:space="preserve"> </w:t>
      </w:r>
    </w:p>
  </w:footnote>
  <w:footnote w:id="42">
    <w:p w14:paraId="4746B923" w14:textId="39B4F793" w:rsidR="009554EB" w:rsidRPr="004063A0" w:rsidRDefault="009554EB" w:rsidP="009D2F1F">
      <w:pPr>
        <w:pStyle w:val="FootnoteText"/>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sidRPr="0018353F">
        <w:rPr>
          <w:rFonts w:asciiTheme="majorHAnsi" w:hAnsiTheme="majorHAnsi"/>
          <w:i/>
          <w:sz w:val="20"/>
          <w:szCs w:val="20"/>
          <w:lang w:val="fr-CA"/>
        </w:rPr>
        <w:t>PCPE Rapport annuel 2013-2014</w:t>
      </w:r>
      <w:r w:rsidRPr="0018353F">
        <w:rPr>
          <w:rFonts w:asciiTheme="majorHAnsi" w:hAnsiTheme="majorHAnsi"/>
          <w:sz w:val="20"/>
          <w:szCs w:val="20"/>
          <w:lang w:val="fr-CA"/>
        </w:rPr>
        <w:t xml:space="preserve"> (Ottawa : Emploi et Développement social Canada, avril 2016). Consulté en ligne : </w:t>
      </w:r>
      <w:hyperlink r:id="rId43" w:history="1">
        <w:r w:rsidRPr="0018353F">
          <w:rPr>
            <w:rStyle w:val="Hyperlink"/>
            <w:rFonts w:asciiTheme="majorHAnsi" w:hAnsiTheme="majorHAnsi"/>
            <w:sz w:val="20"/>
            <w:szCs w:val="20"/>
            <w:lang w:val="fr-CA"/>
          </w:rPr>
          <w:t>https://www.canada.ca/fr/emploi-developpement-social/programmes/prets-bourses-canadiens-etudiants/rapports/pcpe-2014.html</w:t>
        </w:r>
      </w:hyperlink>
      <w:r w:rsidRPr="004063A0">
        <w:rPr>
          <w:rFonts w:asciiTheme="majorHAnsi" w:hAnsiTheme="majorHAnsi"/>
          <w:sz w:val="20"/>
          <w:szCs w:val="20"/>
          <w:lang w:val="fr-CA"/>
        </w:rPr>
        <w:t xml:space="preserve"> </w:t>
      </w:r>
    </w:p>
  </w:footnote>
  <w:footnote w:id="43">
    <w:p w14:paraId="7F3950D9" w14:textId="78476613" w:rsidR="009554EB" w:rsidRPr="002975EA" w:rsidRDefault="009554EB" w:rsidP="009D2F1F">
      <w:pPr>
        <w:pStyle w:val="FootnoteText"/>
        <w:rPr>
          <w:rFonts w:asciiTheme="majorHAnsi" w:hAnsiTheme="majorHAnsi"/>
          <w:sz w:val="20"/>
          <w:szCs w:val="20"/>
          <w:lang w:val="fr-CA"/>
        </w:rPr>
      </w:pPr>
      <w:r w:rsidRPr="004063A0">
        <w:rPr>
          <w:rStyle w:val="FootnoteReference"/>
          <w:rFonts w:asciiTheme="majorHAnsi" w:hAnsiTheme="majorHAnsi"/>
          <w:sz w:val="20"/>
          <w:szCs w:val="20"/>
          <w:lang w:val="fr-CA"/>
        </w:rPr>
        <w:footnoteRef/>
      </w:r>
      <w:r w:rsidRPr="004063A0">
        <w:rPr>
          <w:rFonts w:asciiTheme="majorHAnsi" w:hAnsiTheme="majorHAnsi"/>
          <w:sz w:val="20"/>
          <w:szCs w:val="20"/>
          <w:lang w:val="fr-CA"/>
        </w:rPr>
        <w:t xml:space="preserve"> </w:t>
      </w:r>
      <w:r>
        <w:rPr>
          <w:rFonts w:asciiTheme="majorHAnsi" w:hAnsiTheme="majorHAnsi"/>
          <w:i/>
          <w:sz w:val="20"/>
          <w:szCs w:val="20"/>
          <w:lang w:val="fr-CA"/>
        </w:rPr>
        <w:t xml:space="preserve">Programme d’aide au remboursement </w:t>
      </w:r>
      <w:r w:rsidRPr="004063A0">
        <w:rPr>
          <w:rFonts w:asciiTheme="majorHAnsi" w:hAnsiTheme="majorHAnsi"/>
          <w:sz w:val="20"/>
          <w:szCs w:val="20"/>
          <w:lang w:val="fr-CA"/>
        </w:rPr>
        <w:t>(</w:t>
      </w:r>
      <w:r>
        <w:rPr>
          <w:rFonts w:asciiTheme="majorHAnsi" w:hAnsiTheme="majorHAnsi"/>
          <w:sz w:val="20"/>
          <w:szCs w:val="20"/>
          <w:lang w:val="fr-CA"/>
        </w:rPr>
        <w:t xml:space="preserve">Emploi et Développement social Canada, novembre </w:t>
      </w:r>
      <w:r w:rsidRPr="004063A0">
        <w:rPr>
          <w:rFonts w:asciiTheme="majorHAnsi" w:hAnsiTheme="majorHAnsi"/>
          <w:sz w:val="20"/>
          <w:szCs w:val="20"/>
          <w:lang w:val="fr-CA"/>
        </w:rPr>
        <w:t xml:space="preserve">2013). </w:t>
      </w:r>
      <w:r>
        <w:rPr>
          <w:rFonts w:asciiTheme="majorHAnsi" w:hAnsiTheme="majorHAnsi"/>
          <w:sz w:val="20"/>
          <w:szCs w:val="20"/>
          <w:lang w:val="fr-CA"/>
        </w:rPr>
        <w:t xml:space="preserve">Consulté en ligne </w:t>
      </w:r>
      <w:r w:rsidRPr="004063A0">
        <w:rPr>
          <w:rFonts w:asciiTheme="majorHAnsi" w:hAnsiTheme="majorHAnsi"/>
          <w:sz w:val="20"/>
          <w:szCs w:val="20"/>
          <w:lang w:val="fr-CA"/>
        </w:rPr>
        <w:t xml:space="preserve">: </w:t>
      </w:r>
      <w:hyperlink r:id="rId44" w:history="1">
        <w:r w:rsidRPr="004063A0">
          <w:rPr>
            <w:rStyle w:val="Hyperlink"/>
            <w:rFonts w:asciiTheme="majorHAnsi" w:hAnsiTheme="majorHAnsi"/>
            <w:sz w:val="20"/>
            <w:szCs w:val="20"/>
            <w:lang w:val="fr-CA"/>
          </w:rPr>
          <w:t>http://www.canlearn.ca/eng/loans_grants/repayment/help/repayment_assistance.shtml</w:t>
        </w:r>
      </w:hyperlink>
      <w:r w:rsidRPr="002975EA">
        <w:rPr>
          <w:rFonts w:asciiTheme="majorHAnsi" w:hAnsiTheme="majorHAnsi"/>
          <w:sz w:val="20"/>
          <w:szCs w:val="20"/>
          <w:lang w:val="fr-CA"/>
        </w:rPr>
        <w:t xml:space="preserve"> </w:t>
      </w:r>
    </w:p>
  </w:footnote>
  <w:footnote w:id="44">
    <w:p w14:paraId="3C10380A" w14:textId="6F580532" w:rsidR="009554EB" w:rsidRPr="00553E5A" w:rsidRDefault="009554EB" w:rsidP="009D2F1F">
      <w:pPr>
        <w:pStyle w:val="FootnoteText"/>
        <w:rPr>
          <w:rFonts w:asciiTheme="majorHAnsi" w:hAnsiTheme="majorHAnsi"/>
          <w:sz w:val="20"/>
          <w:szCs w:val="20"/>
          <w:lang w:val="fr-CA"/>
        </w:rPr>
      </w:pPr>
      <w:r w:rsidRPr="00016F59">
        <w:rPr>
          <w:rStyle w:val="FootnoteReference"/>
          <w:rFonts w:asciiTheme="majorHAnsi" w:hAnsiTheme="majorHAnsi"/>
          <w:sz w:val="20"/>
          <w:szCs w:val="20"/>
        </w:rPr>
        <w:footnoteRef/>
      </w:r>
      <w:r w:rsidRPr="002975EA">
        <w:rPr>
          <w:rFonts w:asciiTheme="majorHAnsi" w:hAnsiTheme="majorHAnsi"/>
          <w:sz w:val="20"/>
          <w:szCs w:val="20"/>
          <w:lang w:val="fr-CA"/>
        </w:rPr>
        <w:t xml:space="preserve"> </w:t>
      </w:r>
      <w:r>
        <w:rPr>
          <w:rFonts w:asciiTheme="majorHAnsi" w:hAnsiTheme="majorHAnsi"/>
          <w:i/>
          <w:sz w:val="20"/>
          <w:szCs w:val="20"/>
          <w:lang w:val="fr-CA"/>
        </w:rPr>
        <w:t xml:space="preserve">Prestations régulières de l’assurance-emploi </w:t>
      </w:r>
      <w:r w:rsidRPr="00553E5A">
        <w:rPr>
          <w:rFonts w:asciiTheme="majorHAnsi" w:hAnsiTheme="majorHAnsi"/>
          <w:sz w:val="20"/>
          <w:szCs w:val="20"/>
          <w:lang w:val="fr-CA"/>
        </w:rPr>
        <w:t>(</w:t>
      </w:r>
      <w:r>
        <w:rPr>
          <w:rFonts w:asciiTheme="majorHAnsi" w:hAnsiTheme="majorHAnsi"/>
          <w:sz w:val="20"/>
          <w:szCs w:val="20"/>
          <w:lang w:val="fr-CA"/>
        </w:rPr>
        <w:t>Emploi et Développement social Canada</w:t>
      </w:r>
      <w:r w:rsidRPr="00553E5A">
        <w:rPr>
          <w:rFonts w:asciiTheme="majorHAnsi" w:hAnsiTheme="majorHAnsi"/>
          <w:sz w:val="20"/>
          <w:szCs w:val="20"/>
          <w:lang w:val="fr-CA"/>
        </w:rPr>
        <w:t xml:space="preserve">, 2016). </w:t>
      </w:r>
      <w:r>
        <w:rPr>
          <w:rFonts w:asciiTheme="majorHAnsi" w:hAnsiTheme="majorHAnsi"/>
          <w:sz w:val="20"/>
          <w:szCs w:val="20"/>
          <w:lang w:val="fr-CA"/>
        </w:rPr>
        <w:t>Consulté en ligne </w:t>
      </w:r>
      <w:r w:rsidRPr="00553E5A">
        <w:rPr>
          <w:rFonts w:asciiTheme="majorHAnsi" w:hAnsiTheme="majorHAnsi"/>
          <w:sz w:val="20"/>
          <w:szCs w:val="20"/>
          <w:lang w:val="fr-CA"/>
        </w:rPr>
        <w:t>:</w:t>
      </w:r>
      <w:r w:rsidRPr="00553E5A">
        <w:rPr>
          <w:rFonts w:asciiTheme="majorHAnsi" w:hAnsiTheme="majorHAnsi"/>
          <w:i/>
          <w:sz w:val="20"/>
          <w:szCs w:val="20"/>
          <w:lang w:val="fr-CA"/>
        </w:rPr>
        <w:t xml:space="preserve"> </w:t>
      </w:r>
      <w:hyperlink r:id="rId45" w:history="1">
        <w:r>
          <w:rPr>
            <w:rStyle w:val="Hyperlink"/>
            <w:rFonts w:asciiTheme="majorHAnsi" w:hAnsiTheme="majorHAnsi"/>
            <w:sz w:val="20"/>
            <w:szCs w:val="20"/>
            <w:lang w:val="fr-CA"/>
          </w:rPr>
          <w:t>https://www.canada.ca/fr/emploi-developpement-social/programmes/assurance-emploi/ae-liste/rapports/prestations-reguliere.html</w:t>
        </w:r>
      </w:hyperlink>
      <w:r w:rsidRPr="00553E5A">
        <w:rPr>
          <w:rFonts w:asciiTheme="majorHAnsi" w:hAnsiTheme="majorHAnsi"/>
          <w:sz w:val="20"/>
          <w:szCs w:val="20"/>
          <w:lang w:val="fr-CA"/>
        </w:rPr>
        <w:t xml:space="preserve"> </w:t>
      </w:r>
    </w:p>
  </w:footnote>
  <w:footnote w:id="45">
    <w:p w14:paraId="63566E63" w14:textId="67441E57" w:rsidR="009554EB" w:rsidRPr="00553E5A" w:rsidRDefault="009554EB">
      <w:pPr>
        <w:pStyle w:val="FootnoteText"/>
        <w:rPr>
          <w:sz w:val="20"/>
          <w:szCs w:val="20"/>
          <w:lang w:val="fr-CA"/>
        </w:rPr>
      </w:pPr>
      <w:r w:rsidRPr="00553E5A">
        <w:rPr>
          <w:rStyle w:val="FootnoteReference"/>
          <w:sz w:val="20"/>
          <w:szCs w:val="20"/>
          <w:lang w:val="fr-CA"/>
        </w:rPr>
        <w:footnoteRef/>
      </w:r>
      <w:r w:rsidRPr="00553E5A">
        <w:rPr>
          <w:sz w:val="20"/>
          <w:szCs w:val="20"/>
          <w:lang w:val="fr-CA"/>
        </w:rPr>
        <w:t xml:space="preserve"> </w:t>
      </w:r>
      <w:r w:rsidRPr="00553E5A">
        <w:rPr>
          <w:i/>
          <w:sz w:val="20"/>
          <w:szCs w:val="20"/>
          <w:lang w:val="fr-CA"/>
        </w:rPr>
        <w:t>B</w:t>
      </w:r>
      <w:r>
        <w:rPr>
          <w:i/>
          <w:sz w:val="20"/>
          <w:szCs w:val="20"/>
          <w:lang w:val="fr-CA"/>
        </w:rPr>
        <w:t>âtir une classe moyenne forte : Budget 2017</w:t>
      </w:r>
      <w:r w:rsidRPr="00553E5A">
        <w:rPr>
          <w:i/>
          <w:sz w:val="20"/>
          <w:szCs w:val="20"/>
          <w:lang w:val="fr-CA"/>
        </w:rPr>
        <w:t xml:space="preserve"> </w:t>
      </w:r>
      <w:r w:rsidRPr="00553E5A">
        <w:rPr>
          <w:sz w:val="20"/>
          <w:szCs w:val="20"/>
          <w:lang w:val="fr-CA"/>
        </w:rPr>
        <w:t>(</w:t>
      </w:r>
      <w:r>
        <w:rPr>
          <w:sz w:val="20"/>
          <w:szCs w:val="20"/>
          <w:lang w:val="fr-CA"/>
        </w:rPr>
        <w:t xml:space="preserve">déposé à la Chambre des communes par l’Honorable </w:t>
      </w:r>
      <w:r w:rsidRPr="00553E5A">
        <w:rPr>
          <w:sz w:val="20"/>
          <w:szCs w:val="20"/>
          <w:lang w:val="fr-CA"/>
        </w:rPr>
        <w:t xml:space="preserve">William Francis </w:t>
      </w:r>
      <w:proofErr w:type="spellStart"/>
      <w:r w:rsidRPr="00553E5A">
        <w:rPr>
          <w:sz w:val="20"/>
          <w:szCs w:val="20"/>
          <w:lang w:val="fr-CA"/>
        </w:rPr>
        <w:t>Morneau</w:t>
      </w:r>
      <w:proofErr w:type="spellEnd"/>
      <w:r w:rsidRPr="00553E5A">
        <w:rPr>
          <w:sz w:val="20"/>
          <w:szCs w:val="20"/>
          <w:lang w:val="fr-CA"/>
        </w:rPr>
        <w:t xml:space="preserve">, </w:t>
      </w:r>
      <w:r>
        <w:rPr>
          <w:sz w:val="20"/>
          <w:szCs w:val="20"/>
          <w:lang w:val="fr-CA"/>
        </w:rPr>
        <w:t xml:space="preserve">22 mars </w:t>
      </w:r>
      <w:r w:rsidRPr="00553E5A">
        <w:rPr>
          <w:sz w:val="20"/>
          <w:szCs w:val="20"/>
          <w:lang w:val="fr-CA"/>
        </w:rPr>
        <w:t xml:space="preserve">2017). </w:t>
      </w:r>
      <w:r>
        <w:rPr>
          <w:sz w:val="20"/>
          <w:szCs w:val="20"/>
          <w:lang w:val="fr-CA"/>
        </w:rPr>
        <w:t xml:space="preserve">Consulté en ligne : </w:t>
      </w:r>
      <w:r w:rsidRPr="00553E5A">
        <w:rPr>
          <w:sz w:val="20"/>
          <w:szCs w:val="20"/>
          <w:lang w:val="fr-CA"/>
        </w:rPr>
        <w:t>https://www.budget.gc.ca/2017/docs/plan/budget-2017-fr.pdf</w:t>
      </w:r>
    </w:p>
  </w:footnote>
  <w:footnote w:id="46">
    <w:p w14:paraId="7DFCEB58" w14:textId="4BCEEA1B" w:rsidR="009554EB" w:rsidRPr="00553E5A" w:rsidRDefault="009554EB">
      <w:pPr>
        <w:pStyle w:val="FootnoteText"/>
        <w:rPr>
          <w:sz w:val="20"/>
          <w:szCs w:val="20"/>
          <w:lang w:val="fr-CA"/>
        </w:rPr>
      </w:pPr>
      <w:r w:rsidRPr="00553E5A">
        <w:rPr>
          <w:rStyle w:val="FootnoteReference"/>
          <w:sz w:val="20"/>
          <w:szCs w:val="20"/>
          <w:lang w:val="fr-CA"/>
        </w:rPr>
        <w:footnoteRef/>
      </w:r>
      <w:r w:rsidRPr="00553E5A">
        <w:rPr>
          <w:sz w:val="20"/>
          <w:szCs w:val="20"/>
          <w:lang w:val="fr-CA"/>
        </w:rPr>
        <w:t xml:space="preserve"> </w:t>
      </w:r>
      <w:r w:rsidRPr="00553E5A">
        <w:rPr>
          <w:i/>
          <w:sz w:val="20"/>
          <w:szCs w:val="20"/>
          <w:lang w:val="fr-CA"/>
        </w:rPr>
        <w:t>F</w:t>
      </w:r>
      <w:r>
        <w:rPr>
          <w:i/>
          <w:sz w:val="20"/>
          <w:szCs w:val="20"/>
          <w:lang w:val="fr-CA"/>
        </w:rPr>
        <w:t xml:space="preserve">écondité : moins d’enfants, mères plus âgées </w:t>
      </w:r>
      <w:r w:rsidRPr="00553E5A">
        <w:rPr>
          <w:sz w:val="20"/>
          <w:szCs w:val="20"/>
          <w:lang w:val="fr-CA"/>
        </w:rPr>
        <w:t>(</w:t>
      </w:r>
      <w:r>
        <w:rPr>
          <w:sz w:val="20"/>
          <w:szCs w:val="20"/>
          <w:lang w:val="fr-CA"/>
        </w:rPr>
        <w:t xml:space="preserve">Statistique </w:t>
      </w:r>
      <w:r w:rsidRPr="00553E5A">
        <w:rPr>
          <w:sz w:val="20"/>
          <w:szCs w:val="20"/>
          <w:lang w:val="fr-CA"/>
        </w:rPr>
        <w:t xml:space="preserve">Canada, </w:t>
      </w:r>
      <w:r>
        <w:rPr>
          <w:sz w:val="20"/>
          <w:szCs w:val="20"/>
          <w:lang w:val="fr-CA"/>
        </w:rPr>
        <w:t xml:space="preserve">13 novembre </w:t>
      </w:r>
      <w:r w:rsidRPr="00553E5A">
        <w:rPr>
          <w:sz w:val="20"/>
          <w:szCs w:val="20"/>
          <w:lang w:val="fr-CA"/>
        </w:rPr>
        <w:t xml:space="preserve">2014). </w:t>
      </w:r>
      <w:r>
        <w:rPr>
          <w:sz w:val="20"/>
          <w:szCs w:val="20"/>
          <w:lang w:val="fr-CA"/>
        </w:rPr>
        <w:t xml:space="preserve">Consulté en ligne </w:t>
      </w:r>
      <w:r w:rsidRPr="00553E5A">
        <w:rPr>
          <w:sz w:val="20"/>
          <w:szCs w:val="20"/>
          <w:lang w:val="fr-CA"/>
        </w:rPr>
        <w:t>: http://www.statcan.gc.ca/pub/11-630-x/11-630-x2014002-fra.htm</w:t>
      </w:r>
    </w:p>
  </w:footnote>
  <w:footnote w:id="47">
    <w:p w14:paraId="444AE88A" w14:textId="78312012" w:rsidR="009554EB" w:rsidRPr="00553E5A" w:rsidRDefault="009554EB">
      <w:pPr>
        <w:pStyle w:val="FootnoteText"/>
        <w:rPr>
          <w:sz w:val="20"/>
          <w:szCs w:val="20"/>
          <w:lang w:val="fr-CA"/>
        </w:rPr>
      </w:pPr>
      <w:r w:rsidRPr="00553E5A">
        <w:rPr>
          <w:rStyle w:val="FootnoteReference"/>
          <w:sz w:val="20"/>
          <w:szCs w:val="20"/>
          <w:lang w:val="fr-CA"/>
        </w:rPr>
        <w:footnoteRef/>
      </w:r>
      <w:r w:rsidRPr="002975EA">
        <w:rPr>
          <w:sz w:val="20"/>
          <w:szCs w:val="20"/>
          <w:lang w:val="en-US"/>
        </w:rPr>
        <w:t xml:space="preserve"> Jennifer Robson, « Parental Benefits in Canada: Which Way Forward? » </w:t>
      </w:r>
      <w:r w:rsidRPr="00553E5A">
        <w:rPr>
          <w:i/>
          <w:sz w:val="20"/>
          <w:szCs w:val="20"/>
          <w:lang w:val="fr-CA"/>
        </w:rPr>
        <w:t xml:space="preserve">IRPP </w:t>
      </w:r>
      <w:proofErr w:type="spellStart"/>
      <w:r w:rsidRPr="00553E5A">
        <w:rPr>
          <w:i/>
          <w:sz w:val="20"/>
          <w:szCs w:val="20"/>
          <w:lang w:val="fr-CA"/>
        </w:rPr>
        <w:t>Study</w:t>
      </w:r>
      <w:proofErr w:type="spellEnd"/>
      <w:r w:rsidRPr="00553E5A">
        <w:rPr>
          <w:i/>
          <w:sz w:val="20"/>
          <w:szCs w:val="20"/>
          <w:lang w:val="fr-CA"/>
        </w:rPr>
        <w:t xml:space="preserve"> 63 </w:t>
      </w:r>
      <w:r w:rsidRPr="00553E5A">
        <w:rPr>
          <w:sz w:val="20"/>
          <w:szCs w:val="20"/>
          <w:lang w:val="fr-CA"/>
        </w:rPr>
        <w:t>(</w:t>
      </w:r>
      <w:r>
        <w:rPr>
          <w:sz w:val="20"/>
          <w:szCs w:val="20"/>
          <w:lang w:val="fr-CA"/>
        </w:rPr>
        <w:t xml:space="preserve">mars </w:t>
      </w:r>
      <w:r w:rsidRPr="00553E5A">
        <w:rPr>
          <w:sz w:val="20"/>
          <w:szCs w:val="20"/>
          <w:lang w:val="fr-CA"/>
        </w:rPr>
        <w:t>2017)</w:t>
      </w:r>
      <w:r>
        <w:rPr>
          <w:sz w:val="20"/>
          <w:szCs w:val="20"/>
          <w:lang w:val="fr-CA"/>
        </w:rPr>
        <w:t> </w:t>
      </w:r>
      <w:r w:rsidRPr="00553E5A">
        <w:rPr>
          <w:sz w:val="20"/>
          <w:szCs w:val="20"/>
          <w:lang w:val="fr-CA"/>
        </w:rPr>
        <w:t xml:space="preserve">: 3-4. </w:t>
      </w:r>
      <w:r>
        <w:rPr>
          <w:sz w:val="20"/>
          <w:szCs w:val="20"/>
          <w:lang w:val="fr-CA"/>
        </w:rPr>
        <w:t xml:space="preserve">Consulté en ligne </w:t>
      </w:r>
      <w:r w:rsidRPr="00553E5A">
        <w:rPr>
          <w:sz w:val="20"/>
          <w:szCs w:val="20"/>
          <w:lang w:val="fr-CA"/>
        </w:rPr>
        <w:t xml:space="preserve">: </w:t>
      </w:r>
      <w:hyperlink r:id="rId46" w:history="1">
        <w:r w:rsidRPr="00553E5A">
          <w:rPr>
            <w:rStyle w:val="Hyperlink"/>
            <w:sz w:val="20"/>
            <w:szCs w:val="20"/>
            <w:lang w:val="fr-CA"/>
          </w:rPr>
          <w:t>http://irpp.org/wp-content/uploads/2017/03/study-no63.pdf</w:t>
        </w:r>
      </w:hyperlink>
    </w:p>
  </w:footnote>
  <w:footnote w:id="48">
    <w:p w14:paraId="6B4B784D" w14:textId="7A6B291E" w:rsidR="009554EB" w:rsidRPr="00553E5A" w:rsidRDefault="009554EB">
      <w:pPr>
        <w:pStyle w:val="FootnoteText"/>
        <w:rPr>
          <w:sz w:val="20"/>
          <w:szCs w:val="20"/>
          <w:lang w:val="fr-CA"/>
        </w:rPr>
      </w:pPr>
      <w:r w:rsidRPr="00553E5A">
        <w:rPr>
          <w:rStyle w:val="FootnoteReference"/>
          <w:sz w:val="20"/>
          <w:szCs w:val="20"/>
          <w:lang w:val="fr-CA"/>
        </w:rPr>
        <w:footnoteRef/>
      </w:r>
      <w:r w:rsidRPr="00553E5A">
        <w:rPr>
          <w:sz w:val="20"/>
          <w:szCs w:val="20"/>
          <w:lang w:val="fr-CA"/>
        </w:rPr>
        <w:t xml:space="preserve"> </w:t>
      </w:r>
      <w:proofErr w:type="spellStart"/>
      <w:r w:rsidRPr="00553E5A">
        <w:rPr>
          <w:sz w:val="20"/>
          <w:szCs w:val="20"/>
          <w:lang w:val="fr-CA"/>
        </w:rPr>
        <w:t>Meghan</w:t>
      </w:r>
      <w:proofErr w:type="spellEnd"/>
      <w:r w:rsidRPr="00553E5A">
        <w:rPr>
          <w:sz w:val="20"/>
          <w:szCs w:val="20"/>
          <w:lang w:val="fr-CA"/>
        </w:rPr>
        <w:t xml:space="preserve"> Dale, </w:t>
      </w:r>
      <w:r>
        <w:rPr>
          <w:i/>
          <w:sz w:val="20"/>
          <w:szCs w:val="20"/>
          <w:lang w:val="fr-CA"/>
        </w:rPr>
        <w:t xml:space="preserve">Les tendances de la composition selon l’âge des étudiants et des diplômés collégiaux et universitaires </w:t>
      </w:r>
      <w:r>
        <w:rPr>
          <w:sz w:val="20"/>
          <w:szCs w:val="20"/>
          <w:lang w:val="fr-CA"/>
        </w:rPr>
        <w:t xml:space="preserve">(Statistique </w:t>
      </w:r>
      <w:r w:rsidRPr="00553E5A">
        <w:rPr>
          <w:sz w:val="20"/>
          <w:szCs w:val="20"/>
          <w:lang w:val="fr-CA"/>
        </w:rPr>
        <w:t xml:space="preserve">Canada, 2010). </w:t>
      </w:r>
      <w:r>
        <w:rPr>
          <w:sz w:val="20"/>
          <w:szCs w:val="20"/>
          <w:lang w:val="fr-CA"/>
        </w:rPr>
        <w:t xml:space="preserve">Consulté en ligne : </w:t>
      </w:r>
      <w:r w:rsidRPr="0013399C">
        <w:rPr>
          <w:sz w:val="20"/>
          <w:szCs w:val="20"/>
          <w:lang w:val="fr-CA"/>
        </w:rPr>
        <w:t>http://www.statcan.gc.ca/pub/81-004-x/2010005/article/11386-fra.htm</w:t>
      </w:r>
      <w:r w:rsidRPr="00553E5A">
        <w:rPr>
          <w:i/>
          <w:sz w:val="20"/>
          <w:szCs w:val="20"/>
          <w:lang w:val="fr-CA"/>
        </w:rPr>
        <w:t xml:space="preserve">; </w:t>
      </w:r>
      <w:r w:rsidRPr="00653442">
        <w:rPr>
          <w:rFonts w:asciiTheme="majorHAnsi" w:hAnsiTheme="majorHAnsi"/>
          <w:i/>
          <w:sz w:val="20"/>
          <w:szCs w:val="20"/>
          <w:lang w:val="fr-CA"/>
        </w:rPr>
        <w:t xml:space="preserve">Enquête de 2015 auprès des étudiants de dernière année : Rapport </w:t>
      </w:r>
      <w:r>
        <w:rPr>
          <w:rFonts w:asciiTheme="majorHAnsi" w:hAnsiTheme="majorHAnsi"/>
          <w:i/>
          <w:sz w:val="20"/>
          <w:szCs w:val="20"/>
          <w:lang w:val="fr-CA"/>
        </w:rPr>
        <w:t xml:space="preserve">général </w:t>
      </w:r>
      <w:r w:rsidRPr="00653442">
        <w:rPr>
          <w:rFonts w:asciiTheme="majorHAnsi" w:hAnsiTheme="majorHAnsi"/>
          <w:sz w:val="20"/>
          <w:szCs w:val="20"/>
          <w:lang w:val="fr-CA"/>
        </w:rPr>
        <w:t>(</w:t>
      </w:r>
      <w:r>
        <w:rPr>
          <w:rFonts w:asciiTheme="majorHAnsi" w:hAnsiTheme="majorHAnsi"/>
          <w:sz w:val="20"/>
          <w:szCs w:val="20"/>
          <w:lang w:val="fr-CA"/>
        </w:rPr>
        <w:t>Consortium canadien de recherche sur les étudiants universitaires, juillet 2015)</w:t>
      </w:r>
      <w:r w:rsidRPr="00653442">
        <w:rPr>
          <w:rFonts w:asciiTheme="majorHAnsi" w:hAnsiTheme="majorHAnsi"/>
          <w:sz w:val="20"/>
          <w:szCs w:val="20"/>
          <w:lang w:val="fr-CA"/>
        </w:rPr>
        <w:t xml:space="preserve">. </w:t>
      </w:r>
      <w:r>
        <w:rPr>
          <w:rFonts w:asciiTheme="majorHAnsi" w:hAnsiTheme="majorHAnsi"/>
          <w:sz w:val="20"/>
          <w:szCs w:val="20"/>
          <w:lang w:val="fr-CA"/>
        </w:rPr>
        <w:t>Consulté en ligne </w:t>
      </w:r>
      <w:r w:rsidRPr="00653442">
        <w:rPr>
          <w:rFonts w:asciiTheme="majorHAnsi" w:hAnsiTheme="majorHAnsi"/>
          <w:sz w:val="20"/>
          <w:szCs w:val="20"/>
          <w:lang w:val="fr-CA"/>
        </w:rPr>
        <w:t xml:space="preserve">: </w:t>
      </w:r>
      <w:hyperlink r:id="rId47" w:history="1">
        <w:r>
          <w:rPr>
            <w:rStyle w:val="Hyperlink"/>
            <w:rFonts w:asciiTheme="majorHAnsi" w:hAnsiTheme="majorHAnsi"/>
            <w:sz w:val="20"/>
            <w:szCs w:val="20"/>
            <w:lang w:val="fr-CA"/>
          </w:rPr>
          <w:t>http://www.cusc-ccreu.ca/CUSC_2015_Graduating_Master_Report_French.pdf</w:t>
        </w:r>
      </w:hyperlink>
    </w:p>
  </w:footnote>
  <w:footnote w:id="49">
    <w:p w14:paraId="74A0F3F5" w14:textId="1EE6A064" w:rsidR="009554EB" w:rsidRPr="00553E5A" w:rsidRDefault="009554EB">
      <w:pPr>
        <w:pStyle w:val="FootnoteText"/>
        <w:rPr>
          <w:sz w:val="20"/>
          <w:szCs w:val="20"/>
          <w:lang w:val="fr-CA"/>
        </w:rPr>
      </w:pPr>
      <w:r w:rsidRPr="00553E5A">
        <w:rPr>
          <w:rStyle w:val="FootnoteReference"/>
          <w:sz w:val="20"/>
          <w:szCs w:val="20"/>
          <w:lang w:val="fr-CA"/>
        </w:rPr>
        <w:footnoteRef/>
      </w:r>
      <w:r w:rsidRPr="00553E5A">
        <w:rPr>
          <w:sz w:val="20"/>
          <w:szCs w:val="20"/>
          <w:lang w:val="fr-CA"/>
        </w:rPr>
        <w:t xml:space="preserve"> </w:t>
      </w:r>
      <w:r>
        <w:rPr>
          <w:i/>
          <w:sz w:val="20"/>
          <w:szCs w:val="20"/>
          <w:lang w:val="fr-CA"/>
        </w:rPr>
        <w:t xml:space="preserve">RAFEO Outil d’estimation de remboursement </w:t>
      </w:r>
      <w:r w:rsidRPr="00553E5A">
        <w:rPr>
          <w:sz w:val="20"/>
          <w:szCs w:val="20"/>
          <w:lang w:val="fr-CA"/>
        </w:rPr>
        <w:t>(</w:t>
      </w:r>
      <w:r>
        <w:rPr>
          <w:sz w:val="20"/>
          <w:szCs w:val="20"/>
          <w:lang w:val="fr-CA"/>
        </w:rPr>
        <w:t>Régime d’aide financière aux étudiantes et étudiants de l’Ontario</w:t>
      </w:r>
      <w:r w:rsidRPr="00553E5A">
        <w:rPr>
          <w:sz w:val="20"/>
          <w:szCs w:val="20"/>
          <w:lang w:val="fr-CA"/>
        </w:rPr>
        <w:t xml:space="preserve">). </w:t>
      </w:r>
      <w:r>
        <w:rPr>
          <w:sz w:val="20"/>
          <w:szCs w:val="20"/>
          <w:lang w:val="fr-CA"/>
        </w:rPr>
        <w:t xml:space="preserve">Consulté en ligne </w:t>
      </w:r>
      <w:r w:rsidRPr="00553E5A">
        <w:rPr>
          <w:sz w:val="20"/>
          <w:szCs w:val="20"/>
          <w:lang w:val="fr-CA"/>
        </w:rPr>
        <w:t xml:space="preserve">: </w:t>
      </w:r>
      <w:hyperlink r:id="rId48" w:history="1">
        <w:r>
          <w:rPr>
            <w:rStyle w:val="Hyperlink"/>
            <w:sz w:val="20"/>
            <w:szCs w:val="20"/>
            <w:lang w:val="fr-CA"/>
          </w:rPr>
          <w:t>https://osap.gov.on.ca/AidEstimator1718Web/enterapp/debt_calculator.xhtml?commonTask=Y</w:t>
        </w:r>
      </w:hyperlink>
      <w:r w:rsidRPr="00553E5A">
        <w:rPr>
          <w:sz w:val="20"/>
          <w:szCs w:val="20"/>
          <w:lang w:val="fr-CA"/>
        </w:rPr>
        <w:t xml:space="preserve">; </w:t>
      </w:r>
      <w:r>
        <w:rPr>
          <w:i/>
          <w:sz w:val="20"/>
          <w:szCs w:val="20"/>
          <w:lang w:val="fr-CA"/>
        </w:rPr>
        <w:t>Prêts d’études, révision des modalités</w:t>
      </w:r>
      <w:r w:rsidRPr="00553E5A">
        <w:rPr>
          <w:i/>
          <w:sz w:val="20"/>
          <w:szCs w:val="20"/>
          <w:lang w:val="fr-CA"/>
        </w:rPr>
        <w:t xml:space="preserve"> </w:t>
      </w:r>
      <w:r w:rsidRPr="00553E5A">
        <w:rPr>
          <w:sz w:val="20"/>
          <w:szCs w:val="20"/>
          <w:lang w:val="fr-CA"/>
        </w:rPr>
        <w:t>(</w:t>
      </w:r>
      <w:r>
        <w:rPr>
          <w:sz w:val="20"/>
          <w:szCs w:val="20"/>
          <w:lang w:val="fr-CA"/>
        </w:rPr>
        <w:t>Emploi et Développement social Canada</w:t>
      </w:r>
      <w:r w:rsidRPr="00553E5A">
        <w:rPr>
          <w:sz w:val="20"/>
          <w:szCs w:val="20"/>
          <w:lang w:val="fr-CA"/>
        </w:rPr>
        <w:t xml:space="preserve">). </w:t>
      </w:r>
      <w:r>
        <w:rPr>
          <w:sz w:val="20"/>
          <w:szCs w:val="20"/>
          <w:lang w:val="fr-CA"/>
        </w:rPr>
        <w:t>Consulté en ligne </w:t>
      </w:r>
      <w:r w:rsidRPr="00553E5A">
        <w:rPr>
          <w:sz w:val="20"/>
          <w:szCs w:val="20"/>
          <w:lang w:val="fr-CA"/>
        </w:rPr>
        <w:t xml:space="preserve">: </w:t>
      </w:r>
      <w:hyperlink r:id="rId49" w:history="1">
        <w:r>
          <w:rPr>
            <w:rStyle w:val="Hyperlink"/>
            <w:sz w:val="20"/>
            <w:szCs w:val="20"/>
            <w:lang w:val="fr-CA"/>
          </w:rPr>
          <w:t>https://www.canada.ca/fr/emploi-developpement-social/services/education/termes-revision.html-financial-aid/student-loan/student-loans/pay-back/revision-terms.html?wbdisable=true</w:t>
        </w:r>
      </w:hyperlink>
    </w:p>
  </w:footnote>
  <w:footnote w:id="50">
    <w:p w14:paraId="640C9D63" w14:textId="23D57E85" w:rsidR="009554EB" w:rsidRPr="005C7E28" w:rsidRDefault="009554EB">
      <w:pPr>
        <w:pStyle w:val="FootnoteText"/>
        <w:rPr>
          <w:sz w:val="20"/>
          <w:szCs w:val="20"/>
          <w:lang w:val="fr-CA"/>
        </w:rPr>
      </w:pPr>
      <w:r w:rsidRPr="009805B0">
        <w:rPr>
          <w:rStyle w:val="FootnoteReference"/>
          <w:sz w:val="20"/>
          <w:szCs w:val="20"/>
        </w:rPr>
        <w:footnoteRef/>
      </w:r>
      <w:r w:rsidRPr="002975EA">
        <w:rPr>
          <w:sz w:val="20"/>
          <w:szCs w:val="20"/>
          <w:lang w:val="fr-CA"/>
        </w:rPr>
        <w:t xml:space="preserve"> </w:t>
      </w:r>
      <w:proofErr w:type="spellStart"/>
      <w:r w:rsidRPr="005C7E28">
        <w:rPr>
          <w:sz w:val="20"/>
          <w:szCs w:val="20"/>
          <w:lang w:val="fr-CA"/>
        </w:rPr>
        <w:t>Leanne</w:t>
      </w:r>
      <w:proofErr w:type="spellEnd"/>
      <w:r w:rsidRPr="005C7E28">
        <w:rPr>
          <w:sz w:val="20"/>
          <w:szCs w:val="20"/>
          <w:lang w:val="fr-CA"/>
        </w:rPr>
        <w:t xml:space="preserve"> C. Findlay et </w:t>
      </w:r>
      <w:proofErr w:type="spellStart"/>
      <w:r w:rsidRPr="005C7E28">
        <w:rPr>
          <w:sz w:val="20"/>
          <w:szCs w:val="20"/>
          <w:lang w:val="fr-CA"/>
        </w:rPr>
        <w:t>Dafna</w:t>
      </w:r>
      <w:proofErr w:type="spellEnd"/>
      <w:r w:rsidRPr="005C7E28">
        <w:rPr>
          <w:sz w:val="20"/>
          <w:szCs w:val="20"/>
          <w:lang w:val="fr-CA"/>
        </w:rPr>
        <w:t xml:space="preserve"> E. </w:t>
      </w:r>
      <w:proofErr w:type="spellStart"/>
      <w:r w:rsidRPr="005C7E28">
        <w:rPr>
          <w:sz w:val="20"/>
          <w:szCs w:val="20"/>
          <w:lang w:val="fr-CA"/>
        </w:rPr>
        <w:t>Kohen</w:t>
      </w:r>
      <w:proofErr w:type="spellEnd"/>
      <w:r w:rsidRPr="005C7E28">
        <w:rPr>
          <w:sz w:val="20"/>
          <w:szCs w:val="20"/>
          <w:lang w:val="fr-CA"/>
        </w:rPr>
        <w:t xml:space="preserve">, </w:t>
      </w:r>
      <w:r w:rsidRPr="005C7E28">
        <w:rPr>
          <w:i/>
          <w:sz w:val="20"/>
          <w:szCs w:val="20"/>
          <w:lang w:val="fr-CA"/>
        </w:rPr>
        <w:t xml:space="preserve">Pratiques relatives </w:t>
      </w:r>
      <w:r>
        <w:rPr>
          <w:i/>
          <w:sz w:val="20"/>
          <w:szCs w:val="20"/>
          <w:lang w:val="fr-CA"/>
        </w:rPr>
        <w:t xml:space="preserve">aux congés des parents après la naissance ou l’adoption de jeunes enfants </w:t>
      </w:r>
      <w:r>
        <w:rPr>
          <w:sz w:val="20"/>
          <w:szCs w:val="20"/>
          <w:lang w:val="fr-CA"/>
        </w:rPr>
        <w:t>(Statistique</w:t>
      </w:r>
      <w:r w:rsidRPr="005C7E28">
        <w:rPr>
          <w:sz w:val="20"/>
          <w:szCs w:val="20"/>
          <w:lang w:val="fr-CA"/>
        </w:rPr>
        <w:t xml:space="preserve"> Canada, 2012). </w:t>
      </w:r>
      <w:proofErr w:type="spellStart"/>
      <w:r w:rsidRPr="002975EA">
        <w:rPr>
          <w:sz w:val="20"/>
          <w:szCs w:val="20"/>
          <w:lang w:val="en-US"/>
        </w:rPr>
        <w:t>Consulté</w:t>
      </w:r>
      <w:proofErr w:type="spellEnd"/>
      <w:r w:rsidRPr="002975EA">
        <w:rPr>
          <w:sz w:val="20"/>
          <w:szCs w:val="20"/>
          <w:lang w:val="en-US"/>
        </w:rPr>
        <w:t xml:space="preserve"> </w:t>
      </w:r>
      <w:proofErr w:type="spellStart"/>
      <w:r w:rsidRPr="002975EA">
        <w:rPr>
          <w:sz w:val="20"/>
          <w:szCs w:val="20"/>
          <w:lang w:val="en-US"/>
        </w:rPr>
        <w:t>en</w:t>
      </w:r>
      <w:proofErr w:type="spellEnd"/>
      <w:r w:rsidRPr="002975EA">
        <w:rPr>
          <w:sz w:val="20"/>
          <w:szCs w:val="20"/>
          <w:lang w:val="en-US"/>
        </w:rPr>
        <w:t xml:space="preserve"> </w:t>
      </w:r>
      <w:proofErr w:type="spellStart"/>
      <w:proofErr w:type="gramStart"/>
      <w:r w:rsidRPr="002975EA">
        <w:rPr>
          <w:sz w:val="20"/>
          <w:szCs w:val="20"/>
          <w:lang w:val="en-US"/>
        </w:rPr>
        <w:t>ligne</w:t>
      </w:r>
      <w:proofErr w:type="spellEnd"/>
      <w:r w:rsidRPr="002975EA">
        <w:rPr>
          <w:sz w:val="20"/>
          <w:szCs w:val="20"/>
          <w:lang w:val="en-US"/>
        </w:rPr>
        <w:t xml:space="preserve"> :</w:t>
      </w:r>
      <w:proofErr w:type="gramEnd"/>
      <w:r w:rsidRPr="002975EA">
        <w:rPr>
          <w:sz w:val="20"/>
          <w:szCs w:val="20"/>
          <w:lang w:val="en-US"/>
        </w:rPr>
        <w:t xml:space="preserve"> </w:t>
      </w:r>
      <w:hyperlink r:id="rId50" w:history="1">
        <w:r w:rsidRPr="002975EA">
          <w:rPr>
            <w:rStyle w:val="Hyperlink"/>
            <w:sz w:val="20"/>
            <w:szCs w:val="20"/>
            <w:lang w:val="en-US"/>
          </w:rPr>
          <w:t>http://www.statcan.gc.ca/pub/11-008-x/2012002/article/11697-fra.htm</w:t>
        </w:r>
      </w:hyperlink>
      <w:r w:rsidRPr="002975EA">
        <w:rPr>
          <w:rStyle w:val="Hyperlink"/>
          <w:sz w:val="20"/>
          <w:szCs w:val="20"/>
          <w:lang w:val="en-US"/>
        </w:rPr>
        <w:t xml:space="preserve">; </w:t>
      </w:r>
      <w:r w:rsidRPr="002975EA">
        <w:rPr>
          <w:sz w:val="20"/>
          <w:szCs w:val="20"/>
          <w:lang w:val="en-US"/>
        </w:rPr>
        <w:t xml:space="preserve">Jennifer Robson, « Parental Benefits in Canada: Which Way Forward? » </w:t>
      </w:r>
      <w:r w:rsidRPr="005C7E28">
        <w:rPr>
          <w:i/>
          <w:sz w:val="20"/>
          <w:szCs w:val="20"/>
          <w:lang w:val="fr-CA"/>
        </w:rPr>
        <w:t xml:space="preserve">IRPP </w:t>
      </w:r>
      <w:proofErr w:type="spellStart"/>
      <w:r w:rsidRPr="005C7E28">
        <w:rPr>
          <w:i/>
          <w:sz w:val="20"/>
          <w:szCs w:val="20"/>
          <w:lang w:val="fr-CA"/>
        </w:rPr>
        <w:t>Study</w:t>
      </w:r>
      <w:proofErr w:type="spellEnd"/>
      <w:r w:rsidRPr="005C7E28">
        <w:rPr>
          <w:i/>
          <w:sz w:val="20"/>
          <w:szCs w:val="20"/>
          <w:lang w:val="fr-CA"/>
        </w:rPr>
        <w:t xml:space="preserve"> 63 </w:t>
      </w:r>
      <w:r w:rsidRPr="005C7E28">
        <w:rPr>
          <w:sz w:val="20"/>
          <w:szCs w:val="20"/>
          <w:lang w:val="fr-CA"/>
        </w:rPr>
        <w:t>(</w:t>
      </w:r>
      <w:r>
        <w:rPr>
          <w:sz w:val="20"/>
          <w:szCs w:val="20"/>
          <w:lang w:val="fr-CA"/>
        </w:rPr>
        <w:t xml:space="preserve">mars </w:t>
      </w:r>
      <w:r w:rsidRPr="005C7E28">
        <w:rPr>
          <w:sz w:val="20"/>
          <w:szCs w:val="20"/>
          <w:lang w:val="fr-CA"/>
        </w:rPr>
        <w:t xml:space="preserve">2017): 4. </w:t>
      </w:r>
      <w:r>
        <w:rPr>
          <w:sz w:val="20"/>
          <w:szCs w:val="20"/>
          <w:lang w:val="fr-CA"/>
        </w:rPr>
        <w:t>Consulté en ligne </w:t>
      </w:r>
      <w:r w:rsidRPr="005C7E28">
        <w:rPr>
          <w:sz w:val="20"/>
          <w:szCs w:val="20"/>
          <w:lang w:val="fr-CA"/>
        </w:rPr>
        <w:t xml:space="preserve">: </w:t>
      </w:r>
      <w:hyperlink r:id="rId51" w:history="1">
        <w:r w:rsidRPr="005C7E28">
          <w:rPr>
            <w:rStyle w:val="Hyperlink"/>
            <w:sz w:val="20"/>
            <w:szCs w:val="20"/>
            <w:lang w:val="fr-CA"/>
          </w:rPr>
          <w:t>http://irpp.org/wp-content/uploads/2017/03/study-no63.pdf</w:t>
        </w:r>
      </w:hyperlink>
    </w:p>
  </w:footnote>
  <w:footnote w:id="51">
    <w:p w14:paraId="29790C30" w14:textId="02609D80" w:rsidR="009554EB" w:rsidRPr="005C7E28" w:rsidRDefault="009554EB">
      <w:pPr>
        <w:pStyle w:val="FootnoteText"/>
        <w:rPr>
          <w:sz w:val="20"/>
          <w:szCs w:val="20"/>
          <w:lang w:val="fr-CA"/>
        </w:rPr>
      </w:pPr>
      <w:r w:rsidRPr="005C7E28">
        <w:rPr>
          <w:rStyle w:val="FootnoteReference"/>
          <w:sz w:val="20"/>
          <w:szCs w:val="20"/>
          <w:lang w:val="fr-CA"/>
        </w:rPr>
        <w:footnoteRef/>
      </w:r>
      <w:r w:rsidRPr="002975EA">
        <w:rPr>
          <w:sz w:val="20"/>
          <w:szCs w:val="20"/>
          <w:lang w:val="en-US"/>
        </w:rPr>
        <w:t xml:space="preserve"> Alex Usher, </w:t>
      </w:r>
      <w:r w:rsidRPr="002975EA">
        <w:rPr>
          <w:i/>
          <w:sz w:val="20"/>
          <w:szCs w:val="20"/>
          <w:lang w:val="en-US"/>
        </w:rPr>
        <w:t xml:space="preserve">Comparing International Student Loan Repayment Plans </w:t>
      </w:r>
      <w:r w:rsidRPr="002975EA">
        <w:rPr>
          <w:sz w:val="20"/>
          <w:szCs w:val="20"/>
          <w:lang w:val="en-US"/>
        </w:rPr>
        <w:t xml:space="preserve">(Higher Education Strategy Associates, 30 novembre 30 2016). </w:t>
      </w:r>
      <w:r>
        <w:rPr>
          <w:sz w:val="20"/>
          <w:szCs w:val="20"/>
          <w:lang w:val="fr-CA"/>
        </w:rPr>
        <w:t xml:space="preserve">Consulté en ligne : </w:t>
      </w:r>
      <w:r w:rsidRPr="005C7E28">
        <w:rPr>
          <w:sz w:val="20"/>
          <w:szCs w:val="20"/>
          <w:lang w:val="fr-CA"/>
        </w:rPr>
        <w:t>http://higheredstrategy.com/comparing-international-student-loan-repayment-plans/</w:t>
      </w:r>
    </w:p>
  </w:footnote>
  <w:footnote w:id="52">
    <w:p w14:paraId="18B2CA1D" w14:textId="178CC635" w:rsidR="009554EB" w:rsidRPr="005C7E28" w:rsidRDefault="009554EB">
      <w:pPr>
        <w:pStyle w:val="FootnoteText"/>
        <w:rPr>
          <w:lang w:val="fr-CA"/>
        </w:rPr>
      </w:pPr>
      <w:r w:rsidRPr="005C7E28">
        <w:rPr>
          <w:rStyle w:val="FootnoteReference"/>
          <w:lang w:val="fr-CA"/>
        </w:rPr>
        <w:footnoteRef/>
      </w:r>
      <w:r w:rsidRPr="002975EA">
        <w:rPr>
          <w:lang w:val="en-US"/>
        </w:rPr>
        <w:t xml:space="preserve"> </w:t>
      </w:r>
      <w:r w:rsidRPr="002975EA">
        <w:rPr>
          <w:sz w:val="20"/>
          <w:szCs w:val="20"/>
          <w:lang w:val="en-US"/>
        </w:rPr>
        <w:t xml:space="preserve">Jennifer Robson, « Parental Benefits in Canada: Which Way Forward? » </w:t>
      </w:r>
      <w:r w:rsidRPr="005C7E28">
        <w:rPr>
          <w:i/>
          <w:sz w:val="20"/>
          <w:szCs w:val="20"/>
          <w:lang w:val="fr-CA"/>
        </w:rPr>
        <w:t xml:space="preserve">IRPP </w:t>
      </w:r>
      <w:proofErr w:type="spellStart"/>
      <w:r w:rsidRPr="005C7E28">
        <w:rPr>
          <w:i/>
          <w:sz w:val="20"/>
          <w:szCs w:val="20"/>
          <w:lang w:val="fr-CA"/>
        </w:rPr>
        <w:t>Study</w:t>
      </w:r>
      <w:proofErr w:type="spellEnd"/>
      <w:r w:rsidRPr="005C7E28">
        <w:rPr>
          <w:i/>
          <w:sz w:val="20"/>
          <w:szCs w:val="20"/>
          <w:lang w:val="fr-CA"/>
        </w:rPr>
        <w:t xml:space="preserve"> 63 </w:t>
      </w:r>
      <w:r w:rsidRPr="005C7E28">
        <w:rPr>
          <w:sz w:val="20"/>
          <w:szCs w:val="20"/>
          <w:lang w:val="fr-CA"/>
        </w:rPr>
        <w:t>(</w:t>
      </w:r>
      <w:r>
        <w:rPr>
          <w:sz w:val="20"/>
          <w:szCs w:val="20"/>
          <w:lang w:val="fr-CA"/>
        </w:rPr>
        <w:t xml:space="preserve">mars </w:t>
      </w:r>
      <w:r w:rsidRPr="005C7E28">
        <w:rPr>
          <w:sz w:val="20"/>
          <w:szCs w:val="20"/>
          <w:lang w:val="fr-CA"/>
        </w:rPr>
        <w:t>2017)</w:t>
      </w:r>
      <w:r>
        <w:rPr>
          <w:sz w:val="20"/>
          <w:szCs w:val="20"/>
          <w:lang w:val="fr-CA"/>
        </w:rPr>
        <w:t> </w:t>
      </w:r>
      <w:r w:rsidRPr="005C7E28">
        <w:rPr>
          <w:sz w:val="20"/>
          <w:szCs w:val="20"/>
          <w:lang w:val="fr-CA"/>
        </w:rPr>
        <w:t xml:space="preserve">: </w:t>
      </w:r>
      <w:r>
        <w:rPr>
          <w:sz w:val="20"/>
          <w:szCs w:val="20"/>
          <w:lang w:val="fr-CA"/>
        </w:rPr>
        <w:t>3-4.</w:t>
      </w:r>
      <w:r w:rsidRPr="005C7E28">
        <w:rPr>
          <w:sz w:val="20"/>
          <w:szCs w:val="20"/>
          <w:lang w:val="fr-CA"/>
        </w:rPr>
        <w:t xml:space="preserve"> </w:t>
      </w:r>
      <w:r>
        <w:rPr>
          <w:sz w:val="20"/>
          <w:szCs w:val="20"/>
          <w:lang w:val="fr-CA"/>
        </w:rPr>
        <w:t>Consulté en ligne </w:t>
      </w:r>
      <w:r w:rsidRPr="005C7E28">
        <w:rPr>
          <w:sz w:val="20"/>
          <w:szCs w:val="20"/>
          <w:lang w:val="fr-CA"/>
        </w:rPr>
        <w:t xml:space="preserve">: </w:t>
      </w:r>
      <w:hyperlink r:id="rId52" w:history="1">
        <w:r w:rsidRPr="005C7E28">
          <w:rPr>
            <w:rStyle w:val="Hyperlink"/>
            <w:sz w:val="20"/>
            <w:szCs w:val="20"/>
            <w:lang w:val="fr-CA"/>
          </w:rPr>
          <w:t>http://irpp.org/wp-content/uploads/2017/03/study-no63.pdf</w:t>
        </w:r>
      </w:hyperlink>
    </w:p>
  </w:footnote>
  <w:footnote w:id="53">
    <w:p w14:paraId="770D29C0" w14:textId="1CF9A3C8" w:rsidR="009554EB" w:rsidRPr="00081B2A" w:rsidRDefault="009554EB" w:rsidP="009D2F1F">
      <w:pPr>
        <w:pStyle w:val="FootnoteText"/>
        <w:rPr>
          <w:sz w:val="20"/>
          <w:szCs w:val="20"/>
          <w:lang w:val="fr-CA"/>
        </w:rPr>
      </w:pPr>
      <w:r w:rsidRPr="005C7E28">
        <w:rPr>
          <w:rStyle w:val="FootnoteReference"/>
          <w:rFonts w:asciiTheme="majorHAnsi" w:hAnsiTheme="majorHAnsi"/>
          <w:sz w:val="20"/>
          <w:szCs w:val="20"/>
          <w:lang w:val="fr-CA"/>
        </w:rPr>
        <w:footnoteRef/>
      </w:r>
      <w:r w:rsidRPr="005C7E28">
        <w:rPr>
          <w:rFonts w:asciiTheme="majorHAnsi" w:hAnsiTheme="majorHAnsi"/>
          <w:sz w:val="20"/>
          <w:szCs w:val="20"/>
          <w:lang w:val="fr-CA"/>
        </w:rPr>
        <w:t xml:space="preserve"> </w:t>
      </w:r>
      <w:r>
        <w:rPr>
          <w:rFonts w:asciiTheme="majorHAnsi" w:hAnsiTheme="majorHAnsi"/>
          <w:i/>
          <w:sz w:val="20"/>
          <w:szCs w:val="20"/>
          <w:lang w:val="fr-CA"/>
        </w:rPr>
        <w:t xml:space="preserve">Rapport annuel : Programme canadien de prêts aux étudiants </w:t>
      </w:r>
      <w:r w:rsidRPr="00953E5F">
        <w:rPr>
          <w:rFonts w:asciiTheme="majorHAnsi" w:hAnsiTheme="majorHAnsi"/>
          <w:i/>
          <w:sz w:val="20"/>
          <w:szCs w:val="20"/>
          <w:lang w:val="fr-CA"/>
        </w:rPr>
        <w:t xml:space="preserve">2012-2013 </w:t>
      </w:r>
      <w:r w:rsidRPr="00953E5F">
        <w:rPr>
          <w:rFonts w:asciiTheme="majorHAnsi" w:hAnsiTheme="majorHAnsi"/>
          <w:sz w:val="20"/>
          <w:szCs w:val="20"/>
          <w:lang w:val="fr-CA"/>
        </w:rPr>
        <w:t>(Ottawa</w:t>
      </w:r>
      <w:r>
        <w:rPr>
          <w:rFonts w:asciiTheme="majorHAnsi" w:hAnsiTheme="majorHAnsi"/>
          <w:sz w:val="20"/>
          <w:szCs w:val="20"/>
          <w:lang w:val="fr-CA"/>
        </w:rPr>
        <w:t xml:space="preserve"> </w:t>
      </w:r>
      <w:r w:rsidRPr="00953E5F">
        <w:rPr>
          <w:rFonts w:asciiTheme="majorHAnsi" w:hAnsiTheme="majorHAnsi"/>
          <w:sz w:val="20"/>
          <w:szCs w:val="20"/>
          <w:lang w:val="fr-CA"/>
        </w:rPr>
        <w:t xml:space="preserve">: </w:t>
      </w:r>
      <w:r>
        <w:rPr>
          <w:rFonts w:asciiTheme="majorHAnsi" w:hAnsiTheme="majorHAnsi"/>
          <w:sz w:val="20"/>
          <w:szCs w:val="20"/>
          <w:lang w:val="fr-CA"/>
        </w:rPr>
        <w:t>Emploi et Développement social Canada, 2014</w:t>
      </w:r>
      <w:r w:rsidRPr="00953E5F">
        <w:rPr>
          <w:rFonts w:asciiTheme="majorHAnsi" w:hAnsiTheme="majorHAnsi"/>
          <w:sz w:val="20"/>
          <w:szCs w:val="20"/>
          <w:lang w:val="fr-CA"/>
        </w:rPr>
        <w:t>)</w:t>
      </w:r>
      <w:r w:rsidRPr="00953E5F">
        <w:rPr>
          <w:rFonts w:asciiTheme="majorHAnsi" w:hAnsiTheme="majorHAnsi"/>
          <w:i/>
          <w:sz w:val="20"/>
          <w:szCs w:val="20"/>
          <w:lang w:val="fr-CA"/>
        </w:rPr>
        <w:t xml:space="preserve">. </w:t>
      </w:r>
      <w:r>
        <w:rPr>
          <w:rFonts w:asciiTheme="majorHAnsi" w:hAnsiTheme="majorHAnsi"/>
          <w:sz w:val="20"/>
          <w:szCs w:val="20"/>
          <w:lang w:val="fr-CA"/>
        </w:rPr>
        <w:t>Consulté en ligne </w:t>
      </w:r>
      <w:r w:rsidRPr="00953E5F">
        <w:rPr>
          <w:rFonts w:asciiTheme="majorHAnsi" w:hAnsiTheme="majorHAnsi"/>
          <w:sz w:val="20"/>
          <w:szCs w:val="20"/>
          <w:lang w:val="fr-CA"/>
        </w:rPr>
        <w:t>:</w:t>
      </w:r>
      <w:r w:rsidRPr="00953E5F">
        <w:rPr>
          <w:rFonts w:asciiTheme="majorHAnsi" w:hAnsiTheme="majorHAnsi"/>
          <w:i/>
          <w:sz w:val="20"/>
          <w:szCs w:val="20"/>
          <w:lang w:val="fr-CA"/>
        </w:rPr>
        <w:t xml:space="preserve"> </w:t>
      </w:r>
      <w:hyperlink r:id="rId53" w:history="1">
        <w:r w:rsidRPr="00081B2A">
          <w:rPr>
            <w:rStyle w:val="Hyperlink"/>
            <w:rFonts w:asciiTheme="majorHAnsi" w:hAnsiTheme="majorHAnsi"/>
            <w:i/>
            <w:sz w:val="20"/>
            <w:szCs w:val="20"/>
            <w:lang w:val="fr-CA"/>
          </w:rPr>
          <w:t>https://www.canada.ca/fr/emploi-developpement-social/programmes/prets-bourses-canadiens-etudiants/rapports/pcpe-2013.html</w:t>
        </w:r>
      </w:hyperlink>
      <w:r w:rsidRPr="00081B2A">
        <w:rPr>
          <w:rFonts w:asciiTheme="majorHAnsi" w:hAnsiTheme="majorHAnsi"/>
          <w:sz w:val="20"/>
          <w:szCs w:val="20"/>
          <w:lang w:val="fr-CA"/>
        </w:rPr>
        <w:t xml:space="preserve">; </w:t>
      </w:r>
      <w:r w:rsidRPr="00081B2A">
        <w:rPr>
          <w:rFonts w:asciiTheme="majorHAnsi" w:hAnsiTheme="majorHAnsi"/>
          <w:i/>
          <w:sz w:val="20"/>
          <w:szCs w:val="20"/>
          <w:lang w:val="fr-CA"/>
        </w:rPr>
        <w:t>Programme canadien de prêts aux é</w:t>
      </w:r>
      <w:r>
        <w:rPr>
          <w:rFonts w:asciiTheme="majorHAnsi" w:hAnsiTheme="majorHAnsi"/>
          <w:i/>
          <w:sz w:val="20"/>
          <w:szCs w:val="20"/>
          <w:lang w:val="fr-CA"/>
        </w:rPr>
        <w:t xml:space="preserve">tudiants : rapport annuel </w:t>
      </w:r>
      <w:r w:rsidRPr="00081B2A">
        <w:rPr>
          <w:rFonts w:asciiTheme="majorHAnsi" w:hAnsiTheme="majorHAnsi"/>
          <w:i/>
          <w:sz w:val="20"/>
          <w:szCs w:val="20"/>
          <w:lang w:val="fr-CA"/>
        </w:rPr>
        <w:t xml:space="preserve">2013-2014 </w:t>
      </w:r>
      <w:r w:rsidRPr="00081B2A">
        <w:rPr>
          <w:rFonts w:asciiTheme="majorHAnsi" w:hAnsiTheme="majorHAnsi"/>
          <w:sz w:val="20"/>
          <w:szCs w:val="20"/>
          <w:lang w:val="fr-CA"/>
        </w:rPr>
        <w:t>(Ottawa</w:t>
      </w:r>
      <w:r>
        <w:rPr>
          <w:rFonts w:asciiTheme="majorHAnsi" w:hAnsiTheme="majorHAnsi"/>
          <w:sz w:val="20"/>
          <w:szCs w:val="20"/>
          <w:lang w:val="fr-CA"/>
        </w:rPr>
        <w:t xml:space="preserve"> </w:t>
      </w:r>
      <w:r w:rsidRPr="00081B2A">
        <w:rPr>
          <w:rFonts w:asciiTheme="majorHAnsi" w:hAnsiTheme="majorHAnsi"/>
          <w:sz w:val="20"/>
          <w:szCs w:val="20"/>
          <w:lang w:val="fr-CA"/>
        </w:rPr>
        <w:t xml:space="preserve">: </w:t>
      </w:r>
      <w:r>
        <w:rPr>
          <w:rFonts w:asciiTheme="majorHAnsi" w:hAnsiTheme="majorHAnsi"/>
          <w:sz w:val="20"/>
          <w:szCs w:val="20"/>
          <w:lang w:val="fr-CA"/>
        </w:rPr>
        <w:t xml:space="preserve">Emploi et Développement social Canada, </w:t>
      </w:r>
      <w:r w:rsidRPr="00081B2A">
        <w:rPr>
          <w:rFonts w:asciiTheme="majorHAnsi" w:hAnsiTheme="majorHAnsi"/>
          <w:sz w:val="20"/>
          <w:szCs w:val="20"/>
          <w:lang w:val="fr-CA"/>
        </w:rPr>
        <w:t xml:space="preserve">2016). </w:t>
      </w:r>
      <w:r>
        <w:rPr>
          <w:rFonts w:asciiTheme="majorHAnsi" w:hAnsiTheme="majorHAnsi"/>
          <w:sz w:val="20"/>
          <w:szCs w:val="20"/>
          <w:lang w:val="fr-CA"/>
        </w:rPr>
        <w:t>Consulté en ligne </w:t>
      </w:r>
      <w:r w:rsidRPr="00081B2A">
        <w:rPr>
          <w:rFonts w:asciiTheme="majorHAnsi" w:hAnsiTheme="majorHAnsi"/>
          <w:sz w:val="20"/>
          <w:szCs w:val="20"/>
          <w:lang w:val="fr-CA"/>
        </w:rPr>
        <w:t xml:space="preserve">: </w:t>
      </w:r>
      <w:hyperlink r:id="rId54" w:history="1">
        <w:r>
          <w:rPr>
            <w:rStyle w:val="Hyperlink"/>
            <w:rFonts w:asciiTheme="majorHAnsi" w:hAnsiTheme="majorHAnsi"/>
            <w:sz w:val="20"/>
            <w:szCs w:val="20"/>
            <w:lang w:val="fr-CA"/>
          </w:rPr>
          <w:t>https://www.canada.ca/fr/emploi-developpement-social/programmes/prets-bourses-canadiens-etudiants/rapports/pcpe-2014.html</w:t>
        </w:r>
      </w:hyperlink>
      <w:r w:rsidRPr="00081B2A">
        <w:rPr>
          <w:rFonts w:asciiTheme="majorHAnsi" w:hAnsiTheme="majorHAnsi"/>
          <w:sz w:val="20"/>
          <w:szCs w:val="20"/>
          <w:lang w:val="fr-CA"/>
        </w:rPr>
        <w:t xml:space="preserve"> </w:t>
      </w:r>
    </w:p>
  </w:footnote>
  <w:footnote w:id="54">
    <w:p w14:paraId="47A88DF3" w14:textId="564017FE" w:rsidR="009554EB" w:rsidRPr="002975EA" w:rsidRDefault="009554EB">
      <w:pPr>
        <w:pStyle w:val="FootnoteText"/>
        <w:rPr>
          <w:lang w:val="fr-CA"/>
        </w:rPr>
      </w:pPr>
      <w:r w:rsidRPr="00081B2A">
        <w:rPr>
          <w:rStyle w:val="FootnoteReference"/>
          <w:sz w:val="20"/>
          <w:szCs w:val="20"/>
          <w:lang w:val="fr-CA"/>
        </w:rPr>
        <w:footnoteRef/>
      </w:r>
      <w:r w:rsidRPr="002975EA">
        <w:rPr>
          <w:sz w:val="20"/>
          <w:szCs w:val="20"/>
          <w:lang w:val="en-US"/>
        </w:rPr>
        <w:t xml:space="preserve"> Alex Usher, </w:t>
      </w:r>
      <w:r w:rsidRPr="002975EA">
        <w:rPr>
          <w:i/>
          <w:sz w:val="20"/>
          <w:szCs w:val="20"/>
          <w:lang w:val="en-US"/>
        </w:rPr>
        <w:t xml:space="preserve">Comparing International Student Loan Repayment Plans </w:t>
      </w:r>
      <w:r w:rsidRPr="002975EA">
        <w:rPr>
          <w:sz w:val="20"/>
          <w:szCs w:val="20"/>
          <w:lang w:val="en-US"/>
        </w:rPr>
        <w:t xml:space="preserve">(Higher Education Strategy Associates, 30 novembre 2016). </w:t>
      </w:r>
      <w:r>
        <w:rPr>
          <w:sz w:val="20"/>
          <w:szCs w:val="20"/>
          <w:lang w:val="fr-CA"/>
        </w:rPr>
        <w:t>Consulté en ligne </w:t>
      </w:r>
      <w:r w:rsidRPr="00081B2A">
        <w:rPr>
          <w:sz w:val="20"/>
          <w:szCs w:val="20"/>
          <w:lang w:val="fr-CA"/>
        </w:rPr>
        <w:t xml:space="preserve">: </w:t>
      </w:r>
      <w:hyperlink r:id="rId55" w:history="1">
        <w:r w:rsidRPr="00081B2A">
          <w:rPr>
            <w:rStyle w:val="Hyperlink"/>
            <w:sz w:val="20"/>
            <w:szCs w:val="20"/>
            <w:lang w:val="fr-CA"/>
          </w:rPr>
          <w:t>http://higheredstrategy.com/comparing-international-student-loan-repayment-plans/</w:t>
        </w:r>
      </w:hyperlink>
      <w:r w:rsidRPr="00081B2A">
        <w:rPr>
          <w:sz w:val="20"/>
          <w:szCs w:val="20"/>
          <w:lang w:val="fr-CA"/>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99FA" w14:textId="50112FD2" w:rsidR="009554EB" w:rsidRDefault="009554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750C" w14:textId="1D869BBC" w:rsidR="009554EB" w:rsidRDefault="009554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E35B8" w14:textId="3E6471CB" w:rsidR="009554EB" w:rsidRDefault="009554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124"/>
    <w:multiLevelType w:val="hybridMultilevel"/>
    <w:tmpl w:val="113C9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0C5379"/>
    <w:multiLevelType w:val="hybridMultilevel"/>
    <w:tmpl w:val="196461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B25AD1"/>
    <w:multiLevelType w:val="hybridMultilevel"/>
    <w:tmpl w:val="AE16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B49C0"/>
    <w:multiLevelType w:val="hybridMultilevel"/>
    <w:tmpl w:val="2B5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1317"/>
    <w:multiLevelType w:val="hybridMultilevel"/>
    <w:tmpl w:val="1C1E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97221"/>
    <w:multiLevelType w:val="hybridMultilevel"/>
    <w:tmpl w:val="4FDC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C6F70"/>
    <w:multiLevelType w:val="hybridMultilevel"/>
    <w:tmpl w:val="1B42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23286"/>
    <w:multiLevelType w:val="hybridMultilevel"/>
    <w:tmpl w:val="041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C0DC9"/>
    <w:multiLevelType w:val="hybridMultilevel"/>
    <w:tmpl w:val="5AC6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D65D2"/>
    <w:multiLevelType w:val="hybridMultilevel"/>
    <w:tmpl w:val="0980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D39A6"/>
    <w:multiLevelType w:val="hybridMultilevel"/>
    <w:tmpl w:val="A836A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04A3B30"/>
    <w:multiLevelType w:val="hybridMultilevel"/>
    <w:tmpl w:val="AB6A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70D82"/>
    <w:multiLevelType w:val="hybridMultilevel"/>
    <w:tmpl w:val="BCF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37CF9"/>
    <w:multiLevelType w:val="hybridMultilevel"/>
    <w:tmpl w:val="5A68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55E53"/>
    <w:multiLevelType w:val="hybridMultilevel"/>
    <w:tmpl w:val="22EA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B4269"/>
    <w:multiLevelType w:val="hybridMultilevel"/>
    <w:tmpl w:val="E21A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C594C"/>
    <w:multiLevelType w:val="hybridMultilevel"/>
    <w:tmpl w:val="232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D4C1A"/>
    <w:multiLevelType w:val="hybridMultilevel"/>
    <w:tmpl w:val="6F522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D2D78BF"/>
    <w:multiLevelType w:val="hybridMultilevel"/>
    <w:tmpl w:val="38C6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070C7"/>
    <w:multiLevelType w:val="hybridMultilevel"/>
    <w:tmpl w:val="8DCC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35DDE"/>
    <w:multiLevelType w:val="hybridMultilevel"/>
    <w:tmpl w:val="C13A5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5F43442"/>
    <w:multiLevelType w:val="hybridMultilevel"/>
    <w:tmpl w:val="28FA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D561A"/>
    <w:multiLevelType w:val="hybridMultilevel"/>
    <w:tmpl w:val="D7B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D0DDD"/>
    <w:multiLevelType w:val="hybridMultilevel"/>
    <w:tmpl w:val="141A6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F0F1ED0"/>
    <w:multiLevelType w:val="hybridMultilevel"/>
    <w:tmpl w:val="C8E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40B15"/>
    <w:multiLevelType w:val="hybridMultilevel"/>
    <w:tmpl w:val="F3C6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F64FA"/>
    <w:multiLevelType w:val="hybridMultilevel"/>
    <w:tmpl w:val="3D6A7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ACF60A2"/>
    <w:multiLevelType w:val="hybridMultilevel"/>
    <w:tmpl w:val="C55A9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ED4080A"/>
    <w:multiLevelType w:val="hybridMultilevel"/>
    <w:tmpl w:val="429C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D7713"/>
    <w:multiLevelType w:val="hybridMultilevel"/>
    <w:tmpl w:val="E09C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044D0C"/>
    <w:multiLevelType w:val="hybridMultilevel"/>
    <w:tmpl w:val="2B44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942D1"/>
    <w:multiLevelType w:val="hybridMultilevel"/>
    <w:tmpl w:val="0004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97015"/>
    <w:multiLevelType w:val="hybridMultilevel"/>
    <w:tmpl w:val="480C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F5850"/>
    <w:multiLevelType w:val="hybridMultilevel"/>
    <w:tmpl w:val="76F894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11"/>
  </w:num>
  <w:num w:numId="3">
    <w:abstractNumId w:val="9"/>
  </w:num>
  <w:num w:numId="4">
    <w:abstractNumId w:val="5"/>
  </w:num>
  <w:num w:numId="5">
    <w:abstractNumId w:val="18"/>
  </w:num>
  <w:num w:numId="6">
    <w:abstractNumId w:val="21"/>
  </w:num>
  <w:num w:numId="7">
    <w:abstractNumId w:val="2"/>
  </w:num>
  <w:num w:numId="8">
    <w:abstractNumId w:val="29"/>
  </w:num>
  <w:num w:numId="9">
    <w:abstractNumId w:val="32"/>
  </w:num>
  <w:num w:numId="10">
    <w:abstractNumId w:val="19"/>
  </w:num>
  <w:num w:numId="11">
    <w:abstractNumId w:val="7"/>
  </w:num>
  <w:num w:numId="12">
    <w:abstractNumId w:val="13"/>
  </w:num>
  <w:num w:numId="13">
    <w:abstractNumId w:val="23"/>
  </w:num>
  <w:num w:numId="14">
    <w:abstractNumId w:val="10"/>
  </w:num>
  <w:num w:numId="15">
    <w:abstractNumId w:val="20"/>
  </w:num>
  <w:num w:numId="16">
    <w:abstractNumId w:val="27"/>
  </w:num>
  <w:num w:numId="17">
    <w:abstractNumId w:val="33"/>
  </w:num>
  <w:num w:numId="18">
    <w:abstractNumId w:val="1"/>
  </w:num>
  <w:num w:numId="19">
    <w:abstractNumId w:val="26"/>
  </w:num>
  <w:num w:numId="20">
    <w:abstractNumId w:val="4"/>
  </w:num>
  <w:num w:numId="21">
    <w:abstractNumId w:val="24"/>
  </w:num>
  <w:num w:numId="22">
    <w:abstractNumId w:val="3"/>
  </w:num>
  <w:num w:numId="23">
    <w:abstractNumId w:val="17"/>
  </w:num>
  <w:num w:numId="24">
    <w:abstractNumId w:val="0"/>
  </w:num>
  <w:num w:numId="25">
    <w:abstractNumId w:val="12"/>
  </w:num>
  <w:num w:numId="26">
    <w:abstractNumId w:val="2"/>
  </w:num>
  <w:num w:numId="27">
    <w:abstractNumId w:val="30"/>
  </w:num>
  <w:num w:numId="28">
    <w:abstractNumId w:val="6"/>
  </w:num>
  <w:num w:numId="29">
    <w:abstractNumId w:val="16"/>
  </w:num>
  <w:num w:numId="30">
    <w:abstractNumId w:val="25"/>
  </w:num>
  <w:num w:numId="31">
    <w:abstractNumId w:val="22"/>
  </w:num>
  <w:num w:numId="32">
    <w:abstractNumId w:val="8"/>
  </w:num>
  <w:num w:numId="33">
    <w:abstractNumId w:val="15"/>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A7"/>
    <w:rsid w:val="0000001B"/>
    <w:rsid w:val="00006F7A"/>
    <w:rsid w:val="00007532"/>
    <w:rsid w:val="00013E69"/>
    <w:rsid w:val="00016A31"/>
    <w:rsid w:val="00016F59"/>
    <w:rsid w:val="000171C5"/>
    <w:rsid w:val="000205BB"/>
    <w:rsid w:val="00026646"/>
    <w:rsid w:val="00031359"/>
    <w:rsid w:val="000318F9"/>
    <w:rsid w:val="000321A8"/>
    <w:rsid w:val="000344B6"/>
    <w:rsid w:val="000369F3"/>
    <w:rsid w:val="00036D4F"/>
    <w:rsid w:val="00041CB1"/>
    <w:rsid w:val="000426F4"/>
    <w:rsid w:val="00043179"/>
    <w:rsid w:val="00044BB8"/>
    <w:rsid w:val="0005087E"/>
    <w:rsid w:val="00051F8B"/>
    <w:rsid w:val="00053086"/>
    <w:rsid w:val="00054ABE"/>
    <w:rsid w:val="00054C5D"/>
    <w:rsid w:val="00060B92"/>
    <w:rsid w:val="00060BF4"/>
    <w:rsid w:val="00061811"/>
    <w:rsid w:val="000625E6"/>
    <w:rsid w:val="00062624"/>
    <w:rsid w:val="00063BAE"/>
    <w:rsid w:val="00071623"/>
    <w:rsid w:val="000735AC"/>
    <w:rsid w:val="00073E67"/>
    <w:rsid w:val="00074FEC"/>
    <w:rsid w:val="00081B2A"/>
    <w:rsid w:val="00084643"/>
    <w:rsid w:val="00092E90"/>
    <w:rsid w:val="00094B09"/>
    <w:rsid w:val="00096B6F"/>
    <w:rsid w:val="000972C4"/>
    <w:rsid w:val="000A658B"/>
    <w:rsid w:val="000A6F52"/>
    <w:rsid w:val="000A783F"/>
    <w:rsid w:val="000B7E04"/>
    <w:rsid w:val="000C5429"/>
    <w:rsid w:val="000C6C71"/>
    <w:rsid w:val="000D0055"/>
    <w:rsid w:val="000D1825"/>
    <w:rsid w:val="000D1FDC"/>
    <w:rsid w:val="000D3ACF"/>
    <w:rsid w:val="000D56EB"/>
    <w:rsid w:val="000D5BE4"/>
    <w:rsid w:val="000D6804"/>
    <w:rsid w:val="000E09C6"/>
    <w:rsid w:val="000E232B"/>
    <w:rsid w:val="000E408C"/>
    <w:rsid w:val="000E4AD1"/>
    <w:rsid w:val="000F41AB"/>
    <w:rsid w:val="00102532"/>
    <w:rsid w:val="00110FAD"/>
    <w:rsid w:val="0011540F"/>
    <w:rsid w:val="00123BBE"/>
    <w:rsid w:val="0012434A"/>
    <w:rsid w:val="00130611"/>
    <w:rsid w:val="00133550"/>
    <w:rsid w:val="0013399C"/>
    <w:rsid w:val="00133D7E"/>
    <w:rsid w:val="00142195"/>
    <w:rsid w:val="00142A32"/>
    <w:rsid w:val="00144685"/>
    <w:rsid w:val="00153F35"/>
    <w:rsid w:val="00155CE1"/>
    <w:rsid w:val="00157896"/>
    <w:rsid w:val="00167010"/>
    <w:rsid w:val="001732F6"/>
    <w:rsid w:val="0017401F"/>
    <w:rsid w:val="0018353F"/>
    <w:rsid w:val="00184839"/>
    <w:rsid w:val="001861EC"/>
    <w:rsid w:val="00186B9F"/>
    <w:rsid w:val="00187616"/>
    <w:rsid w:val="0019001C"/>
    <w:rsid w:val="00190815"/>
    <w:rsid w:val="00192A83"/>
    <w:rsid w:val="00196761"/>
    <w:rsid w:val="001A32D4"/>
    <w:rsid w:val="001A62E9"/>
    <w:rsid w:val="001A6911"/>
    <w:rsid w:val="001B4381"/>
    <w:rsid w:val="001B5EDA"/>
    <w:rsid w:val="001B716A"/>
    <w:rsid w:val="001C7950"/>
    <w:rsid w:val="001D2DE7"/>
    <w:rsid w:val="001D486A"/>
    <w:rsid w:val="001D623E"/>
    <w:rsid w:val="001D728E"/>
    <w:rsid w:val="001E2387"/>
    <w:rsid w:val="001E2A57"/>
    <w:rsid w:val="001E71CC"/>
    <w:rsid w:val="00201EC3"/>
    <w:rsid w:val="0020477C"/>
    <w:rsid w:val="0020723A"/>
    <w:rsid w:val="002075F0"/>
    <w:rsid w:val="002114AB"/>
    <w:rsid w:val="0021376F"/>
    <w:rsid w:val="00220C1A"/>
    <w:rsid w:val="002318BD"/>
    <w:rsid w:val="002353AF"/>
    <w:rsid w:val="002359D8"/>
    <w:rsid w:val="002376A1"/>
    <w:rsid w:val="002406B3"/>
    <w:rsid w:val="00242500"/>
    <w:rsid w:val="00245AAA"/>
    <w:rsid w:val="0025073F"/>
    <w:rsid w:val="00256B87"/>
    <w:rsid w:val="002579DE"/>
    <w:rsid w:val="002654BD"/>
    <w:rsid w:val="00265D7A"/>
    <w:rsid w:val="002708A5"/>
    <w:rsid w:val="00271913"/>
    <w:rsid w:val="00273F1F"/>
    <w:rsid w:val="002776C4"/>
    <w:rsid w:val="002829E8"/>
    <w:rsid w:val="002831D4"/>
    <w:rsid w:val="00287810"/>
    <w:rsid w:val="00290CD9"/>
    <w:rsid w:val="0029326E"/>
    <w:rsid w:val="00293E76"/>
    <w:rsid w:val="002974C9"/>
    <w:rsid w:val="002975EA"/>
    <w:rsid w:val="002A1BCA"/>
    <w:rsid w:val="002B413D"/>
    <w:rsid w:val="002B5592"/>
    <w:rsid w:val="002D1389"/>
    <w:rsid w:val="002D40CA"/>
    <w:rsid w:val="002D4FF3"/>
    <w:rsid w:val="002D77B8"/>
    <w:rsid w:val="002E0B3D"/>
    <w:rsid w:val="002E0CDF"/>
    <w:rsid w:val="002E4B43"/>
    <w:rsid w:val="002E51A0"/>
    <w:rsid w:val="002E7D31"/>
    <w:rsid w:val="002F4159"/>
    <w:rsid w:val="00307682"/>
    <w:rsid w:val="00311749"/>
    <w:rsid w:val="003127E3"/>
    <w:rsid w:val="00314C4B"/>
    <w:rsid w:val="00316FC3"/>
    <w:rsid w:val="00320728"/>
    <w:rsid w:val="00320C70"/>
    <w:rsid w:val="00322D9E"/>
    <w:rsid w:val="00323DC4"/>
    <w:rsid w:val="003256EE"/>
    <w:rsid w:val="003314E5"/>
    <w:rsid w:val="003345F7"/>
    <w:rsid w:val="003347CA"/>
    <w:rsid w:val="003361E4"/>
    <w:rsid w:val="00342345"/>
    <w:rsid w:val="0034452E"/>
    <w:rsid w:val="00352242"/>
    <w:rsid w:val="0035398D"/>
    <w:rsid w:val="00355F9D"/>
    <w:rsid w:val="003626D7"/>
    <w:rsid w:val="0036343C"/>
    <w:rsid w:val="0036574B"/>
    <w:rsid w:val="00365CEE"/>
    <w:rsid w:val="00366DF7"/>
    <w:rsid w:val="003703A1"/>
    <w:rsid w:val="003732F8"/>
    <w:rsid w:val="003739F0"/>
    <w:rsid w:val="00373EA7"/>
    <w:rsid w:val="003776BB"/>
    <w:rsid w:val="00381150"/>
    <w:rsid w:val="00383705"/>
    <w:rsid w:val="00384B73"/>
    <w:rsid w:val="003910A8"/>
    <w:rsid w:val="00394DDF"/>
    <w:rsid w:val="00395352"/>
    <w:rsid w:val="003A52EE"/>
    <w:rsid w:val="003B04A9"/>
    <w:rsid w:val="003B1F23"/>
    <w:rsid w:val="003B5453"/>
    <w:rsid w:val="003B5666"/>
    <w:rsid w:val="003B69D9"/>
    <w:rsid w:val="003C07D9"/>
    <w:rsid w:val="003C0A49"/>
    <w:rsid w:val="003C2C1B"/>
    <w:rsid w:val="003C3E6D"/>
    <w:rsid w:val="003C5C07"/>
    <w:rsid w:val="003D1C23"/>
    <w:rsid w:val="003E061C"/>
    <w:rsid w:val="003E062E"/>
    <w:rsid w:val="003E0EF9"/>
    <w:rsid w:val="003E226C"/>
    <w:rsid w:val="003E4476"/>
    <w:rsid w:val="003E4A82"/>
    <w:rsid w:val="003E7053"/>
    <w:rsid w:val="003F02CB"/>
    <w:rsid w:val="003F0E24"/>
    <w:rsid w:val="003F23A8"/>
    <w:rsid w:val="003F25C4"/>
    <w:rsid w:val="003F56B5"/>
    <w:rsid w:val="003F7C31"/>
    <w:rsid w:val="004063A0"/>
    <w:rsid w:val="004109EE"/>
    <w:rsid w:val="00410E04"/>
    <w:rsid w:val="004120B3"/>
    <w:rsid w:val="004135FA"/>
    <w:rsid w:val="00416A88"/>
    <w:rsid w:val="004202EA"/>
    <w:rsid w:val="004224A5"/>
    <w:rsid w:val="004229D6"/>
    <w:rsid w:val="00422DB1"/>
    <w:rsid w:val="004231F2"/>
    <w:rsid w:val="00423D21"/>
    <w:rsid w:val="00425DE8"/>
    <w:rsid w:val="00427A12"/>
    <w:rsid w:val="00427A1B"/>
    <w:rsid w:val="0043512D"/>
    <w:rsid w:val="004361E6"/>
    <w:rsid w:val="00436F73"/>
    <w:rsid w:val="00440C73"/>
    <w:rsid w:val="00443D89"/>
    <w:rsid w:val="004441E1"/>
    <w:rsid w:val="00444F3D"/>
    <w:rsid w:val="00447F2B"/>
    <w:rsid w:val="0045098F"/>
    <w:rsid w:val="004528C7"/>
    <w:rsid w:val="004544E8"/>
    <w:rsid w:val="004553A9"/>
    <w:rsid w:val="00456B33"/>
    <w:rsid w:val="004604A5"/>
    <w:rsid w:val="0046121D"/>
    <w:rsid w:val="004614A0"/>
    <w:rsid w:val="0046182C"/>
    <w:rsid w:val="00461A02"/>
    <w:rsid w:val="00463735"/>
    <w:rsid w:val="004664CF"/>
    <w:rsid w:val="00466DDD"/>
    <w:rsid w:val="00471E3F"/>
    <w:rsid w:val="00473D85"/>
    <w:rsid w:val="00475693"/>
    <w:rsid w:val="00475D0A"/>
    <w:rsid w:val="00482D0A"/>
    <w:rsid w:val="0048331B"/>
    <w:rsid w:val="00487ACF"/>
    <w:rsid w:val="004902CF"/>
    <w:rsid w:val="00491B9D"/>
    <w:rsid w:val="0049240C"/>
    <w:rsid w:val="00492E67"/>
    <w:rsid w:val="00493AD7"/>
    <w:rsid w:val="004A04B4"/>
    <w:rsid w:val="004A154A"/>
    <w:rsid w:val="004A23A5"/>
    <w:rsid w:val="004A3942"/>
    <w:rsid w:val="004A4B97"/>
    <w:rsid w:val="004B061E"/>
    <w:rsid w:val="004B145F"/>
    <w:rsid w:val="004B4D52"/>
    <w:rsid w:val="004B7B90"/>
    <w:rsid w:val="004C2543"/>
    <w:rsid w:val="004C3099"/>
    <w:rsid w:val="004C5170"/>
    <w:rsid w:val="004C66CC"/>
    <w:rsid w:val="004C6D0F"/>
    <w:rsid w:val="004C6E1C"/>
    <w:rsid w:val="004D1A68"/>
    <w:rsid w:val="004D4153"/>
    <w:rsid w:val="004D4A3E"/>
    <w:rsid w:val="004D5627"/>
    <w:rsid w:val="004D6DFC"/>
    <w:rsid w:val="004E34DE"/>
    <w:rsid w:val="004E3744"/>
    <w:rsid w:val="004F35FD"/>
    <w:rsid w:val="004F691D"/>
    <w:rsid w:val="005010E2"/>
    <w:rsid w:val="005019BA"/>
    <w:rsid w:val="0050287C"/>
    <w:rsid w:val="00503360"/>
    <w:rsid w:val="00503E5E"/>
    <w:rsid w:val="0050510E"/>
    <w:rsid w:val="00505794"/>
    <w:rsid w:val="00506B59"/>
    <w:rsid w:val="0050793D"/>
    <w:rsid w:val="00513408"/>
    <w:rsid w:val="00515ED5"/>
    <w:rsid w:val="00516EC0"/>
    <w:rsid w:val="00525683"/>
    <w:rsid w:val="00527666"/>
    <w:rsid w:val="005277AC"/>
    <w:rsid w:val="0053318A"/>
    <w:rsid w:val="0054032C"/>
    <w:rsid w:val="00545AC3"/>
    <w:rsid w:val="00547E69"/>
    <w:rsid w:val="00551471"/>
    <w:rsid w:val="00551CF7"/>
    <w:rsid w:val="00553E5A"/>
    <w:rsid w:val="005558CD"/>
    <w:rsid w:val="00556F19"/>
    <w:rsid w:val="00561759"/>
    <w:rsid w:val="005633C0"/>
    <w:rsid w:val="00564D0F"/>
    <w:rsid w:val="00567B74"/>
    <w:rsid w:val="00570562"/>
    <w:rsid w:val="00570D2C"/>
    <w:rsid w:val="00570E04"/>
    <w:rsid w:val="005721EC"/>
    <w:rsid w:val="00574D6A"/>
    <w:rsid w:val="00575AEC"/>
    <w:rsid w:val="00584A4C"/>
    <w:rsid w:val="005905B8"/>
    <w:rsid w:val="00591634"/>
    <w:rsid w:val="005957DE"/>
    <w:rsid w:val="00596A68"/>
    <w:rsid w:val="005A092D"/>
    <w:rsid w:val="005A4919"/>
    <w:rsid w:val="005A7A6B"/>
    <w:rsid w:val="005B3058"/>
    <w:rsid w:val="005B33EA"/>
    <w:rsid w:val="005B6A0A"/>
    <w:rsid w:val="005C0566"/>
    <w:rsid w:val="005C24B2"/>
    <w:rsid w:val="005C3FAC"/>
    <w:rsid w:val="005C770F"/>
    <w:rsid w:val="005C7E28"/>
    <w:rsid w:val="005D79F5"/>
    <w:rsid w:val="005E1F79"/>
    <w:rsid w:val="005E2031"/>
    <w:rsid w:val="005E68C0"/>
    <w:rsid w:val="0060018E"/>
    <w:rsid w:val="006005C0"/>
    <w:rsid w:val="00602495"/>
    <w:rsid w:val="00602CA8"/>
    <w:rsid w:val="00604D89"/>
    <w:rsid w:val="006053CF"/>
    <w:rsid w:val="00611F20"/>
    <w:rsid w:val="00613010"/>
    <w:rsid w:val="00615B01"/>
    <w:rsid w:val="00620E67"/>
    <w:rsid w:val="00621635"/>
    <w:rsid w:val="00621B04"/>
    <w:rsid w:val="00621F32"/>
    <w:rsid w:val="0062330D"/>
    <w:rsid w:val="00623B40"/>
    <w:rsid w:val="00631189"/>
    <w:rsid w:val="0064128C"/>
    <w:rsid w:val="00642813"/>
    <w:rsid w:val="00645C04"/>
    <w:rsid w:val="00653185"/>
    <w:rsid w:val="00653442"/>
    <w:rsid w:val="00653AEB"/>
    <w:rsid w:val="00660184"/>
    <w:rsid w:val="006604E0"/>
    <w:rsid w:val="00662C45"/>
    <w:rsid w:val="0066577B"/>
    <w:rsid w:val="00665B0D"/>
    <w:rsid w:val="00665CC8"/>
    <w:rsid w:val="00666EAE"/>
    <w:rsid w:val="006717E0"/>
    <w:rsid w:val="00671FEB"/>
    <w:rsid w:val="00675CD2"/>
    <w:rsid w:val="00677F22"/>
    <w:rsid w:val="00680A13"/>
    <w:rsid w:val="006905C0"/>
    <w:rsid w:val="00691F33"/>
    <w:rsid w:val="00693559"/>
    <w:rsid w:val="00694402"/>
    <w:rsid w:val="00696A48"/>
    <w:rsid w:val="006A0D07"/>
    <w:rsid w:val="006A1488"/>
    <w:rsid w:val="006A2365"/>
    <w:rsid w:val="006A38C6"/>
    <w:rsid w:val="006A58A7"/>
    <w:rsid w:val="006B3A83"/>
    <w:rsid w:val="006B4DD4"/>
    <w:rsid w:val="006B4EC8"/>
    <w:rsid w:val="006B608D"/>
    <w:rsid w:val="006C2A7A"/>
    <w:rsid w:val="006C3445"/>
    <w:rsid w:val="006C661D"/>
    <w:rsid w:val="006D0B99"/>
    <w:rsid w:val="006D1115"/>
    <w:rsid w:val="006D496F"/>
    <w:rsid w:val="006D5E5F"/>
    <w:rsid w:val="006D68A3"/>
    <w:rsid w:val="006E201B"/>
    <w:rsid w:val="006E28CB"/>
    <w:rsid w:val="006E2C2F"/>
    <w:rsid w:val="006E2E41"/>
    <w:rsid w:val="006E34D2"/>
    <w:rsid w:val="006E5E79"/>
    <w:rsid w:val="006E723D"/>
    <w:rsid w:val="007022C1"/>
    <w:rsid w:val="00702A27"/>
    <w:rsid w:val="00705C83"/>
    <w:rsid w:val="00712290"/>
    <w:rsid w:val="007127C3"/>
    <w:rsid w:val="00712D46"/>
    <w:rsid w:val="0071304B"/>
    <w:rsid w:val="00717B8E"/>
    <w:rsid w:val="00717D12"/>
    <w:rsid w:val="00720412"/>
    <w:rsid w:val="00720C38"/>
    <w:rsid w:val="00721FA8"/>
    <w:rsid w:val="007232AF"/>
    <w:rsid w:val="007253E3"/>
    <w:rsid w:val="00726449"/>
    <w:rsid w:val="00731510"/>
    <w:rsid w:val="007316AB"/>
    <w:rsid w:val="00731968"/>
    <w:rsid w:val="007325BB"/>
    <w:rsid w:val="00736951"/>
    <w:rsid w:val="00736CEF"/>
    <w:rsid w:val="007406FF"/>
    <w:rsid w:val="00742F90"/>
    <w:rsid w:val="007501D5"/>
    <w:rsid w:val="007504F8"/>
    <w:rsid w:val="00754F95"/>
    <w:rsid w:val="0075766C"/>
    <w:rsid w:val="0076272A"/>
    <w:rsid w:val="00762DF1"/>
    <w:rsid w:val="007657EE"/>
    <w:rsid w:val="00773072"/>
    <w:rsid w:val="0077466C"/>
    <w:rsid w:val="00780B1F"/>
    <w:rsid w:val="00780EC6"/>
    <w:rsid w:val="00781200"/>
    <w:rsid w:val="00782119"/>
    <w:rsid w:val="007832E8"/>
    <w:rsid w:val="007837DC"/>
    <w:rsid w:val="00783BF5"/>
    <w:rsid w:val="00785E55"/>
    <w:rsid w:val="007863A6"/>
    <w:rsid w:val="00790797"/>
    <w:rsid w:val="00795A0C"/>
    <w:rsid w:val="007A1525"/>
    <w:rsid w:val="007A21B9"/>
    <w:rsid w:val="007A4857"/>
    <w:rsid w:val="007A6D2D"/>
    <w:rsid w:val="007B496B"/>
    <w:rsid w:val="007B606D"/>
    <w:rsid w:val="007B72D9"/>
    <w:rsid w:val="007C1B6C"/>
    <w:rsid w:val="007C465E"/>
    <w:rsid w:val="007C513B"/>
    <w:rsid w:val="007C5A8D"/>
    <w:rsid w:val="007C5ECA"/>
    <w:rsid w:val="007D00B7"/>
    <w:rsid w:val="007D0D48"/>
    <w:rsid w:val="007D1923"/>
    <w:rsid w:val="007D2EA8"/>
    <w:rsid w:val="007D489F"/>
    <w:rsid w:val="007D6809"/>
    <w:rsid w:val="007E755A"/>
    <w:rsid w:val="007F2BF9"/>
    <w:rsid w:val="00816139"/>
    <w:rsid w:val="008161DF"/>
    <w:rsid w:val="00816535"/>
    <w:rsid w:val="008216C0"/>
    <w:rsid w:val="00826A08"/>
    <w:rsid w:val="00827A0C"/>
    <w:rsid w:val="00827BF9"/>
    <w:rsid w:val="0083273E"/>
    <w:rsid w:val="00833001"/>
    <w:rsid w:val="00834AC4"/>
    <w:rsid w:val="00846675"/>
    <w:rsid w:val="00846BC8"/>
    <w:rsid w:val="008516A0"/>
    <w:rsid w:val="00854E2F"/>
    <w:rsid w:val="008553F2"/>
    <w:rsid w:val="00870214"/>
    <w:rsid w:val="00870854"/>
    <w:rsid w:val="0087104A"/>
    <w:rsid w:val="008736F7"/>
    <w:rsid w:val="00873D76"/>
    <w:rsid w:val="0087468C"/>
    <w:rsid w:val="00876E4F"/>
    <w:rsid w:val="008822B5"/>
    <w:rsid w:val="008840C0"/>
    <w:rsid w:val="00885F6F"/>
    <w:rsid w:val="00890C3B"/>
    <w:rsid w:val="00890D57"/>
    <w:rsid w:val="00896984"/>
    <w:rsid w:val="008A14A0"/>
    <w:rsid w:val="008A29B3"/>
    <w:rsid w:val="008A59AA"/>
    <w:rsid w:val="008B2934"/>
    <w:rsid w:val="008B4B40"/>
    <w:rsid w:val="008B6429"/>
    <w:rsid w:val="008B7A87"/>
    <w:rsid w:val="008C29AF"/>
    <w:rsid w:val="008C67EE"/>
    <w:rsid w:val="008D2952"/>
    <w:rsid w:val="008D3E31"/>
    <w:rsid w:val="008D571C"/>
    <w:rsid w:val="008D5C35"/>
    <w:rsid w:val="008D6899"/>
    <w:rsid w:val="008E0E63"/>
    <w:rsid w:val="008E0F43"/>
    <w:rsid w:val="008E7960"/>
    <w:rsid w:val="008F5170"/>
    <w:rsid w:val="008F6078"/>
    <w:rsid w:val="00901167"/>
    <w:rsid w:val="009038BA"/>
    <w:rsid w:val="009048F4"/>
    <w:rsid w:val="00906849"/>
    <w:rsid w:val="0091518F"/>
    <w:rsid w:val="009161C2"/>
    <w:rsid w:val="00916AA4"/>
    <w:rsid w:val="009216ED"/>
    <w:rsid w:val="0092278A"/>
    <w:rsid w:val="00930791"/>
    <w:rsid w:val="00935CC9"/>
    <w:rsid w:val="00935DC3"/>
    <w:rsid w:val="009445E2"/>
    <w:rsid w:val="00945078"/>
    <w:rsid w:val="009451C0"/>
    <w:rsid w:val="00946E31"/>
    <w:rsid w:val="00947FB8"/>
    <w:rsid w:val="00952833"/>
    <w:rsid w:val="00953E5F"/>
    <w:rsid w:val="00954218"/>
    <w:rsid w:val="00954A9D"/>
    <w:rsid w:val="009554EB"/>
    <w:rsid w:val="00955BC7"/>
    <w:rsid w:val="00965719"/>
    <w:rsid w:val="0097162B"/>
    <w:rsid w:val="00977832"/>
    <w:rsid w:val="009805B0"/>
    <w:rsid w:val="00985609"/>
    <w:rsid w:val="00987423"/>
    <w:rsid w:val="00990D19"/>
    <w:rsid w:val="00991BB9"/>
    <w:rsid w:val="00992881"/>
    <w:rsid w:val="0099344A"/>
    <w:rsid w:val="00996668"/>
    <w:rsid w:val="009A2201"/>
    <w:rsid w:val="009A504B"/>
    <w:rsid w:val="009A5641"/>
    <w:rsid w:val="009A6249"/>
    <w:rsid w:val="009A7722"/>
    <w:rsid w:val="009B4616"/>
    <w:rsid w:val="009B711D"/>
    <w:rsid w:val="009C1983"/>
    <w:rsid w:val="009C419B"/>
    <w:rsid w:val="009C4FA8"/>
    <w:rsid w:val="009C68F5"/>
    <w:rsid w:val="009D2F1F"/>
    <w:rsid w:val="009D3F34"/>
    <w:rsid w:val="009E2A32"/>
    <w:rsid w:val="009F4839"/>
    <w:rsid w:val="009F68CF"/>
    <w:rsid w:val="009F6FC2"/>
    <w:rsid w:val="00A00D19"/>
    <w:rsid w:val="00A0104B"/>
    <w:rsid w:val="00A05CBA"/>
    <w:rsid w:val="00A06109"/>
    <w:rsid w:val="00A13798"/>
    <w:rsid w:val="00A179A9"/>
    <w:rsid w:val="00A20861"/>
    <w:rsid w:val="00A20B6A"/>
    <w:rsid w:val="00A22A2B"/>
    <w:rsid w:val="00A26602"/>
    <w:rsid w:val="00A278C6"/>
    <w:rsid w:val="00A27FB4"/>
    <w:rsid w:val="00A31B4D"/>
    <w:rsid w:val="00A31B82"/>
    <w:rsid w:val="00A33E3D"/>
    <w:rsid w:val="00A351AB"/>
    <w:rsid w:val="00A36C14"/>
    <w:rsid w:val="00A36E71"/>
    <w:rsid w:val="00A40DA2"/>
    <w:rsid w:val="00A413A0"/>
    <w:rsid w:val="00A51870"/>
    <w:rsid w:val="00A52364"/>
    <w:rsid w:val="00A52A59"/>
    <w:rsid w:val="00A55F2A"/>
    <w:rsid w:val="00A56CEC"/>
    <w:rsid w:val="00A6010F"/>
    <w:rsid w:val="00A613D5"/>
    <w:rsid w:val="00A622A0"/>
    <w:rsid w:val="00A6578E"/>
    <w:rsid w:val="00A666ED"/>
    <w:rsid w:val="00A70607"/>
    <w:rsid w:val="00A82A5B"/>
    <w:rsid w:val="00A85D6F"/>
    <w:rsid w:val="00A871DF"/>
    <w:rsid w:val="00A875B0"/>
    <w:rsid w:val="00A9196E"/>
    <w:rsid w:val="00A920DD"/>
    <w:rsid w:val="00A92A32"/>
    <w:rsid w:val="00A976A7"/>
    <w:rsid w:val="00AA2EE4"/>
    <w:rsid w:val="00AA3DA3"/>
    <w:rsid w:val="00AA578F"/>
    <w:rsid w:val="00AA6624"/>
    <w:rsid w:val="00AA6E0F"/>
    <w:rsid w:val="00AB0B78"/>
    <w:rsid w:val="00AB2606"/>
    <w:rsid w:val="00AB41EB"/>
    <w:rsid w:val="00AC0030"/>
    <w:rsid w:val="00AC0316"/>
    <w:rsid w:val="00AC5ECD"/>
    <w:rsid w:val="00AC6716"/>
    <w:rsid w:val="00AC7326"/>
    <w:rsid w:val="00AC77FF"/>
    <w:rsid w:val="00AD1814"/>
    <w:rsid w:val="00AD195A"/>
    <w:rsid w:val="00AD2F73"/>
    <w:rsid w:val="00AD3395"/>
    <w:rsid w:val="00AD392E"/>
    <w:rsid w:val="00AD4EA9"/>
    <w:rsid w:val="00AD6217"/>
    <w:rsid w:val="00AD69A7"/>
    <w:rsid w:val="00AE0BE6"/>
    <w:rsid w:val="00AE2AA4"/>
    <w:rsid w:val="00AE355E"/>
    <w:rsid w:val="00AE5C2D"/>
    <w:rsid w:val="00AF1DDA"/>
    <w:rsid w:val="00AF456A"/>
    <w:rsid w:val="00AF5700"/>
    <w:rsid w:val="00B057D5"/>
    <w:rsid w:val="00B07B52"/>
    <w:rsid w:val="00B12A31"/>
    <w:rsid w:val="00B153FC"/>
    <w:rsid w:val="00B16D7E"/>
    <w:rsid w:val="00B245D5"/>
    <w:rsid w:val="00B273D2"/>
    <w:rsid w:val="00B27551"/>
    <w:rsid w:val="00B302E9"/>
    <w:rsid w:val="00B30FFF"/>
    <w:rsid w:val="00B3606F"/>
    <w:rsid w:val="00B36B42"/>
    <w:rsid w:val="00B44661"/>
    <w:rsid w:val="00B63F14"/>
    <w:rsid w:val="00B741A1"/>
    <w:rsid w:val="00B741E6"/>
    <w:rsid w:val="00B74B8D"/>
    <w:rsid w:val="00B76838"/>
    <w:rsid w:val="00B76AF6"/>
    <w:rsid w:val="00B77F2C"/>
    <w:rsid w:val="00B85EF4"/>
    <w:rsid w:val="00B92B74"/>
    <w:rsid w:val="00B95166"/>
    <w:rsid w:val="00B97509"/>
    <w:rsid w:val="00BA2A62"/>
    <w:rsid w:val="00BA3423"/>
    <w:rsid w:val="00BA3639"/>
    <w:rsid w:val="00BA73E5"/>
    <w:rsid w:val="00BA7641"/>
    <w:rsid w:val="00BB01F9"/>
    <w:rsid w:val="00BB1925"/>
    <w:rsid w:val="00BB63CD"/>
    <w:rsid w:val="00BC1410"/>
    <w:rsid w:val="00BD2DF3"/>
    <w:rsid w:val="00BD4F1C"/>
    <w:rsid w:val="00BD6F67"/>
    <w:rsid w:val="00BE04FA"/>
    <w:rsid w:val="00BE2568"/>
    <w:rsid w:val="00BE4267"/>
    <w:rsid w:val="00BE4AAC"/>
    <w:rsid w:val="00BE4FA2"/>
    <w:rsid w:val="00BE61AC"/>
    <w:rsid w:val="00BF38FB"/>
    <w:rsid w:val="00BF3C3A"/>
    <w:rsid w:val="00BF4D7E"/>
    <w:rsid w:val="00BF74D1"/>
    <w:rsid w:val="00BF7B93"/>
    <w:rsid w:val="00C02031"/>
    <w:rsid w:val="00C02A5B"/>
    <w:rsid w:val="00C038FC"/>
    <w:rsid w:val="00C139E0"/>
    <w:rsid w:val="00C14BF2"/>
    <w:rsid w:val="00C1695A"/>
    <w:rsid w:val="00C210B5"/>
    <w:rsid w:val="00C214BD"/>
    <w:rsid w:val="00C2575F"/>
    <w:rsid w:val="00C26885"/>
    <w:rsid w:val="00C26DF3"/>
    <w:rsid w:val="00C30E84"/>
    <w:rsid w:val="00C31BA1"/>
    <w:rsid w:val="00C3316A"/>
    <w:rsid w:val="00C35003"/>
    <w:rsid w:val="00C36483"/>
    <w:rsid w:val="00C45F74"/>
    <w:rsid w:val="00C52452"/>
    <w:rsid w:val="00C530AD"/>
    <w:rsid w:val="00C5404D"/>
    <w:rsid w:val="00C55CF6"/>
    <w:rsid w:val="00C56535"/>
    <w:rsid w:val="00C57D14"/>
    <w:rsid w:val="00C61C47"/>
    <w:rsid w:val="00C65D48"/>
    <w:rsid w:val="00C6769E"/>
    <w:rsid w:val="00C7370C"/>
    <w:rsid w:val="00C7385E"/>
    <w:rsid w:val="00C7602F"/>
    <w:rsid w:val="00C768A8"/>
    <w:rsid w:val="00C80BEF"/>
    <w:rsid w:val="00C826D4"/>
    <w:rsid w:val="00C872B7"/>
    <w:rsid w:val="00C9599D"/>
    <w:rsid w:val="00CA0160"/>
    <w:rsid w:val="00CA3F37"/>
    <w:rsid w:val="00CA4399"/>
    <w:rsid w:val="00CA70B4"/>
    <w:rsid w:val="00CB0A09"/>
    <w:rsid w:val="00CB5209"/>
    <w:rsid w:val="00CB752D"/>
    <w:rsid w:val="00CC5E01"/>
    <w:rsid w:val="00CC792B"/>
    <w:rsid w:val="00CD02CE"/>
    <w:rsid w:val="00CD59BE"/>
    <w:rsid w:val="00CD754C"/>
    <w:rsid w:val="00CE4FDD"/>
    <w:rsid w:val="00CF1E08"/>
    <w:rsid w:val="00CF45AF"/>
    <w:rsid w:val="00CF555C"/>
    <w:rsid w:val="00CF6FA8"/>
    <w:rsid w:val="00CF70EE"/>
    <w:rsid w:val="00D049EE"/>
    <w:rsid w:val="00D05501"/>
    <w:rsid w:val="00D12CA8"/>
    <w:rsid w:val="00D14356"/>
    <w:rsid w:val="00D15A04"/>
    <w:rsid w:val="00D20CE2"/>
    <w:rsid w:val="00D20FB5"/>
    <w:rsid w:val="00D22CB0"/>
    <w:rsid w:val="00D237F8"/>
    <w:rsid w:val="00D270F7"/>
    <w:rsid w:val="00D30010"/>
    <w:rsid w:val="00D315DF"/>
    <w:rsid w:val="00D321AC"/>
    <w:rsid w:val="00D35C9C"/>
    <w:rsid w:val="00D44FE4"/>
    <w:rsid w:val="00D45B3B"/>
    <w:rsid w:val="00D50571"/>
    <w:rsid w:val="00D51AF0"/>
    <w:rsid w:val="00D52AA8"/>
    <w:rsid w:val="00D57689"/>
    <w:rsid w:val="00D605D5"/>
    <w:rsid w:val="00D64EB0"/>
    <w:rsid w:val="00D66030"/>
    <w:rsid w:val="00D67966"/>
    <w:rsid w:val="00D72DFF"/>
    <w:rsid w:val="00D73BC8"/>
    <w:rsid w:val="00D75138"/>
    <w:rsid w:val="00D80426"/>
    <w:rsid w:val="00D81354"/>
    <w:rsid w:val="00D86DA0"/>
    <w:rsid w:val="00D90C6E"/>
    <w:rsid w:val="00D912C6"/>
    <w:rsid w:val="00D96FF9"/>
    <w:rsid w:val="00DA2C3E"/>
    <w:rsid w:val="00DA5073"/>
    <w:rsid w:val="00DA54FA"/>
    <w:rsid w:val="00DA57F1"/>
    <w:rsid w:val="00DA79DE"/>
    <w:rsid w:val="00DA7F42"/>
    <w:rsid w:val="00DB3BDC"/>
    <w:rsid w:val="00DC2C17"/>
    <w:rsid w:val="00DC353C"/>
    <w:rsid w:val="00DC3F28"/>
    <w:rsid w:val="00DC64C4"/>
    <w:rsid w:val="00DD58FD"/>
    <w:rsid w:val="00DD6396"/>
    <w:rsid w:val="00DE1227"/>
    <w:rsid w:val="00DE17B5"/>
    <w:rsid w:val="00DE5E75"/>
    <w:rsid w:val="00DE6AE0"/>
    <w:rsid w:val="00DE73CB"/>
    <w:rsid w:val="00DF4ECC"/>
    <w:rsid w:val="00E00211"/>
    <w:rsid w:val="00E04DDC"/>
    <w:rsid w:val="00E063E3"/>
    <w:rsid w:val="00E06A27"/>
    <w:rsid w:val="00E123D9"/>
    <w:rsid w:val="00E14B87"/>
    <w:rsid w:val="00E15CF2"/>
    <w:rsid w:val="00E17E6D"/>
    <w:rsid w:val="00E22359"/>
    <w:rsid w:val="00E249BA"/>
    <w:rsid w:val="00E262F1"/>
    <w:rsid w:val="00E263EA"/>
    <w:rsid w:val="00E332A7"/>
    <w:rsid w:val="00E41C20"/>
    <w:rsid w:val="00E426A1"/>
    <w:rsid w:val="00E43AEA"/>
    <w:rsid w:val="00E43FF7"/>
    <w:rsid w:val="00E457D8"/>
    <w:rsid w:val="00E46064"/>
    <w:rsid w:val="00E476EC"/>
    <w:rsid w:val="00E524DC"/>
    <w:rsid w:val="00E529E9"/>
    <w:rsid w:val="00E53BC0"/>
    <w:rsid w:val="00E625EE"/>
    <w:rsid w:val="00E63B4E"/>
    <w:rsid w:val="00E702F2"/>
    <w:rsid w:val="00E73313"/>
    <w:rsid w:val="00E75B3E"/>
    <w:rsid w:val="00E762BB"/>
    <w:rsid w:val="00E7655C"/>
    <w:rsid w:val="00E7710B"/>
    <w:rsid w:val="00E817E7"/>
    <w:rsid w:val="00E825FA"/>
    <w:rsid w:val="00E84B18"/>
    <w:rsid w:val="00E93567"/>
    <w:rsid w:val="00E96AAF"/>
    <w:rsid w:val="00EA1F6F"/>
    <w:rsid w:val="00EA26A6"/>
    <w:rsid w:val="00EA31C7"/>
    <w:rsid w:val="00EA4D41"/>
    <w:rsid w:val="00EA6EAF"/>
    <w:rsid w:val="00EB01DE"/>
    <w:rsid w:val="00EB36E3"/>
    <w:rsid w:val="00EB5558"/>
    <w:rsid w:val="00EB75E7"/>
    <w:rsid w:val="00EC03FB"/>
    <w:rsid w:val="00EC0806"/>
    <w:rsid w:val="00EC53C0"/>
    <w:rsid w:val="00ED32D3"/>
    <w:rsid w:val="00ED5232"/>
    <w:rsid w:val="00EE018A"/>
    <w:rsid w:val="00EE0303"/>
    <w:rsid w:val="00EE24A4"/>
    <w:rsid w:val="00EE3169"/>
    <w:rsid w:val="00EF1B42"/>
    <w:rsid w:val="00F033E1"/>
    <w:rsid w:val="00F0470B"/>
    <w:rsid w:val="00F142B2"/>
    <w:rsid w:val="00F173AA"/>
    <w:rsid w:val="00F21C95"/>
    <w:rsid w:val="00F24F0C"/>
    <w:rsid w:val="00F30F85"/>
    <w:rsid w:val="00F3193C"/>
    <w:rsid w:val="00F3199E"/>
    <w:rsid w:val="00F32488"/>
    <w:rsid w:val="00F33D30"/>
    <w:rsid w:val="00F41E8B"/>
    <w:rsid w:val="00F46076"/>
    <w:rsid w:val="00F46355"/>
    <w:rsid w:val="00F50D20"/>
    <w:rsid w:val="00F53BE4"/>
    <w:rsid w:val="00F54E65"/>
    <w:rsid w:val="00F62CAB"/>
    <w:rsid w:val="00F82B17"/>
    <w:rsid w:val="00F90A2A"/>
    <w:rsid w:val="00F93FB7"/>
    <w:rsid w:val="00F94628"/>
    <w:rsid w:val="00F96D0A"/>
    <w:rsid w:val="00F97562"/>
    <w:rsid w:val="00F977A1"/>
    <w:rsid w:val="00FA6103"/>
    <w:rsid w:val="00FB1976"/>
    <w:rsid w:val="00FB38A7"/>
    <w:rsid w:val="00FC6841"/>
    <w:rsid w:val="00FC69CD"/>
    <w:rsid w:val="00FD1E67"/>
    <w:rsid w:val="00FD2379"/>
    <w:rsid w:val="00FD38E4"/>
    <w:rsid w:val="00FD4D63"/>
    <w:rsid w:val="00FD5C7E"/>
    <w:rsid w:val="00FD62EC"/>
    <w:rsid w:val="00FD70EF"/>
    <w:rsid w:val="00FE06DD"/>
    <w:rsid w:val="00FE1170"/>
    <w:rsid w:val="00FE1E50"/>
    <w:rsid w:val="00FE2CAE"/>
    <w:rsid w:val="00FE4C4B"/>
    <w:rsid w:val="00FE57AA"/>
    <w:rsid w:val="00FF0BAB"/>
    <w:rsid w:val="00FF354C"/>
    <w:rsid w:val="00FF3644"/>
    <w:rsid w:val="00FF4B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1F0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45F"/>
    <w:rPr>
      <w:rFonts w:ascii="Times New Roman" w:hAnsi="Times New Roman" w:cs="Times New Roman"/>
    </w:rPr>
  </w:style>
  <w:style w:type="paragraph" w:styleId="Heading1">
    <w:name w:val="heading 1"/>
    <w:basedOn w:val="Normal"/>
    <w:next w:val="Normal"/>
    <w:link w:val="Heading1Char"/>
    <w:uiPriority w:val="9"/>
    <w:qFormat/>
    <w:rsid w:val="00B92B74"/>
    <w:pPr>
      <w:keepNext/>
      <w:keepLines/>
      <w:spacing w:before="480"/>
      <w:outlineLvl w:val="0"/>
    </w:pPr>
    <w:rPr>
      <w:rFonts w:asciiTheme="majorHAnsi" w:eastAsiaTheme="majorEastAsia" w:hAnsiTheme="majorHAnsi" w:cstheme="majorBidi"/>
      <w:b/>
      <w:bCs/>
      <w:color w:val="345A8A" w:themeColor="accent1" w:themeShade="B5"/>
      <w:sz w:val="32"/>
      <w:szCs w:val="32"/>
      <w:lang w:val="en-CA"/>
    </w:rPr>
  </w:style>
  <w:style w:type="paragraph" w:styleId="Heading2">
    <w:name w:val="heading 2"/>
    <w:basedOn w:val="Normal"/>
    <w:next w:val="Normal"/>
    <w:link w:val="Heading2Char"/>
    <w:uiPriority w:val="9"/>
    <w:unhideWhenUsed/>
    <w:qFormat/>
    <w:rsid w:val="001B4381"/>
    <w:pPr>
      <w:keepNext/>
      <w:keepLines/>
      <w:spacing w:before="200"/>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69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AD69A7"/>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uiPriority w:val="34"/>
    <w:qFormat/>
    <w:rsid w:val="00B92B74"/>
    <w:pPr>
      <w:ind w:left="720"/>
      <w:contextualSpacing/>
    </w:pPr>
    <w:rPr>
      <w:rFonts w:asciiTheme="minorHAnsi" w:hAnsiTheme="minorHAnsi" w:cstheme="minorBidi"/>
      <w:lang w:val="en-CA"/>
    </w:rPr>
  </w:style>
  <w:style w:type="character" w:customStyle="1" w:styleId="Heading1Char">
    <w:name w:val="Heading 1 Char"/>
    <w:basedOn w:val="DefaultParagraphFont"/>
    <w:link w:val="Heading1"/>
    <w:uiPriority w:val="9"/>
    <w:rsid w:val="00B92B74"/>
    <w:rPr>
      <w:rFonts w:asciiTheme="majorHAnsi" w:eastAsiaTheme="majorEastAsia" w:hAnsiTheme="majorHAnsi" w:cstheme="majorBidi"/>
      <w:b/>
      <w:bCs/>
      <w:color w:val="345A8A" w:themeColor="accent1" w:themeShade="B5"/>
      <w:sz w:val="32"/>
      <w:szCs w:val="32"/>
      <w:lang w:val="en-CA"/>
    </w:rPr>
  </w:style>
  <w:style w:type="character" w:customStyle="1" w:styleId="apple-style-span">
    <w:name w:val="apple-style-span"/>
    <w:basedOn w:val="DefaultParagraphFont"/>
    <w:rsid w:val="00954218"/>
  </w:style>
  <w:style w:type="character" w:customStyle="1" w:styleId="apple-converted-space">
    <w:name w:val="apple-converted-space"/>
    <w:basedOn w:val="DefaultParagraphFont"/>
    <w:rsid w:val="00954218"/>
  </w:style>
  <w:style w:type="paragraph" w:styleId="BalloonText">
    <w:name w:val="Balloon Text"/>
    <w:basedOn w:val="Normal"/>
    <w:link w:val="BalloonTextChar"/>
    <w:uiPriority w:val="99"/>
    <w:semiHidden/>
    <w:unhideWhenUsed/>
    <w:rsid w:val="00505794"/>
    <w:rPr>
      <w:rFonts w:ascii="Lucida Grande" w:hAnsi="Lucida Grande" w:cs="Lucida Grande"/>
      <w:sz w:val="18"/>
      <w:szCs w:val="18"/>
      <w:lang w:val="en-CA"/>
    </w:rPr>
  </w:style>
  <w:style w:type="character" w:customStyle="1" w:styleId="BalloonTextChar">
    <w:name w:val="Balloon Text Char"/>
    <w:basedOn w:val="DefaultParagraphFont"/>
    <w:link w:val="BalloonText"/>
    <w:uiPriority w:val="99"/>
    <w:semiHidden/>
    <w:rsid w:val="00505794"/>
    <w:rPr>
      <w:rFonts w:ascii="Lucida Grande" w:hAnsi="Lucida Grande" w:cs="Lucida Grande"/>
      <w:sz w:val="18"/>
      <w:szCs w:val="18"/>
      <w:lang w:val="en-CA"/>
    </w:rPr>
  </w:style>
  <w:style w:type="paragraph" w:styleId="FootnoteText">
    <w:name w:val="footnote text"/>
    <w:aliases w:val=" Car, Car Car Car Car Car, Car Car Car, Car Car Car Car Car Car Car,Footnote Text Char Char Char,Footnote Text Char Char"/>
    <w:basedOn w:val="Normal"/>
    <w:link w:val="FootnoteTextChar"/>
    <w:uiPriority w:val="99"/>
    <w:unhideWhenUsed/>
    <w:rsid w:val="006A0D07"/>
    <w:rPr>
      <w:rFonts w:asciiTheme="minorHAnsi" w:hAnsiTheme="minorHAnsi" w:cstheme="minorBidi"/>
      <w:lang w:val="en-CA"/>
    </w:rPr>
  </w:style>
  <w:style w:type="character" w:customStyle="1" w:styleId="FootnoteTextChar">
    <w:name w:val="Footnote Text Char"/>
    <w:aliases w:val=" Car Char, Car Car Car Car Car Char, Car Car Car Char, Car Car Car Car Car Car Car Char,Footnote Text Char Char Char Char,Footnote Text Char Char Char1"/>
    <w:basedOn w:val="DefaultParagraphFont"/>
    <w:link w:val="FootnoteText"/>
    <w:uiPriority w:val="99"/>
    <w:rsid w:val="006A0D07"/>
    <w:rPr>
      <w:lang w:val="en-CA"/>
    </w:rPr>
  </w:style>
  <w:style w:type="character" w:styleId="FootnoteReference">
    <w:name w:val="footnote reference"/>
    <w:basedOn w:val="DefaultParagraphFont"/>
    <w:uiPriority w:val="99"/>
    <w:unhideWhenUsed/>
    <w:rsid w:val="006A0D07"/>
    <w:rPr>
      <w:vertAlign w:val="superscript"/>
    </w:rPr>
  </w:style>
  <w:style w:type="character" w:styleId="Hyperlink">
    <w:name w:val="Hyperlink"/>
    <w:basedOn w:val="DefaultParagraphFont"/>
    <w:uiPriority w:val="99"/>
    <w:unhideWhenUsed/>
    <w:rsid w:val="00D90C6E"/>
    <w:rPr>
      <w:color w:val="0000FF" w:themeColor="hyperlink"/>
      <w:u w:val="single"/>
    </w:rPr>
  </w:style>
  <w:style w:type="character" w:styleId="CommentReference">
    <w:name w:val="annotation reference"/>
    <w:basedOn w:val="DefaultParagraphFont"/>
    <w:uiPriority w:val="99"/>
    <w:semiHidden/>
    <w:unhideWhenUsed/>
    <w:rsid w:val="00DA5073"/>
    <w:rPr>
      <w:sz w:val="18"/>
      <w:szCs w:val="18"/>
    </w:rPr>
  </w:style>
  <w:style w:type="paragraph" w:styleId="CommentText">
    <w:name w:val="annotation text"/>
    <w:basedOn w:val="Normal"/>
    <w:link w:val="CommentTextChar"/>
    <w:uiPriority w:val="99"/>
    <w:semiHidden/>
    <w:unhideWhenUsed/>
    <w:rsid w:val="00DA5073"/>
    <w:rPr>
      <w:rFonts w:asciiTheme="minorHAnsi" w:hAnsiTheme="minorHAnsi" w:cstheme="minorBidi"/>
      <w:lang w:val="en-CA"/>
    </w:rPr>
  </w:style>
  <w:style w:type="character" w:customStyle="1" w:styleId="CommentTextChar">
    <w:name w:val="Comment Text Char"/>
    <w:basedOn w:val="DefaultParagraphFont"/>
    <w:link w:val="CommentText"/>
    <w:uiPriority w:val="99"/>
    <w:semiHidden/>
    <w:rsid w:val="00DA5073"/>
    <w:rPr>
      <w:lang w:val="en-CA"/>
    </w:rPr>
  </w:style>
  <w:style w:type="paragraph" w:styleId="CommentSubject">
    <w:name w:val="annotation subject"/>
    <w:basedOn w:val="CommentText"/>
    <w:next w:val="CommentText"/>
    <w:link w:val="CommentSubjectChar"/>
    <w:uiPriority w:val="99"/>
    <w:semiHidden/>
    <w:unhideWhenUsed/>
    <w:rsid w:val="00DA5073"/>
    <w:rPr>
      <w:b/>
      <w:bCs/>
      <w:sz w:val="20"/>
      <w:szCs w:val="20"/>
    </w:rPr>
  </w:style>
  <w:style w:type="character" w:customStyle="1" w:styleId="CommentSubjectChar">
    <w:name w:val="Comment Subject Char"/>
    <w:basedOn w:val="CommentTextChar"/>
    <w:link w:val="CommentSubject"/>
    <w:uiPriority w:val="99"/>
    <w:semiHidden/>
    <w:rsid w:val="00DA5073"/>
    <w:rPr>
      <w:b/>
      <w:bCs/>
      <w:sz w:val="20"/>
      <w:szCs w:val="20"/>
      <w:lang w:val="en-CA"/>
    </w:rPr>
  </w:style>
  <w:style w:type="paragraph" w:styleId="NoSpacing">
    <w:name w:val="No Spacing"/>
    <w:uiPriority w:val="1"/>
    <w:qFormat/>
    <w:rsid w:val="003732F8"/>
    <w:pPr>
      <w:suppressAutoHyphens/>
    </w:pPr>
    <w:rPr>
      <w:rFonts w:ascii="Calibri" w:eastAsia="Calibri" w:hAnsi="Calibri" w:cs="Times New Roman"/>
      <w:sz w:val="22"/>
      <w:szCs w:val="22"/>
      <w:lang w:val="en-CA" w:eastAsia="ar-SA"/>
    </w:rPr>
  </w:style>
  <w:style w:type="paragraph" w:styleId="NormalWeb">
    <w:name w:val="Normal (Web)"/>
    <w:basedOn w:val="Normal"/>
    <w:rsid w:val="003732F8"/>
    <w:pPr>
      <w:spacing w:before="100" w:beforeAutospacing="1" w:after="100" w:afterAutospacing="1"/>
    </w:pPr>
    <w:rPr>
      <w:rFonts w:ascii="Arial" w:eastAsia="Times New Roman" w:hAnsi="Arial" w:cs="Arial"/>
      <w:sz w:val="20"/>
      <w:szCs w:val="20"/>
    </w:rPr>
  </w:style>
  <w:style w:type="character" w:customStyle="1" w:styleId="FootnoteCharacters">
    <w:name w:val="Footnote Characters"/>
    <w:rsid w:val="003732F8"/>
    <w:rPr>
      <w:vertAlign w:val="superscript"/>
    </w:rPr>
  </w:style>
  <w:style w:type="character" w:styleId="Strong">
    <w:name w:val="Strong"/>
    <w:uiPriority w:val="22"/>
    <w:qFormat/>
    <w:rsid w:val="003732F8"/>
    <w:rPr>
      <w:b/>
      <w:bCs/>
    </w:rPr>
  </w:style>
  <w:style w:type="character" w:customStyle="1" w:styleId="cite">
    <w:name w:val="cite"/>
    <w:basedOn w:val="DefaultParagraphFont"/>
    <w:rsid w:val="00C36483"/>
  </w:style>
  <w:style w:type="table" w:styleId="TableGrid">
    <w:name w:val="Table Grid"/>
    <w:basedOn w:val="TableNormal"/>
    <w:uiPriority w:val="59"/>
    <w:rsid w:val="009D2F1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4381"/>
    <w:rPr>
      <w:color w:val="800080" w:themeColor="followedHyperlink"/>
      <w:u w:val="single"/>
    </w:rPr>
  </w:style>
  <w:style w:type="character" w:customStyle="1" w:styleId="Heading2Char">
    <w:name w:val="Heading 2 Char"/>
    <w:basedOn w:val="DefaultParagraphFont"/>
    <w:link w:val="Heading2"/>
    <w:uiPriority w:val="9"/>
    <w:rsid w:val="001B4381"/>
    <w:rPr>
      <w:rFonts w:asciiTheme="majorHAnsi" w:eastAsiaTheme="majorEastAsia" w:hAnsiTheme="majorHAnsi" w:cstheme="majorBidi"/>
      <w:b/>
      <w:bCs/>
      <w:color w:val="4F81BD" w:themeColor="accent1"/>
      <w:sz w:val="26"/>
      <w:szCs w:val="26"/>
      <w:lang w:val="en-CA"/>
    </w:rPr>
  </w:style>
  <w:style w:type="paragraph" w:styleId="Revision">
    <w:name w:val="Revision"/>
    <w:hidden/>
    <w:uiPriority w:val="99"/>
    <w:semiHidden/>
    <w:rsid w:val="00570D2C"/>
    <w:rPr>
      <w:lang w:val="en-CA"/>
    </w:rPr>
  </w:style>
  <w:style w:type="paragraph" w:styleId="DocumentMap">
    <w:name w:val="Document Map"/>
    <w:basedOn w:val="Normal"/>
    <w:link w:val="DocumentMapChar"/>
    <w:uiPriority w:val="99"/>
    <w:semiHidden/>
    <w:unhideWhenUsed/>
    <w:rsid w:val="00653185"/>
  </w:style>
  <w:style w:type="character" w:customStyle="1" w:styleId="DocumentMapChar">
    <w:name w:val="Document Map Char"/>
    <w:basedOn w:val="DefaultParagraphFont"/>
    <w:link w:val="DocumentMap"/>
    <w:uiPriority w:val="99"/>
    <w:semiHidden/>
    <w:rsid w:val="00653185"/>
    <w:rPr>
      <w:rFonts w:ascii="Times New Roman" w:hAnsi="Times New Roman" w:cs="Times New Roman"/>
      <w:lang w:val="en-CA"/>
    </w:rPr>
  </w:style>
  <w:style w:type="paragraph" w:styleId="Header">
    <w:name w:val="header"/>
    <w:basedOn w:val="Normal"/>
    <w:link w:val="HeaderChar"/>
    <w:uiPriority w:val="99"/>
    <w:unhideWhenUsed/>
    <w:rsid w:val="00671FEB"/>
    <w:pPr>
      <w:tabs>
        <w:tab w:val="center" w:pos="4680"/>
        <w:tab w:val="right" w:pos="9360"/>
      </w:tabs>
    </w:pPr>
    <w:rPr>
      <w:rFonts w:asciiTheme="minorHAnsi" w:hAnsiTheme="minorHAnsi" w:cstheme="minorBidi"/>
      <w:lang w:val="en-CA"/>
    </w:rPr>
  </w:style>
  <w:style w:type="character" w:customStyle="1" w:styleId="HeaderChar">
    <w:name w:val="Header Char"/>
    <w:basedOn w:val="DefaultParagraphFont"/>
    <w:link w:val="Header"/>
    <w:uiPriority w:val="99"/>
    <w:rsid w:val="00671FEB"/>
    <w:rPr>
      <w:lang w:val="en-CA"/>
    </w:rPr>
  </w:style>
  <w:style w:type="paragraph" w:styleId="Footer">
    <w:name w:val="footer"/>
    <w:basedOn w:val="Normal"/>
    <w:link w:val="FooterChar"/>
    <w:uiPriority w:val="99"/>
    <w:unhideWhenUsed/>
    <w:rsid w:val="00671FEB"/>
    <w:pPr>
      <w:tabs>
        <w:tab w:val="center" w:pos="4680"/>
        <w:tab w:val="right" w:pos="9360"/>
      </w:tabs>
    </w:pPr>
    <w:rPr>
      <w:rFonts w:asciiTheme="minorHAnsi" w:hAnsiTheme="minorHAnsi" w:cstheme="minorBidi"/>
      <w:lang w:val="en-CA"/>
    </w:rPr>
  </w:style>
  <w:style w:type="character" w:customStyle="1" w:styleId="FooterChar">
    <w:name w:val="Footer Char"/>
    <w:basedOn w:val="DefaultParagraphFont"/>
    <w:link w:val="Footer"/>
    <w:uiPriority w:val="99"/>
    <w:rsid w:val="00671FEB"/>
    <w:rPr>
      <w:lang w:val="en-CA"/>
    </w:rPr>
  </w:style>
  <w:style w:type="paragraph" w:styleId="Subtitle">
    <w:name w:val="Subtitle"/>
    <w:basedOn w:val="Normal"/>
    <w:next w:val="Normal"/>
    <w:link w:val="SubtitleChar"/>
    <w:uiPriority w:val="11"/>
    <w:qFormat/>
    <w:rsid w:val="003E062E"/>
    <w:pPr>
      <w:numPr>
        <w:ilvl w:val="1"/>
      </w:numPr>
      <w:spacing w:after="160"/>
    </w:pPr>
    <w:rPr>
      <w:rFonts w:asciiTheme="minorHAnsi" w:hAnsiTheme="minorHAnsi" w:cstheme="minorBidi"/>
      <w:color w:val="5A5A5A" w:themeColor="text1" w:themeTint="A5"/>
      <w:spacing w:val="15"/>
      <w:sz w:val="22"/>
      <w:szCs w:val="22"/>
      <w:lang w:val="en-CA"/>
    </w:rPr>
  </w:style>
  <w:style w:type="character" w:customStyle="1" w:styleId="SubtitleChar">
    <w:name w:val="Subtitle Char"/>
    <w:basedOn w:val="DefaultParagraphFont"/>
    <w:link w:val="Subtitle"/>
    <w:uiPriority w:val="11"/>
    <w:rsid w:val="003E062E"/>
    <w:rPr>
      <w:color w:val="5A5A5A" w:themeColor="text1" w:themeTint="A5"/>
      <w:spacing w:val="15"/>
      <w:sz w:val="22"/>
      <w:szCs w:val="22"/>
      <w:lang w:val="en-CA"/>
    </w:rPr>
  </w:style>
  <w:style w:type="character" w:styleId="PageNumber">
    <w:name w:val="page number"/>
    <w:basedOn w:val="DefaultParagraphFont"/>
    <w:uiPriority w:val="99"/>
    <w:semiHidden/>
    <w:unhideWhenUsed/>
    <w:rsid w:val="0050510E"/>
  </w:style>
  <w:style w:type="paragraph" w:styleId="TOCHeading">
    <w:name w:val="TOC Heading"/>
    <w:basedOn w:val="Heading1"/>
    <w:next w:val="Normal"/>
    <w:uiPriority w:val="39"/>
    <w:unhideWhenUsed/>
    <w:qFormat/>
    <w:rsid w:val="0050510E"/>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10E"/>
    <w:pPr>
      <w:spacing w:before="120"/>
    </w:pPr>
    <w:rPr>
      <w:rFonts w:asciiTheme="minorHAnsi" w:hAnsiTheme="minorHAnsi" w:cstheme="minorBidi"/>
      <w:b/>
      <w:bCs/>
      <w:lang w:val="en-CA"/>
    </w:rPr>
  </w:style>
  <w:style w:type="paragraph" w:styleId="TOC2">
    <w:name w:val="toc 2"/>
    <w:basedOn w:val="Normal"/>
    <w:next w:val="Normal"/>
    <w:autoRedefine/>
    <w:uiPriority w:val="39"/>
    <w:unhideWhenUsed/>
    <w:rsid w:val="0050510E"/>
    <w:pPr>
      <w:ind w:left="240"/>
    </w:pPr>
    <w:rPr>
      <w:rFonts w:asciiTheme="minorHAnsi" w:hAnsiTheme="minorHAnsi" w:cstheme="minorBidi"/>
      <w:b/>
      <w:bCs/>
      <w:sz w:val="22"/>
      <w:szCs w:val="22"/>
      <w:lang w:val="en-CA"/>
    </w:rPr>
  </w:style>
  <w:style w:type="paragraph" w:styleId="TOC3">
    <w:name w:val="toc 3"/>
    <w:basedOn w:val="Normal"/>
    <w:next w:val="Normal"/>
    <w:autoRedefine/>
    <w:uiPriority w:val="39"/>
    <w:semiHidden/>
    <w:unhideWhenUsed/>
    <w:rsid w:val="0050510E"/>
    <w:pPr>
      <w:ind w:left="480"/>
    </w:pPr>
    <w:rPr>
      <w:sz w:val="22"/>
      <w:szCs w:val="22"/>
    </w:rPr>
  </w:style>
  <w:style w:type="paragraph" w:styleId="TOC4">
    <w:name w:val="toc 4"/>
    <w:basedOn w:val="Normal"/>
    <w:next w:val="Normal"/>
    <w:autoRedefine/>
    <w:uiPriority w:val="39"/>
    <w:semiHidden/>
    <w:unhideWhenUsed/>
    <w:rsid w:val="0050510E"/>
    <w:pPr>
      <w:ind w:left="720"/>
    </w:pPr>
    <w:rPr>
      <w:sz w:val="20"/>
      <w:szCs w:val="20"/>
    </w:rPr>
  </w:style>
  <w:style w:type="paragraph" w:styleId="TOC5">
    <w:name w:val="toc 5"/>
    <w:basedOn w:val="Normal"/>
    <w:next w:val="Normal"/>
    <w:autoRedefine/>
    <w:uiPriority w:val="39"/>
    <w:semiHidden/>
    <w:unhideWhenUsed/>
    <w:rsid w:val="0050510E"/>
    <w:pPr>
      <w:ind w:left="960"/>
    </w:pPr>
    <w:rPr>
      <w:sz w:val="20"/>
      <w:szCs w:val="20"/>
    </w:rPr>
  </w:style>
  <w:style w:type="paragraph" w:styleId="TOC6">
    <w:name w:val="toc 6"/>
    <w:basedOn w:val="Normal"/>
    <w:next w:val="Normal"/>
    <w:autoRedefine/>
    <w:uiPriority w:val="39"/>
    <w:semiHidden/>
    <w:unhideWhenUsed/>
    <w:rsid w:val="0050510E"/>
    <w:pPr>
      <w:ind w:left="1200"/>
    </w:pPr>
    <w:rPr>
      <w:sz w:val="20"/>
      <w:szCs w:val="20"/>
    </w:rPr>
  </w:style>
  <w:style w:type="paragraph" w:styleId="TOC7">
    <w:name w:val="toc 7"/>
    <w:basedOn w:val="Normal"/>
    <w:next w:val="Normal"/>
    <w:autoRedefine/>
    <w:uiPriority w:val="39"/>
    <w:semiHidden/>
    <w:unhideWhenUsed/>
    <w:rsid w:val="0050510E"/>
    <w:pPr>
      <w:ind w:left="1440"/>
    </w:pPr>
    <w:rPr>
      <w:sz w:val="20"/>
      <w:szCs w:val="20"/>
    </w:rPr>
  </w:style>
  <w:style w:type="paragraph" w:styleId="TOC8">
    <w:name w:val="toc 8"/>
    <w:basedOn w:val="Normal"/>
    <w:next w:val="Normal"/>
    <w:autoRedefine/>
    <w:uiPriority w:val="39"/>
    <w:semiHidden/>
    <w:unhideWhenUsed/>
    <w:rsid w:val="0050510E"/>
    <w:pPr>
      <w:ind w:left="1680"/>
    </w:pPr>
    <w:rPr>
      <w:sz w:val="20"/>
      <w:szCs w:val="20"/>
    </w:rPr>
  </w:style>
  <w:style w:type="paragraph" w:styleId="TOC9">
    <w:name w:val="toc 9"/>
    <w:basedOn w:val="Normal"/>
    <w:next w:val="Normal"/>
    <w:autoRedefine/>
    <w:uiPriority w:val="39"/>
    <w:semiHidden/>
    <w:unhideWhenUsed/>
    <w:rsid w:val="0050510E"/>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8245">
      <w:bodyDiv w:val="1"/>
      <w:marLeft w:val="0"/>
      <w:marRight w:val="0"/>
      <w:marTop w:val="0"/>
      <w:marBottom w:val="0"/>
      <w:divBdr>
        <w:top w:val="none" w:sz="0" w:space="0" w:color="auto"/>
        <w:left w:val="none" w:sz="0" w:space="0" w:color="auto"/>
        <w:bottom w:val="none" w:sz="0" w:space="0" w:color="auto"/>
        <w:right w:val="none" w:sz="0" w:space="0" w:color="auto"/>
      </w:divBdr>
    </w:div>
    <w:div w:id="355274978">
      <w:bodyDiv w:val="1"/>
      <w:marLeft w:val="0"/>
      <w:marRight w:val="0"/>
      <w:marTop w:val="0"/>
      <w:marBottom w:val="0"/>
      <w:divBdr>
        <w:top w:val="none" w:sz="0" w:space="0" w:color="auto"/>
        <w:left w:val="none" w:sz="0" w:space="0" w:color="auto"/>
        <w:bottom w:val="none" w:sz="0" w:space="0" w:color="auto"/>
        <w:right w:val="none" w:sz="0" w:space="0" w:color="auto"/>
      </w:divBdr>
    </w:div>
    <w:div w:id="1003705277">
      <w:bodyDiv w:val="1"/>
      <w:marLeft w:val="0"/>
      <w:marRight w:val="0"/>
      <w:marTop w:val="0"/>
      <w:marBottom w:val="0"/>
      <w:divBdr>
        <w:top w:val="none" w:sz="0" w:space="0" w:color="auto"/>
        <w:left w:val="none" w:sz="0" w:space="0" w:color="auto"/>
        <w:bottom w:val="none" w:sz="0" w:space="0" w:color="auto"/>
        <w:right w:val="none" w:sz="0" w:space="0" w:color="auto"/>
      </w:divBdr>
    </w:div>
    <w:div w:id="1251348680">
      <w:bodyDiv w:val="1"/>
      <w:marLeft w:val="0"/>
      <w:marRight w:val="0"/>
      <w:marTop w:val="0"/>
      <w:marBottom w:val="0"/>
      <w:divBdr>
        <w:top w:val="none" w:sz="0" w:space="0" w:color="auto"/>
        <w:left w:val="none" w:sz="0" w:space="0" w:color="auto"/>
        <w:bottom w:val="none" w:sz="0" w:space="0" w:color="auto"/>
        <w:right w:val="none" w:sz="0" w:space="0" w:color="auto"/>
      </w:divBdr>
    </w:div>
    <w:div w:id="1283808339">
      <w:bodyDiv w:val="1"/>
      <w:marLeft w:val="0"/>
      <w:marRight w:val="0"/>
      <w:marTop w:val="0"/>
      <w:marBottom w:val="0"/>
      <w:divBdr>
        <w:top w:val="none" w:sz="0" w:space="0" w:color="auto"/>
        <w:left w:val="none" w:sz="0" w:space="0" w:color="auto"/>
        <w:bottom w:val="none" w:sz="0" w:space="0" w:color="auto"/>
        <w:right w:val="none" w:sz="0" w:space="0" w:color="auto"/>
      </w:divBdr>
    </w:div>
    <w:div w:id="1381520033">
      <w:bodyDiv w:val="1"/>
      <w:marLeft w:val="0"/>
      <w:marRight w:val="0"/>
      <w:marTop w:val="0"/>
      <w:marBottom w:val="0"/>
      <w:divBdr>
        <w:top w:val="none" w:sz="0" w:space="0" w:color="auto"/>
        <w:left w:val="none" w:sz="0" w:space="0" w:color="auto"/>
        <w:bottom w:val="none" w:sz="0" w:space="0" w:color="auto"/>
        <w:right w:val="none" w:sz="0" w:space="0" w:color="auto"/>
      </w:divBdr>
    </w:div>
    <w:div w:id="1984238552">
      <w:bodyDiv w:val="1"/>
      <w:marLeft w:val="0"/>
      <w:marRight w:val="0"/>
      <w:marTop w:val="0"/>
      <w:marBottom w:val="0"/>
      <w:divBdr>
        <w:top w:val="none" w:sz="0" w:space="0" w:color="auto"/>
        <w:left w:val="none" w:sz="0" w:space="0" w:color="auto"/>
        <w:bottom w:val="none" w:sz="0" w:space="0" w:color="auto"/>
        <w:right w:val="none" w:sz="0" w:space="0" w:color="auto"/>
      </w:divBdr>
    </w:div>
    <w:div w:id="2001418886">
      <w:bodyDiv w:val="1"/>
      <w:marLeft w:val="0"/>
      <w:marRight w:val="0"/>
      <w:marTop w:val="0"/>
      <w:marBottom w:val="0"/>
      <w:divBdr>
        <w:top w:val="none" w:sz="0" w:space="0" w:color="auto"/>
        <w:left w:val="none" w:sz="0" w:space="0" w:color="auto"/>
        <w:bottom w:val="none" w:sz="0" w:space="0" w:color="auto"/>
        <w:right w:val="none" w:sz="0" w:space="0" w:color="auto"/>
      </w:divBdr>
    </w:div>
    <w:div w:id="2068718695">
      <w:bodyDiv w:val="1"/>
      <w:marLeft w:val="0"/>
      <w:marRight w:val="0"/>
      <w:marTop w:val="0"/>
      <w:marBottom w:val="0"/>
      <w:divBdr>
        <w:top w:val="none" w:sz="0" w:space="0" w:color="auto"/>
        <w:left w:val="none" w:sz="0" w:space="0" w:color="auto"/>
        <w:bottom w:val="none" w:sz="0" w:space="0" w:color="auto"/>
        <w:right w:val="none" w:sz="0" w:space="0" w:color="auto"/>
      </w:divBdr>
    </w:div>
    <w:div w:id="2094815713">
      <w:bodyDiv w:val="1"/>
      <w:marLeft w:val="0"/>
      <w:marRight w:val="0"/>
      <w:marTop w:val="0"/>
      <w:marBottom w:val="0"/>
      <w:divBdr>
        <w:top w:val="none" w:sz="0" w:space="0" w:color="auto"/>
        <w:left w:val="none" w:sz="0" w:space="0" w:color="auto"/>
        <w:bottom w:val="none" w:sz="0" w:space="0" w:color="auto"/>
        <w:right w:val="none" w:sz="0" w:space="0" w:color="auto"/>
      </w:divBdr>
    </w:div>
    <w:div w:id="21329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asa.ca"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pbo-dpb.gc.ca/web/default/files/Documents/Reports/2016/PSE/PSE_EN.pdf" TargetMode="External"/><Relationship Id="rId14" Type="http://schemas.openxmlformats.org/officeDocument/2006/relationships/hyperlink" Target="https://www.budget.gc.ca/2008/pdf/plan-fra.pdf" TargetMode="External"/><Relationship Id="rId15" Type="http://schemas.openxmlformats.org/officeDocument/2006/relationships/hyperlink" Target="http://www.aucc.ca/media-room/publications/momentum-the-2008-report-on-university-research-and-knowledge-mobilization/" TargetMode="External"/><Relationship Id="rId16" Type="http://schemas.openxmlformats.org/officeDocument/2006/relationships/hyperlink" Target="http://www.conferenceboard.ca/hcp/details/education/phd-graduates.aspx" TargetMode="External"/><Relationship Id="rId17" Type="http://schemas.openxmlformats.org/officeDocument/2006/relationships/hyperlink" Target="http://www.statcan.gc.ca/daily-quotidien/160907/dq160907a-fra.htm" TargetMode="External"/><Relationship Id="rId18" Type="http://schemas.openxmlformats.org/officeDocument/2006/relationships/hyperlink" Target="http://www.cusc-ccreu.ca/CUSC_2015_Graduating_Master_Report_French.pdf" TargetMode="External"/><Relationship Id="rId19" Type="http://schemas.openxmlformats.org/officeDocument/2006/relationships/hyperlink" Target="http://www.universityaffairs.ca/features/feature-article/the-phd-is-in-need-of-revision/" TargetMode="External"/><Relationship Id="rId50" Type="http://schemas.openxmlformats.org/officeDocument/2006/relationships/hyperlink" Target="http://www.statcan.gc.ca/pub/11-008-x/2012002/article/11697-fra.htm" TargetMode="External"/><Relationship Id="rId51" Type="http://schemas.openxmlformats.org/officeDocument/2006/relationships/hyperlink" Target="http://irpp.org/wp-content/uploads/2017/03/study-no63.pdf" TargetMode="External"/><Relationship Id="rId52" Type="http://schemas.openxmlformats.org/officeDocument/2006/relationships/hyperlink" Target="http://irpp.org/wp-content/uploads/2017/03/study-no63.pdf" TargetMode="External"/><Relationship Id="rId53" Type="http://schemas.openxmlformats.org/officeDocument/2006/relationships/hyperlink" Target="https://www.canada.ca/fr/emploi-developpement-social/programmes/prets-bourses-canadiens-etudiants/rapports/pcpe-2013.html" TargetMode="External"/><Relationship Id="rId54" Type="http://schemas.openxmlformats.org/officeDocument/2006/relationships/hyperlink" Target="https://www.canada.ca/fr/emploi-developpement-social/programmes/prets-bourses-canadiens-etudiants/rapports/pcpe-2014.html" TargetMode="External"/><Relationship Id="rId55" Type="http://schemas.openxmlformats.org/officeDocument/2006/relationships/hyperlink" Target="http://higheredstrategy.com/comparing-international-student-loan-repayment-plans/" TargetMode="External"/><Relationship Id="rId40" Type="http://schemas.openxmlformats.org/officeDocument/2006/relationships/hyperlink" Target="http://publications.gc.ca/collections/collection_2013/rhdcc-hrsdc/HS45-2-2012-fra.pdf" TargetMode="External"/><Relationship Id="rId41" Type="http://schemas.openxmlformats.org/officeDocument/2006/relationships/hyperlink" Target="http://www.macleans.ca/education/uniandcollege/student-loan-activist-says-ottawa-misuses-term-grace-period/" TargetMode="External"/><Relationship Id="rId42" Type="http://schemas.openxmlformats.org/officeDocument/2006/relationships/hyperlink" Target="https://www.canada.ca/fr/emploi-developpement-social/ministere/rapports/evaluations/apprentissage-2011-juin.html" TargetMode="External"/><Relationship Id="rId43" Type="http://schemas.openxmlformats.org/officeDocument/2006/relationships/hyperlink" Target="https://www.canada.ca/fr/emploi-developpement-social/programmes/prets-bourses-canadiens-etudiants/rapports/pcpe-2014.html" TargetMode="External"/><Relationship Id="rId44" Type="http://schemas.openxmlformats.org/officeDocument/2006/relationships/hyperlink" Target="http://www.canlearn.ca/eng/loans_grants/repayment/help/repayment_assistance.shtml" TargetMode="External"/><Relationship Id="rId45" Type="http://schemas.openxmlformats.org/officeDocument/2006/relationships/hyperlink" Target="https://www.canada.ca/fr/emploi-developpement-social/programmes/assurance-emploi/ae-liste/rapports/prestations-reguliere.html" TargetMode="External"/><Relationship Id="rId46" Type="http://schemas.openxmlformats.org/officeDocument/2006/relationships/hyperlink" Target="http://irpp.org/wp-content/uploads/2017/03/study-no63.pdf" TargetMode="External"/><Relationship Id="rId47" Type="http://schemas.openxmlformats.org/officeDocument/2006/relationships/hyperlink" Target="http://www.cusc-ccreu.ca/CUSC_2015_Graduating_Master_Report_French.pdf" TargetMode="External"/><Relationship Id="rId48" Type="http://schemas.openxmlformats.org/officeDocument/2006/relationships/hyperlink" Target="https://osap.gov.on.ca/AidEstimator1718Web/enterapp/debt_calculator.xhtml?commonTask=Y" TargetMode="External"/><Relationship Id="rId49" Type="http://schemas.openxmlformats.org/officeDocument/2006/relationships/hyperlink" Target="https://www.canada.ca/fr/emploi-developpement-social/services/education/termes-revision.html-financial-aid/student-loan/student-loans/pay-back/revision-terms.html?wbdisable=true" TargetMode="External"/><Relationship Id="rId1" Type="http://schemas.openxmlformats.org/officeDocument/2006/relationships/hyperlink" Target="http://www.pbo-dpb.gc.ca/web/default/files/Documents/Reports/2016/PSE/PSE_FR.pdf" TargetMode="External"/><Relationship Id="rId2" Type="http://schemas.openxmlformats.org/officeDocument/2006/relationships/hyperlink" Target="https://www.canada.ca/fr/emploi-developpement-social/programmes/prets-bourses-canadiens-etudiants/rapports/pcpe-2014.html" TargetMode="External"/><Relationship Id="rId3" Type="http://schemas.openxmlformats.org/officeDocument/2006/relationships/hyperlink" Target="https://www.canada.ca/fr/emploi-developpement-social/programmes/prets-bourses-canadiens-etudiants/rapports/statistique-2014.html" TargetMode="External"/><Relationship Id="rId4" Type="http://schemas.openxmlformats.org/officeDocument/2006/relationships/hyperlink" Target="http://www12.esdc.gc.ca/sgpe-pmps/p.5bd.2t.1.3ls@-eng.jsp?pid=6436" TargetMode="External"/><Relationship Id="rId5" Type="http://schemas.openxmlformats.org/officeDocument/2006/relationships/hyperlink" Target="https://www.canada.ca/fr/emploi-developpement-social/programmes/prets-bourses-canadiens-etudiants/rapports/pcpe-2015.html" TargetMode="External"/><Relationship Id="rId6" Type="http://schemas.openxmlformats.org/officeDocument/2006/relationships/hyperlink" Target="https://www.canada.ca/fr/emploi-developpement-social/programmes/prets-bourses-canadiens-etudiants/rapports/pcpe-2015.html" TargetMode="External"/><Relationship Id="rId7" Type="http://schemas.openxmlformats.org/officeDocument/2006/relationships/hyperlink" Target="http://www.noscommunes.ca/DocumentViewer/fr/39-1/AANO/rapport-6" TargetMode="External"/><Relationship Id="rId8" Type="http://schemas.openxmlformats.org/officeDocument/2006/relationships/hyperlink" Target="http://www12.statcan.gc.ca/nhs-enm/2011/as-sa/99-011-x/99-011-x2011001-fra.cfm" TargetMode="External"/><Relationship Id="rId9" Type="http://schemas.openxmlformats.org/officeDocument/2006/relationships/hyperlink" Target="http://www12.statcan.gc.ca/nhs-enm/2011/as-sa/99-012-x/99-012-x2011003_3-fra.cfm" TargetMode="External"/><Relationship Id="rId30" Type="http://schemas.openxmlformats.org/officeDocument/2006/relationships/hyperlink" Target="https://sencanada.ca/content/sen/committee/411/soci/rep/rep06dec11-f.pdf" TargetMode="External"/><Relationship Id="rId31" Type="http://schemas.openxmlformats.org/officeDocument/2006/relationships/hyperlink" Target="https://www.canada.ca/fr/emploi-developpement-social/services/education/prestations-invalidite-grave-permanente.html" TargetMode="External"/><Relationship Id="rId32" Type="http://schemas.openxmlformats.org/officeDocument/2006/relationships/hyperlink" Target="http://www.neads.ca/fr/norc/eag/eag_fr.pdf" TargetMode="External"/><Relationship Id="rId33" Type="http://schemas.openxmlformats.org/officeDocument/2006/relationships/hyperlink" Target="https://lop.parl.ca/content/lop/researchpublications/prb0343-f.htm" TargetMode="External"/><Relationship Id="rId34" Type="http://schemas.openxmlformats.org/officeDocument/2006/relationships/hyperlink" Target="http://www.osfi-bsif.gc.ca/fra/oca-bac/ar-ra/cslp-pcpe/Pages/CSLP_2011.aspx" TargetMode="External"/><Relationship Id="rId35" Type="http://schemas.openxmlformats.org/officeDocument/2006/relationships/hyperlink" Target="http://www.casa-acae.com/research?page=3" TargetMode="External"/><Relationship Id="rId36" Type="http://schemas.openxmlformats.org/officeDocument/2006/relationships/hyperlink" Target="https://www.canada.ca/fr/emploi-developpement-social/programmes/prets-bourses-canadiens-etudiants/rapports/pcpe-2013.html" TargetMode="External"/><Relationship Id="rId37" Type="http://schemas.openxmlformats.org/officeDocument/2006/relationships/hyperlink" Target="http://www.registrarsoffice.ualberta.ca/Registration-and-Courses/How-to-Register/Tuition-Deposit.aspx" TargetMode="External"/><Relationship Id="rId38" Type="http://schemas.openxmlformats.org/officeDocument/2006/relationships/hyperlink" Target="http://www.capres.ca/wp-content/uploads/2015/01/Impact-bourses-juillet06.pdf" TargetMode="External"/><Relationship Id="rId39" Type="http://schemas.openxmlformats.org/officeDocument/2006/relationships/hyperlink" Target="http://www.osfi-bsif.gc.ca/fra/Docs/CSLP_2014.pdf" TargetMode="External"/><Relationship Id="rId20" Type="http://schemas.openxmlformats.org/officeDocument/2006/relationships/hyperlink" Target="http://www.queensu.ca/sgs/sites/webpublish.queensu.ca.sgswww/files/files/Faculty-degree%20completion/TTC%20Survey%20Final%20report.pdf" TargetMode="External"/><Relationship Id="rId21" Type="http://schemas.openxmlformats.org/officeDocument/2006/relationships/hyperlink" Target="http://www.statcan.gc.ca/pub/89-654-x/89-654-x2015005-fra.htm" TargetMode="External"/><Relationship Id="rId22" Type="http://schemas.openxmlformats.org/officeDocument/2006/relationships/hyperlink" Target="http://www.statcan.gc.ca/pub/89-654-x/89-654-x2015005-fra.htm" TargetMode="External"/><Relationship Id="rId23" Type="http://schemas.openxmlformats.org/officeDocument/2006/relationships/hyperlink" Target="http://www.statcan.gc.ca/pub/89-654-x/89-654-x2015005-fra.htm" TargetMode="External"/><Relationship Id="rId24" Type="http://schemas.openxmlformats.org/officeDocument/2006/relationships/hyperlink" Target="https://sencanada.ca/content/sen/committee/411/soci/rep/rep06dec11-f.pdf" TargetMode="External"/><Relationship Id="rId25" Type="http://schemas.openxmlformats.org/officeDocument/2006/relationships/hyperlink" Target="http://www.statcan.gc.ca/pub/89-654-x/89-654-x2015005-fra.htm" TargetMode="External"/><Relationship Id="rId26" Type="http://schemas.openxmlformats.org/officeDocument/2006/relationships/hyperlink" Target="https://www.canada.ca/fr/emploi-developpement-social/programmes/prets-bourses-canadiens-etudiants/rapports/pcpe-2015.html" TargetMode="External"/><Relationship Id="rId27" Type="http://schemas.openxmlformats.org/officeDocument/2006/relationships/hyperlink" Target="http://www.neads.ca/fr/norc/eag/eag_fr.pdf" TargetMode="External"/><Relationship Id="rId28" Type="http://schemas.openxmlformats.org/officeDocument/2006/relationships/hyperlink" Target="http://www.heqco.ca/SiteCollectionDocuments/Succeeding_with_disabilities_FR.pdf" TargetMode="External"/><Relationship Id="rId29" Type="http://schemas.openxmlformats.org/officeDocument/2006/relationships/hyperlink" Target="http://www.statcan.gc.ca/pub/89-654-x/89-654-x2015005-fra.htm" TargetMode="External"/><Relationship Id="rId10" Type="http://schemas.openxmlformats.org/officeDocument/2006/relationships/hyperlink" Target="http://www.capres.ca/wp-content/uploads/2015/01/Autochtones-PS-janv04.pdf" TargetMode="External"/><Relationship Id="rId11" Type="http://schemas.openxmlformats.org/officeDocument/2006/relationships/hyperlink" Target="http://www.trc.ca/websites/trcinstitution/File/French_Exec_Summary_web_revised.pdf" TargetMode="External"/><Relationship Id="rId12" Type="http://schemas.openxmlformats.org/officeDocument/2006/relationships/hyperlink" Target="http://www.trc.ca/websites/trcinstitution/File/2015/Findings/Principes%20de%20la%20verite%20et%20de%20la%20reconcil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2E3A48-7114-3E49-919A-3CB525BF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27</Pages>
  <Words>8029</Words>
  <Characters>45766</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 and Research</dc:creator>
  <cp:lastModifiedBy>Lindsay Boyd</cp:lastModifiedBy>
  <cp:revision>49</cp:revision>
  <cp:lastPrinted>2018-01-15T15:45:00Z</cp:lastPrinted>
  <dcterms:created xsi:type="dcterms:W3CDTF">2018-01-11T18:33:00Z</dcterms:created>
  <dcterms:modified xsi:type="dcterms:W3CDTF">2018-06-15T18:39:00Z</dcterms:modified>
</cp:coreProperties>
</file>