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8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0"/>
      </w:tblGrid>
      <w:tr w:rsidR="008B6D51" w:rsidRPr="00702721" w14:paraId="6E410543" w14:textId="77777777" w:rsidTr="008B6D51">
        <w:trPr>
          <w:trHeight w:val="2129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8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3484"/>
              <w:gridCol w:w="3240"/>
              <w:gridCol w:w="2092"/>
            </w:tblGrid>
            <w:tr w:rsidR="008B6D51" w:rsidRPr="00702721" w14:paraId="09F149C7" w14:textId="77777777" w:rsidTr="00FD6661">
              <w:trPr>
                <w:trHeight w:val="870"/>
              </w:trPr>
              <w:tc>
                <w:tcPr>
                  <w:tcW w:w="10184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788C39B" w14:textId="5F6669C5" w:rsidR="008B6D51" w:rsidRPr="00702721" w:rsidRDefault="008B6D51" w:rsidP="00D82CCC">
                  <w:pPr>
                    <w:pStyle w:val="Heading1"/>
                    <w:spacing w:before="0" w:after="0"/>
                    <w:ind w:left="144" w:right="13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4"/>
                      <w:szCs w:val="24"/>
                    </w:rPr>
                    <w:t>COMITÉ NATIONAL DE CONSULTATION PATRONALE-SYNDICALE (CNCPS)</w:t>
                  </w:r>
                </w:p>
                <w:p w14:paraId="14C4DBCA" w14:textId="11CEC5BF" w:rsidR="008B6D51" w:rsidRPr="00702721" w:rsidRDefault="008B6D51" w:rsidP="00D82CCC">
                  <w:pPr>
                    <w:pStyle w:val="Heading2"/>
                    <w:spacing w:before="0"/>
                    <w:ind w:left="144" w:right="13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4"/>
                      <w:szCs w:val="24"/>
                    </w:rPr>
                    <w:t>Compte rendu des discussions</w:t>
                  </w:r>
                </w:p>
                <w:p w14:paraId="6703701F" w14:textId="753827AF" w:rsidR="008B6D51" w:rsidRPr="00702721" w:rsidRDefault="00E63A1D" w:rsidP="00D82CCC">
                  <w:pPr>
                    <w:pStyle w:val="NormalWeb"/>
                    <w:spacing w:before="0" w:after="0"/>
                    <w:ind w:left="144" w:right="13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</w:rPr>
                    <w:t>Le 5 février 2019</w:t>
                  </w:r>
                </w:p>
              </w:tc>
            </w:tr>
            <w:tr w:rsidR="008B6D51" w:rsidRPr="00702721" w14:paraId="3449FB5D" w14:textId="77777777" w:rsidTr="00F747F0">
              <w:trPr>
                <w:trHeight w:val="305"/>
              </w:trPr>
              <w:tc>
                <w:tcPr>
                  <w:tcW w:w="10184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4B7ACB" w14:textId="618AA0D1" w:rsidR="00346693" w:rsidRPr="00702721" w:rsidRDefault="008B6D51" w:rsidP="00346693">
                  <w:pPr>
                    <w:pStyle w:val="NormalWeb"/>
                    <w:spacing w:before="0" w:after="0"/>
                    <w:ind w:left="144" w:right="130"/>
                    <w:jc w:val="center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Mot d</w:t>
                  </w:r>
                  <w:r w:rsidR="005A2A31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ouverture – Lori </w:t>
                  </w:r>
                  <w:proofErr w:type="spellStart"/>
                  <w:r w:rsidRPr="00702721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MacDonald</w:t>
                  </w:r>
                  <w:proofErr w:type="spellEnd"/>
                  <w:r w:rsidRPr="00702721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 xml:space="preserve">, sous-ministre déléguée (SMD), au nom de </w:t>
                  </w:r>
                </w:p>
                <w:p w14:paraId="605DBC89" w14:textId="22B27B30" w:rsidR="008B6D51" w:rsidRPr="00702721" w:rsidRDefault="003A0704" w:rsidP="00346693">
                  <w:pPr>
                    <w:pStyle w:val="NormalWeb"/>
                    <w:spacing w:before="0" w:after="0"/>
                    <w:ind w:left="144" w:right="130"/>
                    <w:jc w:val="center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Marta Morgan, sous-ministre et coprésidente, partie patronale</w:t>
                  </w:r>
                </w:p>
                <w:p w14:paraId="08A81C15" w14:textId="7B2C5E1E" w:rsidR="005067C0" w:rsidRPr="00702721" w:rsidRDefault="003A0704" w:rsidP="00610D2F">
                  <w:pPr>
                    <w:pStyle w:val="NormalWeb"/>
                    <w:spacing w:before="120" w:after="120"/>
                    <w:ind w:left="142" w:right="13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b/>
                      <w:sz w:val="20"/>
                      <w:szCs w:val="20"/>
                    </w:rPr>
                    <w:t>Eddy Bourque, président national, Syndicat de l</w:t>
                  </w:r>
                  <w:r w:rsidR="005A2A31">
                    <w:rPr>
                      <w:rFonts w:ascii="Arial" w:hAnsi="Arial"/>
                      <w:b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b/>
                      <w:sz w:val="20"/>
                      <w:szCs w:val="20"/>
                    </w:rPr>
                    <w:t>emploi et de l</w:t>
                  </w:r>
                  <w:r w:rsidR="005A2A31">
                    <w:rPr>
                      <w:rFonts w:ascii="Arial" w:hAnsi="Arial"/>
                      <w:b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immigration du Canada (SEIC) et coprésident, partie syndicale   </w:t>
                  </w:r>
                </w:p>
              </w:tc>
            </w:tr>
            <w:tr w:rsidR="008B6D51" w:rsidRPr="00702721" w14:paraId="7C1CB2C4" w14:textId="77777777" w:rsidTr="00E63A1D">
              <w:trPr>
                <w:trHeight w:val="1077"/>
              </w:trPr>
              <w:tc>
                <w:tcPr>
                  <w:tcW w:w="10184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8ABA90" w14:textId="408E5A55" w:rsidR="003A18DD" w:rsidRPr="00702721" w:rsidRDefault="003A18DD" w:rsidP="003A18D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La SMD ouvre la réunion avec une présentation de tous les participants et une brève mise à jour sur les priorités ministérielles. E. Bourque (SEIC) souhaite la bienvenue à tous les participants à la table et mentionne qu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il a hâte d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entendre parler des changements à venir dans une perspective de transformation. </w:t>
                  </w:r>
                </w:p>
                <w:p w14:paraId="51240DC0" w14:textId="77777777" w:rsidR="003A18DD" w:rsidRPr="00702721" w:rsidRDefault="003A18DD" w:rsidP="003A18D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306267" w14:textId="77777777" w:rsidR="003A18DD" w:rsidRPr="00702721" w:rsidRDefault="003A18DD" w:rsidP="003A18D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Le compte rendu des discussions de la réunion du 4 octobre 2018 est approuvé.</w:t>
                  </w:r>
                </w:p>
                <w:p w14:paraId="2E3BF996" w14:textId="77777777" w:rsidR="003A18DD" w:rsidRPr="00702721" w:rsidRDefault="003A18DD" w:rsidP="003A18D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1AB849" w14:textId="15D5B9D0" w:rsidR="005D276F" w:rsidRPr="00702721" w:rsidRDefault="00644E4A" w:rsidP="003A18D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C. Warner (SEIC) demande que l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on réserve du temps à l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ordre du jour pour discuter de la dotation à IRCC.</w:t>
                  </w:r>
                </w:p>
              </w:tc>
            </w:tr>
            <w:tr w:rsidR="008B6D51" w:rsidRPr="00702721" w14:paraId="76A094CA" w14:textId="77777777" w:rsidTr="00FD6661">
              <w:trPr>
                <w:trHeight w:val="717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032CA2" w14:textId="71F857A6" w:rsidR="008B6D51" w:rsidRPr="00702721" w:rsidRDefault="00E63A1D" w:rsidP="00EE1BA9">
                  <w:pPr>
                    <w:pStyle w:val="NormalWeb"/>
                    <w:spacing w:after="120"/>
                    <w:ind w:left="142" w:right="135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02721">
                    <w:rPr>
                      <w:rFonts w:ascii="Arial" w:hAnsi="Arial"/>
                      <w:b/>
                      <w:sz w:val="20"/>
                    </w:rPr>
                    <w:t>Mise à jour de fin d</w:t>
                  </w:r>
                  <w:r w:rsidR="005A2A31">
                    <w:rPr>
                      <w:rFonts w:ascii="Arial" w:hAnsi="Arial"/>
                      <w:b/>
                      <w:sz w:val="20"/>
                    </w:rPr>
                    <w:t>’</w:t>
                  </w:r>
                  <w:r w:rsidRPr="00702721">
                    <w:rPr>
                      <w:rFonts w:ascii="Arial" w:hAnsi="Arial"/>
                      <w:b/>
                      <w:sz w:val="20"/>
                    </w:rPr>
                    <w:t>année sur le Plan pluriannuel des niveaux (PPN) d</w:t>
                  </w:r>
                  <w:r w:rsidR="005A2A31">
                    <w:rPr>
                      <w:rFonts w:ascii="Arial" w:hAnsi="Arial"/>
                      <w:b/>
                      <w:sz w:val="20"/>
                    </w:rPr>
                    <w:t>’</w:t>
                  </w:r>
                  <w:r w:rsidRPr="00702721">
                    <w:rPr>
                      <w:rFonts w:ascii="Arial" w:hAnsi="Arial"/>
                      <w:b/>
                      <w:sz w:val="20"/>
                    </w:rPr>
                    <w:t xml:space="preserve">IRCC 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FA1911" w14:textId="48C7E2F8" w:rsidR="008B6D51" w:rsidRPr="00702721" w:rsidRDefault="00C43FB1" w:rsidP="00506219">
                  <w:pPr>
                    <w:pStyle w:val="NormalWeb"/>
                    <w:spacing w:before="120" w:after="120"/>
                    <w:ind w:left="578" w:right="136" w:hanging="499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D</w:t>
                  </w:r>
                  <w:r w:rsidRPr="00702721">
                    <w:rPr>
                      <w:rStyle w:val="Strong"/>
                      <w:rFonts w:ascii="Arial" w:hAnsi="Arial"/>
                      <w:sz w:val="20"/>
                      <w:vertAlign w:val="superscript"/>
                    </w:rPr>
                    <w:t>r</w:t>
                  </w: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 Harpreet </w:t>
                  </w:r>
                  <w:proofErr w:type="spellStart"/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Kochhar</w:t>
                  </w:r>
                  <w:proofErr w:type="spellEnd"/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, </w:t>
                  </w:r>
                  <w:r w:rsidR="00506219" w:rsidRPr="00702721">
                    <w:rPr>
                      <w:rStyle w:val="Strong"/>
                      <w:rFonts w:ascii="Arial" w:hAnsi="Arial"/>
                      <w:sz w:val="20"/>
                    </w:rPr>
                    <w:t>SMA</w:t>
                  </w:r>
                  <w:r w:rsidR="00506219">
                    <w:rPr>
                      <w:rStyle w:val="Strong"/>
                      <w:rFonts w:ascii="Arial" w:hAnsi="Arial"/>
                      <w:sz w:val="20"/>
                    </w:rPr>
                    <w:t xml:space="preserve">, </w:t>
                  </w:r>
                  <w:r w:rsidR="00610D2F">
                    <w:rPr>
                      <w:rStyle w:val="Strong"/>
                      <w:rFonts w:ascii="Arial" w:hAnsi="Arial"/>
                      <w:sz w:val="20"/>
                    </w:rPr>
                    <w:t>O</w:t>
                  </w:r>
                  <w:r w:rsidR="00506219">
                    <w:rPr>
                      <w:rStyle w:val="Strong"/>
                      <w:rFonts w:ascii="Arial" w:hAnsi="Arial"/>
                      <w:sz w:val="20"/>
                    </w:rPr>
                    <w:t xml:space="preserve">pérations </w:t>
                  </w:r>
                </w:p>
              </w:tc>
            </w:tr>
            <w:tr w:rsidR="008B6D51" w:rsidRPr="00702721" w14:paraId="7F41618D" w14:textId="77777777" w:rsidTr="00F747F0">
              <w:trPr>
                <w:trHeight w:val="685"/>
              </w:trPr>
              <w:tc>
                <w:tcPr>
                  <w:tcW w:w="10184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531510E" w14:textId="6B9700BF" w:rsidR="008A055A" w:rsidRPr="00702721" w:rsidRDefault="00834D94" w:rsidP="0090534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En date de décembre 2018, 295 ETP avaient été embauchés. </w:t>
                  </w:r>
                </w:p>
                <w:p w14:paraId="23A95CF9" w14:textId="6D51ABF5" w:rsidR="004E6838" w:rsidRPr="00702721" w:rsidRDefault="001148D9" w:rsidP="0090534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L</w:t>
                  </w:r>
                  <w:r w:rsidR="005A2A3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équipe de projet aidera à gérer la croissance des capacités liées au PPN en matière de ressources humaines, d</w:t>
                  </w:r>
                  <w:r w:rsidR="005A2A3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installations et d</w:t>
                  </w:r>
                  <w:r w:rsidR="005A2A3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activités </w:t>
                  </w:r>
                  <w:r w:rsidR="00E12BCD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relatives</w:t>
                  </w:r>
                  <w:r w:rsidR="002C73A5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aux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technologie</w:t>
                  </w:r>
                  <w:r w:rsidR="002C73A5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de l</w:t>
                  </w:r>
                  <w:r w:rsidR="005A2A3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information. </w:t>
                  </w:r>
                </w:p>
                <w:p w14:paraId="45D0F5F9" w14:textId="77777777" w:rsidR="00FD6661" w:rsidRPr="00702721" w:rsidRDefault="004E6838" w:rsidP="0090534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Le Ministère a dépassé son objectif de 310 000 admissions, atteignant plus de 321 100 admissions.</w:t>
                  </w:r>
                </w:p>
                <w:p w14:paraId="7A610A0F" w14:textId="250EF499" w:rsidR="001148D9" w:rsidRPr="00702721" w:rsidRDefault="00AF588B" w:rsidP="0090534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Le Ministère a fait des investissements </w:t>
                  </w:r>
                  <w:r w:rsidR="00E12BCD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dans les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technologie</w:t>
                  </w:r>
                  <w:r w:rsidR="00E12BCD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de l</w:t>
                  </w:r>
                  <w:r w:rsidR="005A2A3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information </w:t>
                  </w:r>
                  <w:r w:rsidR="00E12BCD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pour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l</w:t>
                  </w:r>
                  <w:r w:rsidR="005A2A3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amélioration de l</w:t>
                  </w:r>
                  <w:r w:rsidR="005A2A3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infrastructure du réseau national et </w:t>
                  </w:r>
                  <w:r w:rsidR="00E12BCD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à l’étranger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et </w:t>
                  </w:r>
                  <w:r w:rsidR="00E12BCD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du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Système mondial de gestion des cas afin d</w:t>
                  </w:r>
                  <w:r w:rsidR="005A2A3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accroître le traitement des demandes de résidence permanente. </w:t>
                  </w:r>
                </w:p>
                <w:p w14:paraId="731D55EF" w14:textId="0A6AB80E" w:rsidR="004E6838" w:rsidRPr="00702721" w:rsidRDefault="009B6D98" w:rsidP="0090534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Le financement du PPN servait à financer les </w:t>
                  </w:r>
                  <w:r w:rsidR="00AE3FB4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secteurs</w:t>
                  </w:r>
                  <w:r w:rsidRPr="0070272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Est et Ouest à Ottawa.</w:t>
                  </w:r>
                </w:p>
                <w:p w14:paraId="68E31A29" w14:textId="77777777" w:rsidR="00905346" w:rsidRPr="00702721" w:rsidRDefault="00905346" w:rsidP="00905346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920D78" w14:textId="6B6F747A" w:rsidR="00C5561E" w:rsidRPr="00702721" w:rsidRDefault="00905346" w:rsidP="0090534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Commentaires/discussion : </w:t>
                  </w:r>
                </w:p>
                <w:p w14:paraId="0CE61441" w14:textId="23065F6B" w:rsidR="00905346" w:rsidRPr="00702721" w:rsidRDefault="00905346" w:rsidP="00905346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P. 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Croes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(SEIC) déclare qu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il est important que la direction effectue une analyse dans les régions pour déterminer les niveaux de dotation appropriés. </w:t>
                  </w:r>
                  <w:r w:rsidR="00A4591B">
                    <w:rPr>
                      <w:rFonts w:ascii="Arial" w:hAnsi="Arial"/>
                      <w:sz w:val="20"/>
                      <w:szCs w:val="20"/>
                    </w:rPr>
                    <w:t>On est préoccupé par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4591B">
                    <w:rPr>
                      <w:rFonts w:ascii="Arial" w:hAnsi="Arial"/>
                      <w:sz w:val="20"/>
                      <w:szCs w:val="20"/>
                    </w:rPr>
                    <w:t>la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dotation</w:t>
                  </w:r>
                  <w:r w:rsidR="0001631D">
                    <w:rPr>
                      <w:rFonts w:ascii="Arial" w:hAnsi="Arial"/>
                      <w:sz w:val="20"/>
                      <w:szCs w:val="20"/>
                    </w:rPr>
                    <w:t xml:space="preserve"> insuffisante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, </w:t>
                  </w:r>
                  <w:r w:rsidR="00A4591B">
                    <w:rPr>
                      <w:rFonts w:ascii="Arial" w:hAnsi="Arial"/>
                      <w:sz w:val="20"/>
                      <w:szCs w:val="20"/>
                    </w:rPr>
                    <w:t>l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e surmenage des employés et </w:t>
                  </w:r>
                  <w:r w:rsidR="00A4591B">
                    <w:rPr>
                      <w:rFonts w:ascii="Arial" w:hAnsi="Arial"/>
                      <w:sz w:val="20"/>
                      <w:szCs w:val="20"/>
                    </w:rPr>
                    <w:t>les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problèmes de santé.</w:t>
                  </w:r>
                </w:p>
                <w:p w14:paraId="4F3AD71D" w14:textId="6E083DA9" w:rsidR="00905346" w:rsidRPr="00702721" w:rsidRDefault="00905346" w:rsidP="00905346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C. Warner (SEIC) demande si l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augmentation de 37 % des employés nommés pour une période indéterminée </w:t>
                  </w:r>
                  <w:r w:rsidR="00A600B3">
                    <w:rPr>
                      <w:rFonts w:ascii="Arial" w:hAnsi="Arial"/>
                      <w:sz w:val="20"/>
                      <w:szCs w:val="20"/>
                    </w:rPr>
                    <w:t>inclut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le taux d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attrition. Le SMA 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Kochhar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dit </w:t>
                  </w:r>
                  <w:r w:rsidR="00507AA9">
                    <w:rPr>
                      <w:rFonts w:ascii="Arial" w:hAnsi="Arial"/>
                      <w:sz w:val="20"/>
                      <w:szCs w:val="20"/>
                    </w:rPr>
                    <w:t xml:space="preserve">que 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non, car le PPN ne fait </w:t>
                  </w:r>
                  <w:r w:rsidR="00507AA9">
                    <w:rPr>
                      <w:rFonts w:ascii="Arial" w:hAnsi="Arial"/>
                      <w:sz w:val="20"/>
                      <w:szCs w:val="20"/>
                    </w:rPr>
                    <w:t>qu’assurer le suivi de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la croissance. C. Warner demande un aperçu de la dotation en personnel </w:t>
                  </w:r>
                  <w:r w:rsidR="00507AA9">
                    <w:rPr>
                      <w:rFonts w:ascii="Arial" w:hAnsi="Arial"/>
                      <w:sz w:val="20"/>
                      <w:szCs w:val="20"/>
                    </w:rPr>
                    <w:t>relative au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PPN. La DPRH demande au SEIC de fournir des données précises sur la dotation en personnel </w:t>
                  </w:r>
                  <w:r w:rsidR="00507AA9">
                    <w:rPr>
                      <w:rFonts w:ascii="Arial" w:hAnsi="Arial"/>
                      <w:sz w:val="20"/>
                      <w:szCs w:val="20"/>
                    </w:rPr>
                    <w:t>relative au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PPN.</w:t>
                  </w:r>
                </w:p>
                <w:p w14:paraId="1750F27E" w14:textId="19AC3863" w:rsidR="00905346" w:rsidRPr="00702721" w:rsidRDefault="00905346" w:rsidP="00905346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C. Warner (SEIC) demande si la dotation en ETP au cours des cinq prochaines années proviendra du financement des services votés. Le SMA 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Kochhar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dit </w:t>
                  </w:r>
                  <w:r w:rsidR="00742E77">
                    <w:rPr>
                      <w:rFonts w:ascii="Arial" w:hAnsi="Arial"/>
                      <w:sz w:val="20"/>
                      <w:szCs w:val="20"/>
                    </w:rPr>
                    <w:t xml:space="preserve">que 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oui. C. Warner demande si un financement est facilement disponible pour un afflux de migrants irréguliers. La SMD dit </w:t>
                  </w:r>
                  <w:r w:rsidR="00742E77">
                    <w:rPr>
                      <w:rFonts w:ascii="Arial" w:hAnsi="Arial"/>
                      <w:sz w:val="20"/>
                      <w:szCs w:val="20"/>
                    </w:rPr>
                    <w:t xml:space="preserve">que 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oui.</w:t>
                  </w:r>
                </w:p>
                <w:p w14:paraId="6CDC757F" w14:textId="0A03F75E" w:rsidR="001C2044" w:rsidRPr="00702721" w:rsidRDefault="00905346" w:rsidP="00905346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C. Warner (SEIC) soulève des préoccupations au sujet du milieu de travail axé sur les activités (MTA) et de la question de savoir s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il appuie les employés ayant des problèmes ergonomiques à long terme, et elle déclare qu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elle </w:t>
                  </w:r>
                  <w:r w:rsidR="008F3111">
                    <w:rPr>
                      <w:rFonts w:ascii="Arial" w:hAnsi="Arial"/>
                      <w:sz w:val="20"/>
                      <w:szCs w:val="20"/>
                    </w:rPr>
                    <w:t>soulèvera la question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lors d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une prochaine réunion. P. Provost (IPFPC) dit qu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il a envoyé des questions sur les données relatives au MTA </w:t>
                  </w:r>
                  <w:r w:rsidR="004A4901">
                    <w:rPr>
                      <w:rFonts w:ascii="Arial" w:hAnsi="Arial"/>
                      <w:sz w:val="20"/>
                      <w:szCs w:val="20"/>
                    </w:rPr>
                    <w:t>afin de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savoir si IRCC investit dans les outils à la disposition des employés</w:t>
                  </w:r>
                  <w:r w:rsidR="007F45CA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et les améliore.</w:t>
                  </w:r>
                </w:p>
                <w:p w14:paraId="0978EDA4" w14:textId="7FD1EF71" w:rsidR="008A4548" w:rsidRPr="00702721" w:rsidRDefault="007A6BC6" w:rsidP="007F45CA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La SMD demande qu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une rétroaction sur le MTA soit fournie et que la discussion sur le MTA se poursuive </w:t>
                  </w:r>
                  <w:r w:rsidR="007F45CA">
                    <w:rPr>
                      <w:rFonts w:ascii="Arial" w:hAnsi="Arial"/>
                      <w:sz w:val="20"/>
                      <w:szCs w:val="20"/>
                    </w:rPr>
                    <w:t>lors de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la prochaine réunion du CNCPS. </w:t>
                  </w:r>
                </w:p>
              </w:tc>
            </w:tr>
            <w:tr w:rsidR="008B6D51" w:rsidRPr="00702721" w14:paraId="716A5B4F" w14:textId="77777777" w:rsidTr="00D82CCC">
              <w:trPr>
                <w:trHeight w:val="960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37034B" w14:textId="54EF83EF" w:rsidR="008A4548" w:rsidRPr="00702721" w:rsidRDefault="00C5561E" w:rsidP="00AB2448">
                  <w:pPr>
                    <w:pStyle w:val="NormalWeb"/>
                    <w:spacing w:before="0" w:after="0"/>
                    <w:ind w:left="142" w:right="13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 xml:space="preserve">Mesures de suivi : </w:t>
                  </w:r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C. Warner (SEIC) fournira à la DPRH des données précises sur la dotation en personnel du </w:t>
                  </w:r>
                  <w:r w:rsidR="00AB2448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MTA </w:t>
                  </w:r>
                  <w:bookmarkStart w:id="0" w:name="_GoBack"/>
                  <w:bookmarkEnd w:id="0"/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>concernant le SEIC.</w:t>
                  </w:r>
                  <w:r w:rsidRPr="00702721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860493" w14:textId="540F31C2" w:rsidR="007A6BC6" w:rsidRPr="00702721" w:rsidRDefault="00C5561E" w:rsidP="00D44FD7">
                  <w:pPr>
                    <w:pStyle w:val="NormalWeb"/>
                    <w:spacing w:before="0" w:after="0"/>
                    <w:ind w:left="142" w:right="13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 xml:space="preserve">Échéance : </w:t>
                  </w:r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Le 25 avril 2019, Crystal Warner (SEIC) informe les Relations de travail que le SEIC aimerait avoir un aperçu de </w:t>
                  </w:r>
                  <w:r w:rsidR="00D44FD7">
                    <w:rPr>
                      <w:rFonts w:ascii="Arial" w:hAnsi="Arial"/>
                      <w:bCs/>
                      <w:sz w:val="20"/>
                      <w:szCs w:val="20"/>
                    </w:rPr>
                    <w:t>l’ensemble de</w:t>
                  </w:r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la dotation en personnel </w:t>
                  </w:r>
                  <w:r w:rsidR="00D44FD7">
                    <w:rPr>
                      <w:rFonts w:ascii="Arial" w:hAnsi="Arial"/>
                      <w:bCs/>
                      <w:sz w:val="20"/>
                      <w:szCs w:val="20"/>
                    </w:rPr>
                    <w:t>relativement au</w:t>
                  </w:r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PPN.</w:t>
                  </w:r>
                </w:p>
              </w:tc>
            </w:tr>
            <w:tr w:rsidR="008B6D51" w:rsidRPr="00702721" w14:paraId="0D31E308" w14:textId="77777777" w:rsidTr="00612E96">
              <w:trPr>
                <w:trHeight w:val="290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6C9C1C6" w14:textId="3435EE89" w:rsidR="008B6D51" w:rsidRPr="00702721" w:rsidRDefault="00E63A1D" w:rsidP="003360B9">
                  <w:pPr>
                    <w:pStyle w:val="NormalWeb"/>
                    <w:spacing w:before="120" w:after="120" w:line="240" w:lineRule="auto"/>
                    <w:ind w:left="142" w:right="136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lastRenderedPageBreak/>
                    <w:t>Le point sur les installations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  <w:hideMark/>
                </w:tcPr>
                <w:p w14:paraId="1E5A6719" w14:textId="773A8C46" w:rsidR="000D51DF" w:rsidRPr="00702721" w:rsidRDefault="00E63A1D" w:rsidP="00AC1678">
                  <w:pPr>
                    <w:pStyle w:val="NormalWeb"/>
                    <w:spacing w:before="120" w:after="120"/>
                    <w:ind w:left="79" w:right="136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Bob </w:t>
                  </w:r>
                  <w:proofErr w:type="spellStart"/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Lanouette</w:t>
                  </w:r>
                  <w:proofErr w:type="spellEnd"/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, directeur général, Administration, sécurité et installations  </w:t>
                  </w:r>
                </w:p>
              </w:tc>
            </w:tr>
            <w:tr w:rsidR="008B6D51" w:rsidRPr="00702721" w14:paraId="0D53472C" w14:textId="77777777" w:rsidTr="00F747F0">
              <w:trPr>
                <w:trHeight w:val="290"/>
              </w:trPr>
              <w:tc>
                <w:tcPr>
                  <w:tcW w:w="10184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DAE5F7" w14:textId="7EAF276D" w:rsidR="00E8305D" w:rsidRPr="00702721" w:rsidRDefault="00E8305D" w:rsidP="0090534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51 projets doivent être réalisés avant le 31 mars 2019. </w:t>
                  </w:r>
                </w:p>
                <w:p w14:paraId="423CE650" w14:textId="74B5B5FA" w:rsidR="00E8305D" w:rsidRPr="00702721" w:rsidRDefault="00E8305D" w:rsidP="00905346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La mise en œuvre des normes et des conceptions du </w:t>
                  </w:r>
                  <w:r w:rsidR="009E2F8B">
                    <w:rPr>
                      <w:rFonts w:ascii="Arial" w:hAnsi="Arial"/>
                      <w:sz w:val="20"/>
                      <w:szCs w:val="20"/>
                    </w:rPr>
                    <w:t>M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ilieu de travail du gouvernement du Canada et du MTA demeure un point central </w:t>
                  </w:r>
                  <w:r w:rsidR="009E2F8B">
                    <w:rPr>
                      <w:rFonts w:ascii="Arial" w:hAnsi="Arial"/>
                      <w:sz w:val="20"/>
                      <w:szCs w:val="20"/>
                    </w:rPr>
                    <w:t>afin de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soutenir la croissance</w:t>
                  </w:r>
                  <w:r w:rsidR="00F65E6E" w:rsidRPr="00702721">
                    <w:rPr>
                      <w:rFonts w:ascii="Arial" w:hAnsi="Arial"/>
                      <w:sz w:val="20"/>
                      <w:szCs w:val="20"/>
                    </w:rPr>
                    <w:t xml:space="preserve">. </w:t>
                  </w:r>
                </w:p>
                <w:p w14:paraId="6644FA33" w14:textId="62F944F5" w:rsidR="00E8305D" w:rsidRPr="00702721" w:rsidRDefault="008308FE" w:rsidP="0090534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Tous les travaux ne sont pas propices au MTA; il existe des environnements hybrides. </w:t>
                  </w:r>
                </w:p>
                <w:p w14:paraId="7265BF28" w14:textId="53E4A483" w:rsidR="00E8305D" w:rsidRPr="00702721" w:rsidRDefault="00E8305D" w:rsidP="0090534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Les </w:t>
                  </w:r>
                  <w:r w:rsidR="009E2F8B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secteurs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Est (250, chemin Tremblay) et Ouest (141, chemin Colonnade) </w:t>
                  </w:r>
                  <w:r w:rsidR="007E6536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pour le</w:t>
                  </w:r>
                  <w:r w:rsidR="007E6536"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MTA 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sont prévus </w:t>
                  </w:r>
                  <w:r w:rsidR="007E6536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en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2019-2020</w:t>
                  </w:r>
                  <w:r w:rsidR="00F65E6E"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. </w:t>
                  </w:r>
                </w:p>
                <w:p w14:paraId="66FA8D29" w14:textId="0B69204E" w:rsidR="00E8305D" w:rsidRPr="00702721" w:rsidRDefault="00E8305D" w:rsidP="0090534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La salle Guy</w:t>
                  </w:r>
                  <w:r w:rsidR="004022CB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-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B</w:t>
                  </w:r>
                  <w:r w:rsidR="004022CB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é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lisle au 365, avenue Laurier Ouest est en rénovation. </w:t>
                  </w:r>
                </w:p>
                <w:p w14:paraId="2118FD8C" w14:textId="7D0CC9CD" w:rsidR="00125362" w:rsidRPr="00702721" w:rsidRDefault="00A6064F" w:rsidP="0090534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Les tourniquets de sécurité de 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immeuble au 365, avenue Laurier Ouest et au 300, rue Slater seront </w:t>
                  </w:r>
                  <w:r w:rsidR="006F1FC5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rénovés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.</w:t>
                  </w:r>
                </w:p>
                <w:p w14:paraId="03F1EEB3" w14:textId="3415BDF0" w:rsidR="00125362" w:rsidRPr="00702721" w:rsidRDefault="00125362" w:rsidP="0090534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Les </w:t>
                  </w:r>
                  <w:r w:rsidR="0046011C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Installations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ont fait passer des sondages sur le MTA; les résultats seront communiqués au </w:t>
                  </w:r>
                  <w:r w:rsidR="006F1FC5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C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omité.</w:t>
                  </w:r>
                </w:p>
                <w:p w14:paraId="3E79BCD3" w14:textId="77777777" w:rsidR="00121AD3" w:rsidRPr="00702721" w:rsidRDefault="00121AD3" w:rsidP="00905346">
                  <w:p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62E59BDB" w14:textId="1D990DE2" w:rsidR="00905346" w:rsidRPr="00702721" w:rsidRDefault="00905346" w:rsidP="00905346">
                  <w:p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Commentaires/discussion :</w:t>
                  </w:r>
                </w:p>
                <w:p w14:paraId="34D584E1" w14:textId="77755D5E" w:rsidR="00905346" w:rsidRPr="00702721" w:rsidRDefault="00905346" w:rsidP="00905346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C. Warner (SEIC) demande si des déménagements de bureaux sont prévus à 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échelle du Canada à plus de 30 minutes de leur emplacement actuel. Bob dit</w:t>
                  </w:r>
                  <w:r w:rsidR="00BB67FD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que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non</w:t>
                  </w:r>
                  <w:r w:rsidR="00F65E6E"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. </w:t>
                  </w:r>
                </w:p>
                <w:p w14:paraId="63E602D7" w14:textId="0746621E" w:rsidR="001C2044" w:rsidRPr="00702721" w:rsidRDefault="00905346" w:rsidP="00905346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P. Provost (IPFPC) demande si ses questions relatives au MTA ont été reçues. Bob dit oui. La SMD </w:t>
                  </w:r>
                  <w:r w:rsidR="00BB67FD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a réitéré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les réponses aux questions relatives au MTA </w:t>
                  </w:r>
                  <w:r w:rsidR="007E0339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seront partagés 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à la prochaine réunion du CNCPS</w:t>
                  </w:r>
                  <w:r w:rsidR="00F65E6E"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. </w:t>
                  </w:r>
                </w:p>
                <w:p w14:paraId="73BD0F88" w14:textId="22BBCC2A" w:rsidR="001C2044" w:rsidRPr="00702721" w:rsidRDefault="00A6064F" w:rsidP="00905346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E. Bourque (SEIC) demande quels employés travailleront </w:t>
                  </w:r>
                  <w:r w:rsidR="00BB67FD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dans les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</w:t>
                  </w:r>
                  <w:r w:rsidR="00BB67FD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secteurs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Est et Ouest. Bob dit 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aucune décision n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a encore été prise.</w:t>
                  </w:r>
                </w:p>
                <w:p w14:paraId="4DDF5F2E" w14:textId="65442DAE" w:rsidR="008A4548" w:rsidRPr="00702721" w:rsidRDefault="00A6064F" w:rsidP="00BB67F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La SMD dit que le Ministère examinera un certain nombre de facteurs </w:t>
                  </w:r>
                  <w:r w:rsidR="00BB67FD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afin de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déterminer quels groupes d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employés resteront au centre-ville et lesquels pourront déménager dans 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un ou 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autre des </w:t>
                  </w:r>
                  <w:r w:rsidR="00BB67FD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secteurs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8B6D51" w:rsidRPr="00702721" w14:paraId="178C4A9A" w14:textId="77777777" w:rsidTr="00D82CCC">
              <w:trPr>
                <w:trHeight w:val="843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EBA67D" w14:textId="7C008BB3" w:rsidR="001D342B" w:rsidRPr="00702721" w:rsidRDefault="008B6D51" w:rsidP="00D82CCC">
                  <w:pPr>
                    <w:pStyle w:val="NormalWeb"/>
                    <w:spacing w:before="0" w:after="0" w:line="240" w:lineRule="auto"/>
                    <w:ind w:left="142" w:right="135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Mesures de suivi : 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équipe des installations communiquera les résultats des sondages sur le MTA et les réponses aux questions relatives au MTA de 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IPFPC.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</w:tcPr>
                <w:p w14:paraId="685ECA85" w14:textId="1B20E72C" w:rsidR="00C12E21" w:rsidRPr="00702721" w:rsidRDefault="008B6D51" w:rsidP="007E0339">
                  <w:pPr>
                    <w:pStyle w:val="NormalWeb"/>
                    <w:spacing w:before="0" w:after="0" w:line="240" w:lineRule="auto"/>
                    <w:ind w:left="142" w:right="130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Échéance :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Lors de la prochaine réunion du CNCPS du </w:t>
                  </w:r>
                  <w:r w:rsidR="007E0339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8 juillet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 2019</w:t>
                  </w:r>
                  <w:r w:rsidR="00F65E6E"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8B6D51" w:rsidRPr="00702721" w14:paraId="0DCAD7E0" w14:textId="77777777" w:rsidTr="00612E96">
              <w:trPr>
                <w:trHeight w:val="290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C16BA34" w14:textId="1C244D6C" w:rsidR="008B6D51" w:rsidRPr="00702721" w:rsidRDefault="00E63A1D" w:rsidP="00560BC8">
                  <w:pPr>
                    <w:pStyle w:val="NormalWeb"/>
                    <w:spacing w:before="120" w:after="120" w:line="240" w:lineRule="auto"/>
                    <w:ind w:left="142" w:right="136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Le point sur Phénix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</w:tcPr>
                <w:p w14:paraId="349AA678" w14:textId="00C2A9E0" w:rsidR="00E63A1D" w:rsidRPr="00702721" w:rsidRDefault="00E63A1D" w:rsidP="008B6D51">
                  <w:pPr>
                    <w:pStyle w:val="NormalWeb"/>
                    <w:spacing w:before="120" w:after="120" w:line="240" w:lineRule="auto"/>
                    <w:ind w:left="142" w:right="136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Daniel Mills, SMA, Gestion ministérielle, et dirigeant principal des finances</w:t>
                  </w:r>
                </w:p>
                <w:p w14:paraId="7FE4F653" w14:textId="7127694D" w:rsidR="008B6D51" w:rsidRPr="00702721" w:rsidRDefault="00E63A1D" w:rsidP="000150FC">
                  <w:pPr>
                    <w:pStyle w:val="NormalWeb"/>
                    <w:spacing w:before="120" w:after="120" w:line="240" w:lineRule="auto"/>
                    <w:ind w:left="142" w:right="136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Holly </w:t>
                  </w:r>
                  <w:proofErr w:type="spellStart"/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Flowers</w:t>
                  </w:r>
                  <w:proofErr w:type="spellEnd"/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 Code, </w:t>
                  </w:r>
                  <w:r w:rsidR="000150FC">
                    <w:rPr>
                      <w:rStyle w:val="Strong"/>
                      <w:rFonts w:ascii="Arial" w:hAnsi="Arial"/>
                      <w:sz w:val="20"/>
                    </w:rPr>
                    <w:t>d</w:t>
                  </w: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irigeante principale des ressources humaines (DPRH)</w:t>
                  </w:r>
                </w:p>
              </w:tc>
            </w:tr>
            <w:tr w:rsidR="008B6D51" w:rsidRPr="00702721" w14:paraId="5643092D" w14:textId="77777777" w:rsidTr="000F3071">
              <w:trPr>
                <w:trHeight w:val="510"/>
              </w:trPr>
              <w:tc>
                <w:tcPr>
                  <w:tcW w:w="10184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5B61712" w14:textId="1263CF44" w:rsidR="00C31C4E" w:rsidRPr="00702721" w:rsidRDefault="00C31C4E" w:rsidP="000F3071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IRCC continue de participer aux consultations </w:t>
                  </w:r>
                  <w:r w:rsidR="0019788E">
                    <w:rPr>
                      <w:rFonts w:ascii="Arial" w:hAnsi="Arial"/>
                      <w:sz w:val="20"/>
                      <w:szCs w:val="20"/>
                    </w:rPr>
                    <w:t>relatives à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la prochaine version. </w:t>
                  </w:r>
                </w:p>
                <w:p w14:paraId="45B4B106" w14:textId="4B128005" w:rsidR="000F3071" w:rsidRPr="00702721" w:rsidRDefault="00644E4A" w:rsidP="000F3071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En mai 2018, une initiative de paiements prioritaires a été lancée pour les employ</w:t>
                  </w:r>
                  <w:r w:rsidR="007E0339">
                    <w:rPr>
                      <w:rFonts w:ascii="Arial" w:hAnsi="Arial"/>
                      <w:sz w:val="20"/>
                      <w:szCs w:val="20"/>
                    </w:rPr>
                    <w:t>és sous-payés. Finance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a émis 200 paiements prioritaires </w:t>
                  </w:r>
                  <w:r w:rsidR="0019788E">
                    <w:rPr>
                      <w:rFonts w:ascii="Arial" w:hAnsi="Arial"/>
                      <w:sz w:val="20"/>
                      <w:szCs w:val="20"/>
                    </w:rPr>
                    <w:t xml:space="preserve">totalisant 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une valeur brute moyenne de 5 000 $. </w:t>
                  </w:r>
                </w:p>
                <w:p w14:paraId="27A88919" w14:textId="328151BC" w:rsidR="00C31C4E" w:rsidRPr="00702721" w:rsidRDefault="00C31C4E" w:rsidP="000F3071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IRCC continue de constater une augmentation du taux de conformité </w:t>
                  </w:r>
                  <w:r w:rsidR="0019788E">
                    <w:rPr>
                      <w:rFonts w:ascii="Arial" w:hAnsi="Arial"/>
                      <w:sz w:val="20"/>
                      <w:szCs w:val="20"/>
                    </w:rPr>
                    <w:t xml:space="preserve">en matière 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de dotation </w:t>
                  </w:r>
                  <w:r w:rsidR="0019788E">
                    <w:rPr>
                      <w:rFonts w:ascii="Arial" w:hAnsi="Arial"/>
                      <w:sz w:val="20"/>
                      <w:szCs w:val="20"/>
                    </w:rPr>
                    <w:t>dans les délais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. Le taux de conformité en décembre 2018 était de 78 %. </w:t>
                  </w:r>
                </w:p>
                <w:p w14:paraId="32B0D46E" w14:textId="2EB8B4A9" w:rsidR="00C31C4E" w:rsidRPr="00702721" w:rsidRDefault="00C31C4E" w:rsidP="000F3071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Les séances « Parlons paye » sont des discussions thématiques sur des questions courantes de rémunération et de dotation au cours desquelles les employés peuvent poser des questions aux experts d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IRCC. </w:t>
                  </w:r>
                  <w:r w:rsidR="003971E5">
                    <w:rPr>
                      <w:rFonts w:ascii="Arial" w:hAnsi="Arial"/>
                      <w:sz w:val="20"/>
                      <w:szCs w:val="20"/>
                    </w:rPr>
                    <w:t>Beaucoup d’employés assistent aux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séances. </w:t>
                  </w:r>
                </w:p>
                <w:p w14:paraId="69964234" w14:textId="4F588C94" w:rsidR="00C31C4E" w:rsidRPr="00702721" w:rsidRDefault="000F3071" w:rsidP="000F3071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Le projet pilote du tableau de bord des employés, qui regroupe les antécédents d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emploi d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un employé et ses dossiers de paye, a été mis en œuvre à la Direction générale de l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orientation des programmes de citoyenneté et de passeport. </w:t>
                  </w:r>
                </w:p>
                <w:p w14:paraId="10363499" w14:textId="77777777" w:rsidR="00DB6B7B" w:rsidRPr="00702721" w:rsidRDefault="00DB6B7B" w:rsidP="000F3071">
                  <w:p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3299A2C2" w14:textId="4B05B7EE" w:rsidR="000F3071" w:rsidRPr="00702721" w:rsidRDefault="000F3071" w:rsidP="000F3071">
                  <w:p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Commentaires/discussion :</w:t>
                  </w:r>
                </w:p>
                <w:p w14:paraId="4B5037CA" w14:textId="626EE30D" w:rsidR="000F3071" w:rsidRPr="00702721" w:rsidRDefault="000F3071" w:rsidP="00D82CCC">
                  <w:pPr>
                    <w:pStyle w:val="ListParagraph"/>
                    <w:numPr>
                      <w:ilvl w:val="0"/>
                      <w:numId w:val="25"/>
                    </w:numPr>
                    <w:spacing w:after="0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C. Warner (SEIC) demande quel est le délai pour 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un dossier de paye soit considéré comme faisant partie de 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arriéré. Catherine Beaubien dit 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un dossier de paye est considéré comme faisant partie de 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arriéré après une période de 30 jours. </w:t>
                  </w:r>
                </w:p>
                <w:p w14:paraId="52486332" w14:textId="77777777" w:rsidR="0038207C" w:rsidRPr="00702721" w:rsidRDefault="0038207C" w:rsidP="0038207C">
                  <w:pPr>
                    <w:pStyle w:val="ListParagraph"/>
                    <w:spacing w:after="0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39C85A75" w14:textId="24C27926" w:rsidR="00B0702B" w:rsidRPr="00702721" w:rsidRDefault="00EB333A" w:rsidP="00C10ABC">
                  <w:pPr>
                    <w:pStyle w:val="ListParagraph"/>
                    <w:numPr>
                      <w:ilvl w:val="0"/>
                      <w:numId w:val="25"/>
                    </w:numPr>
                    <w:spacing w:after="0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lastRenderedPageBreak/>
                    <w:t>C. Warner (SEIC) dit que même si les membres apprécient les séances « Parlons paye », ils ne se sentent pas à 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aise de poser leurs questions. Il y a un manque de clarté quant au moment où les employés peuvent demander un paiement prioritaire. Elle indique que les employés pourraient bénéficier de la possibilité de parler à un employé d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IRCC en personne dans leur région au sujet de leurs problèmes de rémunération. La DPRH mentionne 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IRCC se concentre sur 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organisation de séances « Parlons paye » dans la région. À 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automne 2018, des séances « Parlons paye » ont eu lieu à Sydney. </w:t>
                  </w:r>
                  <w:r w:rsidR="00BB15FB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D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es séances « Parlons paye » sont prévues à Montréal à la mi-février 2019 et à Vancouver sous peu. Le Bureau de liaison </w:t>
                  </w:r>
                  <w:r w:rsidR="00C10ABC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en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 rémunération offre également des séances de questions où toute</w:t>
                  </w:r>
                  <w:r w:rsidR="00BB15FB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s les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 question</w:t>
                  </w:r>
                  <w:r w:rsidR="00BB15FB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 peu</w:t>
                  </w:r>
                  <w:r w:rsidR="00BB15FB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ven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t être posée</w:t>
                  </w:r>
                  <w:r w:rsidR="00BB15FB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8B6D51" w:rsidRPr="00702721" w14:paraId="278BADD4" w14:textId="77777777" w:rsidTr="00612E96">
              <w:trPr>
                <w:trHeight w:val="879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0748093" w14:textId="6B7879FD" w:rsidR="008B6D51" w:rsidRPr="00702721" w:rsidRDefault="00DE2176" w:rsidP="00AA7E59">
                  <w:pPr>
                    <w:pStyle w:val="NormalWeb"/>
                    <w:spacing w:before="0" w:after="0" w:line="240" w:lineRule="auto"/>
                    <w:ind w:left="142" w:right="135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lastRenderedPageBreak/>
                    <w:t>Mesures de suivi </w:t>
                  </w:r>
                  <w:r w:rsidR="00F65E6E"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: </w:t>
                  </w:r>
                </w:p>
                <w:p w14:paraId="030F9FD0" w14:textId="65023FAD" w:rsidR="00C61FC9" w:rsidRPr="00702721" w:rsidRDefault="002143E3" w:rsidP="00342834">
                  <w:pPr>
                    <w:pStyle w:val="NormalWeb"/>
                    <w:numPr>
                      <w:ilvl w:val="0"/>
                      <w:numId w:val="6"/>
                    </w:numPr>
                    <w:spacing w:before="0" w:after="0" w:line="240" w:lineRule="auto"/>
                    <w:ind w:right="135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IRCC renverra des communications concernant les paiements prioritaires. </w:t>
                  </w:r>
                </w:p>
                <w:p w14:paraId="25A9F890" w14:textId="4C2016ED" w:rsidR="002143E3" w:rsidRPr="00702721" w:rsidRDefault="002143E3" w:rsidP="001D75CA">
                  <w:pPr>
                    <w:pStyle w:val="NormalWeb"/>
                    <w:numPr>
                      <w:ilvl w:val="0"/>
                      <w:numId w:val="6"/>
                    </w:numPr>
                    <w:spacing w:before="0" w:after="0" w:line="240" w:lineRule="auto"/>
                    <w:ind w:right="135"/>
                    <w:rPr>
                      <w:rStyle w:val="Strong"/>
                      <w:rFonts w:ascii="Arial" w:hAnsi="Arial" w:cs="Arial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Catherine Beaubien fera part des commentaires </w:t>
                  </w:r>
                  <w:r w:rsidR="001D75CA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sur les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prochaines séances « Parlons paye ».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</w:tcPr>
                <w:p w14:paraId="367E2624" w14:textId="2401BB40" w:rsidR="00C5758A" w:rsidRPr="00702721" w:rsidRDefault="00FD4D94" w:rsidP="00AA7E59">
                  <w:pPr>
                    <w:pStyle w:val="NormalWeb"/>
                    <w:spacing w:before="0" w:after="0" w:line="240" w:lineRule="auto"/>
                    <w:ind w:left="142" w:right="135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Échéance </w:t>
                  </w:r>
                  <w:r w:rsidR="00F65E6E"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: </w:t>
                  </w:r>
                </w:p>
                <w:p w14:paraId="72CC8649" w14:textId="77777777" w:rsidR="00F02A08" w:rsidRPr="00702721" w:rsidRDefault="002143E3" w:rsidP="00342834">
                  <w:pPr>
                    <w:pStyle w:val="NormalWeb"/>
                    <w:numPr>
                      <w:ilvl w:val="0"/>
                      <w:numId w:val="6"/>
                    </w:numPr>
                    <w:spacing w:before="0" w:after="0" w:line="240" w:lineRule="auto"/>
                    <w:ind w:right="135"/>
                    <w:rPr>
                      <w:rStyle w:val="Strong"/>
                      <w:rFonts w:ascii="Arial" w:hAnsi="Arial" w:cs="Arial"/>
                      <w:b w:val="0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</w:rPr>
                    <w:t>Dès que possible.</w:t>
                  </w:r>
                </w:p>
                <w:p w14:paraId="18228D58" w14:textId="77777777" w:rsidR="002143E3" w:rsidRPr="00702721" w:rsidRDefault="002143E3" w:rsidP="002143E3">
                  <w:pPr>
                    <w:pStyle w:val="NormalWeb"/>
                    <w:spacing w:before="0" w:after="0" w:line="240" w:lineRule="auto"/>
                    <w:ind w:right="135"/>
                    <w:rPr>
                      <w:rStyle w:val="Strong"/>
                      <w:rFonts w:ascii="Arial" w:hAnsi="Arial" w:cs="Arial"/>
                      <w:b w:val="0"/>
                      <w:sz w:val="20"/>
                    </w:rPr>
                  </w:pPr>
                </w:p>
                <w:p w14:paraId="04B1796B" w14:textId="1666FB70" w:rsidR="002143E3" w:rsidRPr="00702721" w:rsidRDefault="002143E3" w:rsidP="007E0339">
                  <w:pPr>
                    <w:pStyle w:val="NormalWeb"/>
                    <w:numPr>
                      <w:ilvl w:val="0"/>
                      <w:numId w:val="6"/>
                    </w:numPr>
                    <w:spacing w:before="0" w:after="0" w:line="240" w:lineRule="auto"/>
                    <w:ind w:right="135"/>
                    <w:rPr>
                      <w:rStyle w:val="Strong"/>
                      <w:rFonts w:ascii="Arial" w:hAnsi="Arial" w:cs="Arial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</w:rPr>
                    <w:t>Lors de la prochaine réunion du CNCPS</w:t>
                  </w:r>
                  <w:r w:rsidR="006C46FD">
                    <w:rPr>
                      <w:rStyle w:val="Strong"/>
                      <w:rFonts w:ascii="Arial" w:hAnsi="Arial"/>
                      <w:b w:val="0"/>
                      <w:sz w:val="20"/>
                    </w:rPr>
                    <w:t>,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</w:rPr>
                    <w:t xml:space="preserve"> </w:t>
                  </w:r>
                  <w:r w:rsidR="006C46FD">
                    <w:rPr>
                      <w:rStyle w:val="Strong"/>
                      <w:rFonts w:ascii="Arial" w:hAnsi="Arial"/>
                      <w:b w:val="0"/>
                      <w:sz w:val="20"/>
                    </w:rPr>
                    <w:t>le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</w:rPr>
                    <w:t xml:space="preserve"> </w:t>
                  </w:r>
                  <w:r w:rsidR="007E0339">
                    <w:rPr>
                      <w:rStyle w:val="Strong"/>
                      <w:rFonts w:ascii="Arial" w:hAnsi="Arial"/>
                      <w:b w:val="0"/>
                      <w:sz w:val="20"/>
                    </w:rPr>
                    <w:t>8 juillet 2019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</w:rPr>
                    <w:t>.</w:t>
                  </w: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 </w:t>
                  </w:r>
                </w:p>
              </w:tc>
            </w:tr>
            <w:tr w:rsidR="008B6D51" w:rsidRPr="00702721" w14:paraId="15D35D05" w14:textId="77777777" w:rsidTr="00D82CCC">
              <w:trPr>
                <w:trHeight w:val="1203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985B15" w14:textId="75110C16" w:rsidR="008B6D51" w:rsidRPr="00702721" w:rsidRDefault="00E63A1D" w:rsidP="00C61FC9">
                  <w:pPr>
                    <w:pStyle w:val="NormalWeb"/>
                    <w:spacing w:before="120" w:after="120" w:line="240" w:lineRule="auto"/>
                    <w:ind w:left="142" w:right="136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Le harcèlement dans la fonction publique : Rapport du greffier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</w:tcPr>
                <w:p w14:paraId="3AF8245B" w14:textId="1E383AD8" w:rsidR="00E63A1D" w:rsidRPr="00702721" w:rsidRDefault="00E63A1D" w:rsidP="00E63A1D">
                  <w:pPr>
                    <w:pStyle w:val="NormalWeb"/>
                    <w:spacing w:before="120" w:after="120" w:line="240" w:lineRule="auto"/>
                    <w:ind w:left="142" w:right="136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Daniel Mills, SMA, Gestion ministérielle, et dirigeant principal des finances</w:t>
                  </w:r>
                </w:p>
                <w:p w14:paraId="7BCD80CE" w14:textId="0764CA5B" w:rsidR="008B6D51" w:rsidRPr="00702721" w:rsidRDefault="00E63A1D" w:rsidP="001D75CA">
                  <w:pPr>
                    <w:pStyle w:val="NormalWeb"/>
                    <w:spacing w:before="120" w:after="120"/>
                    <w:ind w:left="578" w:right="136" w:hanging="499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Holly </w:t>
                  </w:r>
                  <w:proofErr w:type="spellStart"/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Flowers</w:t>
                  </w:r>
                  <w:proofErr w:type="spellEnd"/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 Code, </w:t>
                  </w:r>
                  <w:r w:rsidR="001D75CA">
                    <w:rPr>
                      <w:rStyle w:val="Strong"/>
                      <w:rFonts w:ascii="Arial" w:hAnsi="Arial"/>
                      <w:sz w:val="20"/>
                    </w:rPr>
                    <w:t>d</w:t>
                  </w: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irigeante principale des ressources humaines (DPRH)</w:t>
                  </w:r>
                </w:p>
              </w:tc>
            </w:tr>
            <w:tr w:rsidR="008B6D51" w:rsidRPr="00702721" w14:paraId="59BF7152" w14:textId="77777777" w:rsidTr="00F747F0">
              <w:trPr>
                <w:trHeight w:val="290"/>
              </w:trPr>
              <w:tc>
                <w:tcPr>
                  <w:tcW w:w="10184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991706" w14:textId="7C95BB6A" w:rsidR="00B043CA" w:rsidRPr="00702721" w:rsidRDefault="00B043CA" w:rsidP="00B043CA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IRCC examine le rapport du greffier du Conseil privé</w:t>
                  </w:r>
                  <w:r w:rsidR="0057380A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intitulé « Milieux de travail sains : Entamer un dialogue et prendre des mesures pour lutter contre le harcèlement dans la fonction publique » et se prépare à la mise en œuvre du projet de loi C-65</w:t>
                  </w:r>
                  <w:r w:rsidR="00F65E6E" w:rsidRPr="00702721">
                    <w:rPr>
                      <w:rFonts w:ascii="Arial" w:hAnsi="Arial"/>
                      <w:sz w:val="20"/>
                      <w:szCs w:val="20"/>
                    </w:rPr>
                    <w:t xml:space="preserve">. </w:t>
                  </w:r>
                </w:p>
                <w:p w14:paraId="65F33D25" w14:textId="3C295D72" w:rsidR="00B043CA" w:rsidRPr="00702721" w:rsidRDefault="00B043CA" w:rsidP="00242701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02721">
                    <w:rPr>
                      <w:rFonts w:ascii="Arial" w:hAnsi="Arial"/>
                      <w:sz w:val="20"/>
                      <w:szCs w:val="24"/>
                    </w:rPr>
                    <w:t>Le rapport du greffier présente des recommandations selon lesquelles il faut mettre davantage l</w:t>
                  </w:r>
                  <w:r w:rsidR="005A2A31">
                    <w:rPr>
                      <w:rFonts w:ascii="Arial" w:hAnsi="Arial"/>
                      <w:sz w:val="20"/>
                      <w:szCs w:val="24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4"/>
                    </w:rPr>
                    <w:t xml:space="preserve">accent sur le harcèlement en milieu de travail. Il </w:t>
                  </w:r>
                  <w:r w:rsidR="00E92E16">
                    <w:rPr>
                      <w:rFonts w:ascii="Arial" w:hAnsi="Arial"/>
                      <w:sz w:val="20"/>
                      <w:szCs w:val="24"/>
                    </w:rPr>
                    <w:t>cible</w:t>
                  </w:r>
                  <w:r w:rsidRPr="00702721">
                    <w:rPr>
                      <w:rFonts w:ascii="Arial" w:hAnsi="Arial"/>
                      <w:sz w:val="20"/>
                      <w:szCs w:val="24"/>
                    </w:rPr>
                    <w:t xml:space="preserve"> </w:t>
                  </w:r>
                  <w:r w:rsidR="00E92E16">
                    <w:rPr>
                      <w:rFonts w:ascii="Arial" w:hAnsi="Arial"/>
                      <w:sz w:val="20"/>
                      <w:szCs w:val="24"/>
                    </w:rPr>
                    <w:t>d</w:t>
                  </w:r>
                  <w:r w:rsidRPr="00702721">
                    <w:rPr>
                      <w:rFonts w:ascii="Arial" w:hAnsi="Arial"/>
                      <w:sz w:val="20"/>
                      <w:szCs w:val="24"/>
                    </w:rPr>
                    <w:t>es mesures à prendre pour renforcer l</w:t>
                  </w:r>
                  <w:r w:rsidR="005A2A31">
                    <w:rPr>
                      <w:rFonts w:ascii="Arial" w:hAnsi="Arial"/>
                      <w:sz w:val="20"/>
                      <w:szCs w:val="24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4"/>
                    </w:rPr>
                    <w:t>approche visant à prévenir le harcèlement et à améliorer le soutien offert à tous les employés.</w:t>
                  </w:r>
                </w:p>
                <w:p w14:paraId="31A4A97F" w14:textId="1AEAAFA4" w:rsidR="00B043CA" w:rsidRPr="00702721" w:rsidRDefault="0046680D" w:rsidP="00B043CA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Les modifications au </w:t>
                  </w:r>
                  <w:r w:rsidRPr="00E92E16">
                    <w:rPr>
                      <w:rFonts w:ascii="Arial" w:hAnsi="Arial"/>
                      <w:i/>
                      <w:sz w:val="20"/>
                      <w:szCs w:val="20"/>
                    </w:rPr>
                    <w:t>Code canadien du travail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entreront en vigueur une fois le règlement rédigé. Le règlement est prévu pour la première moitié de 2019. </w:t>
                  </w:r>
                </w:p>
                <w:p w14:paraId="33D38925" w14:textId="7EEC5CD0" w:rsidR="00B043CA" w:rsidRPr="00702721" w:rsidRDefault="00B043CA" w:rsidP="00B043CA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L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équipe des </w:t>
                  </w:r>
                  <w:r w:rsidR="00E92E16">
                    <w:rPr>
                      <w:rFonts w:ascii="Arial" w:hAnsi="Arial"/>
                      <w:sz w:val="20"/>
                      <w:szCs w:val="20"/>
                    </w:rPr>
                    <w:t>R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essources humaines examine les outils actuellement en place </w:t>
                  </w:r>
                  <w:r w:rsidR="00E92E16">
                    <w:rPr>
                      <w:rFonts w:ascii="Arial" w:hAnsi="Arial"/>
                      <w:sz w:val="20"/>
                      <w:szCs w:val="20"/>
                    </w:rPr>
                    <w:t>afin d’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appuyer les employés. Il convient de noter qu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IRCC a reçu très peu de plaintes. </w:t>
                  </w:r>
                </w:p>
                <w:p w14:paraId="38B72FC5" w14:textId="732E1FB4" w:rsidR="00B043CA" w:rsidRPr="00702721" w:rsidRDefault="00B043CA" w:rsidP="00B043CA">
                  <w:pPr>
                    <w:spacing w:after="0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6A83B25C" w14:textId="175B74BD" w:rsidR="000F3071" w:rsidRPr="00702721" w:rsidRDefault="000F3071" w:rsidP="000F3071">
                  <w:p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Commentaires/discussion :</w:t>
                  </w:r>
                </w:p>
                <w:p w14:paraId="6B6ED34E" w14:textId="19C9341B" w:rsidR="000F3071" w:rsidRPr="00702721" w:rsidRDefault="000F3071" w:rsidP="0046680D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C. Warner (SEIC) déclare que les employés hésitent à déposer une plainte officielle de harcèlement parce 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ils craignent que cela ne compromette leur carrière. Elle dit 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à la suite d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enquêtes en matière de harcèlement, les membres ne peuvent pas tourner la page puisqu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ils reçoivent une lettre indiquant 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ils ont été harcelés, mais rien de plus. C. Warner demande quel est le processus interne de traitement des plaintes de harcèlement d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IRCC et </w:t>
                  </w:r>
                  <w:r w:rsidR="00AF48AD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à quel moment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 la politique sur le harcèlement d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IRCC a été révisée pour la dernière fois. La DPRH répond 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IRCC consultera les agents négociateurs au sujet de la mise en œuvre des recommandations. Josée Lapointe, </w:t>
                  </w:r>
                  <w:r w:rsidR="00F35CC2"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directrice de l</w:t>
                  </w:r>
                  <w:r w:rsidR="00F35CC2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’E</w:t>
                  </w:r>
                  <w:r w:rsidR="00F35CC2"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fficacité</w:t>
                  </w:r>
                  <w:r w:rsidR="00F35CC2" w:rsidRPr="00702721">
                    <w:rPr>
                      <w:rFonts w:ascii="Arial" w:hAnsi="Arial"/>
                      <w:sz w:val="20"/>
                      <w:szCs w:val="20"/>
                    </w:rPr>
                    <w:t xml:space="preserve"> du milieu de travail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, ajoute 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IRCC n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a pas son propre processus interne de traitement des plaintes de harcèlement; IRCC </w:t>
                  </w:r>
                  <w:r w:rsidR="006D3A6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applique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 la 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i/>
                      <w:sz w:val="20"/>
                      <w:szCs w:val="20"/>
                    </w:rPr>
                    <w:t>Directive sur le processus de traitement des plaintes de harcèlement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 du Secrétariat du Conseil du Trésor (SCT) et la 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i/>
                      <w:sz w:val="20"/>
                      <w:szCs w:val="20"/>
                    </w:rPr>
                    <w:t>Politique sur la prévention et la résolution du harcèlement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 du SCT. </w:t>
                  </w:r>
                </w:p>
                <w:p w14:paraId="7EFD62AD" w14:textId="41671643" w:rsidR="002E382A" w:rsidRPr="00702721" w:rsidRDefault="000F3071" w:rsidP="00CD2241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P. </w:t>
                  </w:r>
                  <w:proofErr w:type="spellStart"/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Croes</w:t>
                  </w:r>
                  <w:proofErr w:type="spellEnd"/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 (SEIC) déclare que le Comité sur le Système de gestion informelle des conflits (SGIC) devrait recevoir </w:t>
                  </w:r>
                  <w:r w:rsidR="006D3A6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du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 financement pour que les membres puissent se réunir en personne plutôt que par téléconférence ou vidéoconférence. </w:t>
                  </w:r>
                  <w:proofErr w:type="spellStart"/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Stephane</w:t>
                  </w:r>
                  <w:proofErr w:type="spellEnd"/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 Cardinal, directeur </w:t>
                  </w:r>
                  <w:r w:rsidR="00CD224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du Bureau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="00CD224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de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 résolution des conflits, déclare 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 xml:space="preserve">il examinera la question au cours du prochain exercice. </w:t>
                  </w:r>
                </w:p>
              </w:tc>
            </w:tr>
            <w:tr w:rsidR="000D51DF" w:rsidRPr="00702721" w14:paraId="1E1268C2" w14:textId="77777777" w:rsidTr="00612E96">
              <w:trPr>
                <w:trHeight w:val="290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02620ED" w14:textId="573687BF" w:rsidR="000D51DF" w:rsidRPr="00702721" w:rsidRDefault="0080605F" w:rsidP="003D4EA5">
                  <w:pPr>
                    <w:pStyle w:val="NormalWeb"/>
                    <w:spacing w:after="0" w:line="240" w:lineRule="auto"/>
                    <w:ind w:left="142" w:right="135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lastRenderedPageBreak/>
                    <w:t>Comité de transformation : McKinsey Management Consultants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</w:tcPr>
                <w:p w14:paraId="2E8421D3" w14:textId="43EC3E05" w:rsidR="000D51DF" w:rsidRPr="00702721" w:rsidRDefault="0080605F" w:rsidP="00086393">
                  <w:pPr>
                    <w:pStyle w:val="NormalWeb"/>
                    <w:spacing w:before="120" w:after="120"/>
                    <w:ind w:left="578" w:right="136" w:hanging="499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proofErr w:type="spellStart"/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Zaina</w:t>
                  </w:r>
                  <w:proofErr w:type="spellEnd"/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Sovani</w:t>
                  </w:r>
                  <w:proofErr w:type="spellEnd"/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 – SMA, Transformation et solutions numériques et dirigeante principale de l</w:t>
                  </w:r>
                  <w:r w:rsidR="005A2A31">
                    <w:rPr>
                      <w:rStyle w:val="Strong"/>
                      <w:rFonts w:ascii="Arial" w:hAnsi="Arial"/>
                      <w:sz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information</w:t>
                  </w:r>
                </w:p>
              </w:tc>
            </w:tr>
            <w:tr w:rsidR="00FD4D94" w:rsidRPr="00702721" w14:paraId="77508163" w14:textId="77777777" w:rsidTr="00F747F0">
              <w:trPr>
                <w:trHeight w:val="290"/>
              </w:trPr>
              <w:tc>
                <w:tcPr>
                  <w:tcW w:w="10184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E4016DC" w14:textId="77910DF9" w:rsidR="0075602C" w:rsidRPr="00702721" w:rsidRDefault="008A4548" w:rsidP="0075602C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IRCC doit gérer les attentes accrues des clients, </w:t>
                  </w:r>
                  <w:r w:rsidR="00086393">
                    <w:rPr>
                      <w:rFonts w:ascii="Arial" w:hAnsi="Arial"/>
                      <w:sz w:val="20"/>
                      <w:szCs w:val="20"/>
                    </w:rPr>
                    <w:t>l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es volumes croissants et </w:t>
                  </w:r>
                  <w:r w:rsidR="00875648">
                    <w:rPr>
                      <w:rFonts w:ascii="Arial" w:hAnsi="Arial"/>
                      <w:sz w:val="20"/>
                      <w:szCs w:val="20"/>
                    </w:rPr>
                    <w:t>les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pressions opérationnelles. </w:t>
                  </w:r>
                </w:p>
                <w:p w14:paraId="79D917E2" w14:textId="098C325B" w:rsidR="0075602C" w:rsidRPr="00702721" w:rsidRDefault="0046680D" w:rsidP="0075602C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Les tendances nationales montrent que le Canada est une destination de choix pour l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immigration; il est possible de mettre en place des </w:t>
                  </w:r>
                  <w:r w:rsidR="00D80CD2">
                    <w:rPr>
                      <w:rFonts w:ascii="Arial" w:hAnsi="Arial"/>
                      <w:sz w:val="20"/>
                      <w:szCs w:val="20"/>
                    </w:rPr>
                    <w:t>gains d’efficacité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opérationnelle et de tirer parti de la technologie. </w:t>
                  </w:r>
                </w:p>
                <w:p w14:paraId="79D1C7D4" w14:textId="5C392250" w:rsidR="0075602C" w:rsidRPr="00702721" w:rsidRDefault="00AA3D7B" w:rsidP="0075602C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McKinsey Management Consultants a été embauché pour examiner le </w:t>
                  </w:r>
                  <w:r w:rsidR="005F5164">
                    <w:rPr>
                      <w:rFonts w:ascii="Arial" w:hAnsi="Arial"/>
                      <w:sz w:val="20"/>
                      <w:szCs w:val="20"/>
                    </w:rPr>
                    <w:t>M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inistère </w:t>
                  </w:r>
                  <w:r w:rsidR="005F5164">
                    <w:rPr>
                      <w:rFonts w:ascii="Arial" w:hAnsi="Arial"/>
                      <w:sz w:val="20"/>
                      <w:szCs w:val="20"/>
                    </w:rPr>
                    <w:t>selon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5F5164">
                    <w:rPr>
                      <w:rFonts w:ascii="Arial" w:hAnsi="Arial"/>
                      <w:sz w:val="20"/>
                      <w:szCs w:val="20"/>
                    </w:rPr>
                    <w:t xml:space="preserve">le point de vue 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d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une tierce partie. </w:t>
                  </w:r>
                </w:p>
                <w:p w14:paraId="372F1146" w14:textId="2F3354ED" w:rsidR="00AD2615" w:rsidRPr="00702721" w:rsidRDefault="0075602C" w:rsidP="0075602C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59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La </w:t>
                  </w:r>
                  <w:r w:rsidR="005F5164">
                    <w:rPr>
                      <w:rFonts w:ascii="Arial" w:hAnsi="Arial"/>
                      <w:sz w:val="20"/>
                      <w:szCs w:val="20"/>
                    </w:rPr>
                    <w:t>S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tratégie de transformation, la feuille de route et la gouvernance seront dirigées par un bureau central de transformation qui assurera la continuité </w:t>
                  </w:r>
                  <w:r w:rsidR="005F5164">
                    <w:rPr>
                      <w:rFonts w:ascii="Arial" w:hAnsi="Arial"/>
                      <w:sz w:val="20"/>
                      <w:szCs w:val="20"/>
                    </w:rPr>
                    <w:t>à l’échelle de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tous les secteurs du Ministère. </w:t>
                  </w:r>
                </w:p>
                <w:p w14:paraId="0E4EB210" w14:textId="6662B055" w:rsidR="0075602C" w:rsidRPr="00702721" w:rsidRDefault="005F5164" w:rsidP="0075602C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59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Secteurs</w:t>
                  </w:r>
                  <w:r w:rsidR="0046680D" w:rsidRPr="00702721">
                    <w:rPr>
                      <w:rFonts w:ascii="Arial" w:hAnsi="Arial"/>
                      <w:sz w:val="20"/>
                      <w:szCs w:val="20"/>
                    </w:rPr>
                    <w:t xml:space="preserve"> d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="0046680D" w:rsidRPr="00702721">
                    <w:rPr>
                      <w:rFonts w:ascii="Arial" w:hAnsi="Arial"/>
                      <w:sz w:val="20"/>
                      <w:szCs w:val="20"/>
                    </w:rPr>
                    <w:t>intérêt :</w:t>
                  </w:r>
                </w:p>
                <w:p w14:paraId="39BFE42E" w14:textId="62A63FF0" w:rsidR="00DB2D01" w:rsidRPr="00702721" w:rsidRDefault="00644E4A" w:rsidP="00DB2D0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59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Ce que le Ministère peut faire dans le cadre de ses activités actuelles </w:t>
                  </w:r>
                  <w:r w:rsidR="00C0399B">
                    <w:rPr>
                      <w:rFonts w:ascii="Arial" w:hAnsi="Arial"/>
                      <w:bCs/>
                      <w:sz w:val="20"/>
                      <w:szCs w:val="20"/>
                    </w:rPr>
                    <w:t>afin de</w:t>
                  </w:r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réaliser des économies </w:t>
                  </w:r>
                  <w:r w:rsidR="00C0399B">
                    <w:rPr>
                      <w:rFonts w:ascii="Arial" w:hAnsi="Arial"/>
                      <w:bCs/>
                      <w:sz w:val="20"/>
                      <w:szCs w:val="20"/>
                    </w:rPr>
                    <w:t>dès le</w:t>
                  </w:r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début de la transformation.</w:t>
                  </w:r>
                </w:p>
                <w:p w14:paraId="6791C881" w14:textId="1BBE1C3D" w:rsidR="00DB2D01" w:rsidRPr="00702721" w:rsidRDefault="00DB2D01" w:rsidP="00DB2D0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59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>Réimaginer</w:t>
                  </w:r>
                  <w:proofErr w:type="spellEnd"/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la façon dont IRCC </w:t>
                  </w:r>
                  <w:r w:rsidR="00861394">
                    <w:rPr>
                      <w:rFonts w:ascii="Arial" w:hAnsi="Arial"/>
                      <w:bCs/>
                      <w:sz w:val="20"/>
                      <w:szCs w:val="20"/>
                    </w:rPr>
                    <w:t>des</w:t>
                  </w:r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sert </w:t>
                  </w:r>
                  <w:r w:rsidR="00861394">
                    <w:rPr>
                      <w:rFonts w:ascii="Arial" w:hAnsi="Arial"/>
                      <w:bCs/>
                      <w:sz w:val="20"/>
                      <w:szCs w:val="20"/>
                    </w:rPr>
                    <w:t>s</w:t>
                  </w:r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>es clients en tirant parti de la technologie.</w:t>
                  </w:r>
                </w:p>
                <w:p w14:paraId="2A524332" w14:textId="51E1FACD" w:rsidR="001C2044" w:rsidRPr="00702721" w:rsidRDefault="00DB2D01" w:rsidP="0075602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59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Élaborer une stratégie numérique, renouveler des plateformes et déployer des efforts pour la reprise après catastrophe. </w:t>
                  </w:r>
                </w:p>
                <w:p w14:paraId="6C45A757" w14:textId="77777777" w:rsidR="00644E4A" w:rsidRPr="00702721" w:rsidRDefault="00644E4A" w:rsidP="000F3071">
                  <w:pPr>
                    <w:spacing w:after="0" w:line="240" w:lineRule="auto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  <w:p w14:paraId="1EE75BE9" w14:textId="07A3C207" w:rsidR="000F3071" w:rsidRPr="00702721" w:rsidRDefault="000F3071" w:rsidP="000F3071">
                  <w:pPr>
                    <w:spacing w:after="0" w:line="240" w:lineRule="auto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Commentaires/discussion :</w:t>
                  </w:r>
                </w:p>
                <w:p w14:paraId="26F6F20B" w14:textId="1671A8AF" w:rsidR="001C2044" w:rsidRPr="00702721" w:rsidRDefault="000F3071" w:rsidP="000F3071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59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C. Warner (SEIC) </w:t>
                  </w:r>
                  <w:r w:rsidR="00A42D0F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affirme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que les membres </w:t>
                  </w:r>
                  <w:r w:rsidR="00A42D0F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veulent avoir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une copie du rapport McKinsey et demande que le SEIC soit informé du rapport le plus tôt possible. La SMA </w:t>
                  </w:r>
                  <w:proofErr w:type="spellStart"/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Sovani</w:t>
                  </w:r>
                  <w:proofErr w:type="spellEnd"/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déclare que le rapport est en cours d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examen en matière de gouvernance et 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il n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est pas encore terminé; les agents négociateurs seront informés une fois </w:t>
                  </w:r>
                  <w:r w:rsidR="00A42D0F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que ce sera 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terminé. </w:t>
                  </w:r>
                </w:p>
                <w:p w14:paraId="43498A6E" w14:textId="011FE008" w:rsidR="0075602C" w:rsidRPr="00702721" w:rsidRDefault="000F3071" w:rsidP="00523DB7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59" w:lineRule="auto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La SMD déclare que la transformation accordera une grande importance à la technologie. Dans le cadre de la </w:t>
                  </w:r>
                  <w:r w:rsidR="00523DB7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tratégie de transformation, on examinera de près où investir l</w:t>
                  </w:r>
                  <w:r w:rsidR="00523DB7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es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bonne</w:t>
                  </w:r>
                  <w:r w:rsidR="00523DB7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s 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somme</w:t>
                  </w:r>
                  <w:r w:rsidR="00523DB7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s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d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argent et d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énergie, on élaborera des plans de communication solides et on procédera à une analyse approfondie des priorités. La SMD déclare que la transformation demeurera en permanence à 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ordre du jour du CNCPS. </w:t>
                  </w:r>
                </w:p>
              </w:tc>
            </w:tr>
            <w:tr w:rsidR="00FD4D94" w:rsidRPr="00702721" w14:paraId="41B4E18E" w14:textId="77777777" w:rsidTr="00C34860">
              <w:trPr>
                <w:trHeight w:val="510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2223056" w14:textId="77777777" w:rsidR="00C164EE" w:rsidRPr="00702721" w:rsidRDefault="00691B71" w:rsidP="00C34860">
                  <w:pPr>
                    <w:pStyle w:val="NormalWeb"/>
                    <w:spacing w:before="0" w:after="0" w:line="240" w:lineRule="auto"/>
                    <w:ind w:left="142" w:right="135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Mesures de suivi :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La SMA </w:t>
                  </w:r>
                  <w:proofErr w:type="spellStart"/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Sovani</w:t>
                  </w:r>
                  <w:proofErr w:type="spellEnd"/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informera les agents négociateurs à propos du rapport McKinsey. </w:t>
                  </w:r>
                </w:p>
                <w:p w14:paraId="2E521B3A" w14:textId="4ABFFB8D" w:rsidR="0038207C" w:rsidRPr="00702721" w:rsidRDefault="0038207C" w:rsidP="00C34860">
                  <w:pPr>
                    <w:pStyle w:val="NormalWeb"/>
                    <w:spacing w:before="0" w:after="0" w:line="240" w:lineRule="auto"/>
                    <w:ind w:left="142" w:right="135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</w:tcPr>
                <w:p w14:paraId="1EEB3DF7" w14:textId="219AA8F0" w:rsidR="00C164EE" w:rsidRPr="00702721" w:rsidRDefault="00FD4D94" w:rsidP="00C34860">
                  <w:pPr>
                    <w:pStyle w:val="NormalWeb"/>
                    <w:spacing w:before="0" w:after="0" w:line="240" w:lineRule="auto"/>
                    <w:ind w:left="142" w:right="135"/>
                    <w:rPr>
                      <w:rStyle w:val="Strong"/>
                      <w:rFonts w:ascii="Arial" w:hAnsi="Arial" w:cs="Arial"/>
                      <w:sz w:val="18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Échéance : 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</w:rPr>
                    <w:t xml:space="preserve">Dès que le rapport McKinsey sera terminé. </w:t>
                  </w:r>
                </w:p>
              </w:tc>
            </w:tr>
            <w:tr w:rsidR="00FD4D94" w:rsidRPr="00702721" w14:paraId="1BA3D19D" w14:textId="77777777" w:rsidTr="001C2608">
              <w:trPr>
                <w:trHeight w:val="735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33DE099" w14:textId="0AB01CB4" w:rsidR="00FD4D94" w:rsidRPr="00702721" w:rsidRDefault="00704C4C" w:rsidP="00704C4C">
                  <w:pPr>
                    <w:pStyle w:val="NormalWeb"/>
                    <w:spacing w:after="0" w:line="240" w:lineRule="auto"/>
                    <w:ind w:right="135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>
                    <w:rPr>
                      <w:rStyle w:val="Strong"/>
                      <w:rFonts w:ascii="Arial" w:hAnsi="Arial"/>
                      <w:sz w:val="20"/>
                    </w:rPr>
                    <w:t>Employés des S</w:t>
                  </w:r>
                  <w:r w:rsidR="00612E96"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ystèmes informatiques : </w:t>
                  </w:r>
                  <w:r>
                    <w:rPr>
                      <w:rStyle w:val="Strong"/>
                      <w:rFonts w:ascii="Arial" w:hAnsi="Arial"/>
                      <w:sz w:val="20"/>
                    </w:rPr>
                    <w:t>t</w:t>
                  </w:r>
                  <w:r w:rsidR="00612E96" w:rsidRPr="00702721">
                    <w:rPr>
                      <w:rStyle w:val="Strong"/>
                      <w:rFonts w:ascii="Arial" w:hAnsi="Arial"/>
                      <w:sz w:val="20"/>
                    </w:rPr>
                    <w:t>ravail et formation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</w:tcPr>
                <w:p w14:paraId="70EBA848" w14:textId="773E715B" w:rsidR="00DB5FB8" w:rsidRPr="00702721" w:rsidRDefault="00612E96" w:rsidP="00D648D4">
                  <w:pPr>
                    <w:pStyle w:val="NormalWeb"/>
                    <w:spacing w:before="120" w:after="120"/>
                    <w:ind w:left="578" w:right="136" w:hanging="499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Patrick Provost, Institut professionnel de la fonction publique du Canada (IPFPC) </w:t>
                  </w:r>
                </w:p>
              </w:tc>
            </w:tr>
            <w:tr w:rsidR="00FD4D94" w:rsidRPr="00702721" w14:paraId="6BA96012" w14:textId="77777777" w:rsidTr="00F747F0">
              <w:trPr>
                <w:trHeight w:val="290"/>
              </w:trPr>
              <w:tc>
                <w:tcPr>
                  <w:tcW w:w="10184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384868" w14:textId="549DE498" w:rsidR="008308FE" w:rsidRPr="00702721" w:rsidRDefault="00C34860" w:rsidP="00644E4A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702721">
                    <w:rPr>
                      <w:rFonts w:ascii="Arial" w:hAnsi="Arial"/>
                      <w:sz w:val="20"/>
                    </w:rPr>
                    <w:t xml:space="preserve">P. Provost (IPFPC) soulève des préoccupations au sujet du travail et </w:t>
                  </w:r>
                  <w:proofErr w:type="gramStart"/>
                  <w:r w:rsidRPr="00702721">
                    <w:rPr>
                      <w:rFonts w:ascii="Arial" w:hAnsi="Arial"/>
                      <w:sz w:val="20"/>
                    </w:rPr>
                    <w:t>de la formation offerts</w:t>
                  </w:r>
                  <w:proofErr w:type="gramEnd"/>
                  <w:r w:rsidRPr="00702721">
                    <w:rPr>
                      <w:rFonts w:ascii="Arial" w:hAnsi="Arial"/>
                      <w:sz w:val="20"/>
                    </w:rPr>
                    <w:t xml:space="preserve"> aux employés </w:t>
                  </w:r>
                  <w:r w:rsidR="0037057B">
                    <w:rPr>
                      <w:rFonts w:ascii="Arial" w:hAnsi="Arial"/>
                      <w:sz w:val="20"/>
                    </w:rPr>
                    <w:t>du groupe</w:t>
                  </w:r>
                  <w:r w:rsidRPr="00702721">
                    <w:rPr>
                      <w:rFonts w:ascii="Arial" w:hAnsi="Arial"/>
                      <w:sz w:val="20"/>
                    </w:rPr>
                    <w:t xml:space="preserve"> PM d</w:t>
                  </w:r>
                  <w:r w:rsidR="0037057B">
                    <w:rPr>
                      <w:rFonts w:ascii="Arial" w:hAnsi="Arial"/>
                      <w:sz w:val="20"/>
                    </w:rPr>
                    <w:t>ans</w:t>
                  </w:r>
                  <w:r w:rsidRPr="00702721">
                    <w:rPr>
                      <w:rFonts w:ascii="Arial" w:hAnsi="Arial"/>
                      <w:sz w:val="20"/>
                    </w:rPr>
                    <w:t xml:space="preserve"> l</w:t>
                  </w:r>
                  <w:r w:rsidR="005A2A31">
                    <w:rPr>
                      <w:rFonts w:ascii="Arial" w:hAnsi="Arial"/>
                      <w:sz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</w:rPr>
                    <w:t xml:space="preserve">équipe </w:t>
                  </w:r>
                  <w:r w:rsidR="00A53189">
                    <w:rPr>
                      <w:rFonts w:ascii="Arial" w:hAnsi="Arial"/>
                      <w:sz w:val="20"/>
                    </w:rPr>
                    <w:t>de la m</w:t>
                  </w:r>
                  <w:r w:rsidRPr="00702721">
                    <w:rPr>
                      <w:rFonts w:ascii="Arial" w:hAnsi="Arial"/>
                      <w:sz w:val="20"/>
                    </w:rPr>
                    <w:t xml:space="preserve">odernisation, </w:t>
                  </w:r>
                  <w:r w:rsidR="00A53189">
                    <w:rPr>
                      <w:rFonts w:ascii="Arial" w:hAnsi="Arial"/>
                      <w:sz w:val="20"/>
                    </w:rPr>
                    <w:t>de l’</w:t>
                  </w:r>
                  <w:r w:rsidRPr="00702721">
                    <w:rPr>
                      <w:rFonts w:ascii="Arial" w:hAnsi="Arial"/>
                      <w:sz w:val="20"/>
                    </w:rPr>
                    <w:t>innovation et</w:t>
                  </w:r>
                  <w:r w:rsidR="00A53189">
                    <w:rPr>
                      <w:rFonts w:ascii="Arial" w:hAnsi="Arial"/>
                      <w:sz w:val="20"/>
                    </w:rPr>
                    <w:t xml:space="preserve"> des </w:t>
                  </w:r>
                  <w:r w:rsidRPr="00702721">
                    <w:rPr>
                      <w:rFonts w:ascii="Arial" w:hAnsi="Arial"/>
                      <w:sz w:val="20"/>
                    </w:rPr>
                    <w:t>solutions d</w:t>
                  </w:r>
                  <w:r w:rsidR="005A2A31">
                    <w:rPr>
                      <w:rFonts w:ascii="Arial" w:hAnsi="Arial"/>
                      <w:sz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</w:rPr>
                    <w:t xml:space="preserve">affaires du </w:t>
                  </w:r>
                  <w:r w:rsidR="0037057B">
                    <w:rPr>
                      <w:rFonts w:ascii="Arial" w:hAnsi="Arial"/>
                      <w:sz w:val="20"/>
                    </w:rPr>
                    <w:t>R</w:t>
                  </w:r>
                  <w:r w:rsidRPr="00702721">
                    <w:rPr>
                      <w:rFonts w:ascii="Arial" w:hAnsi="Arial"/>
                      <w:sz w:val="20"/>
                    </w:rPr>
                    <w:t xml:space="preserve">éseau centralisé. </w:t>
                  </w:r>
                  <w:r w:rsidRPr="003D05C0">
                    <w:rPr>
                      <w:rFonts w:ascii="Arial" w:hAnsi="Arial"/>
                      <w:sz w:val="20"/>
                    </w:rPr>
                    <w:t>Il s</w:t>
                  </w:r>
                  <w:r w:rsidR="005A2A31" w:rsidRPr="003D05C0">
                    <w:rPr>
                      <w:rFonts w:ascii="Arial" w:hAnsi="Arial"/>
                      <w:sz w:val="20"/>
                    </w:rPr>
                    <w:t>’</w:t>
                  </w:r>
                  <w:r w:rsidRPr="003D05C0">
                    <w:rPr>
                      <w:rFonts w:ascii="Arial" w:hAnsi="Arial"/>
                      <w:sz w:val="20"/>
                    </w:rPr>
                    <w:t>inquiète du fait que ce travail et cette formation s</w:t>
                  </w:r>
                  <w:r w:rsidR="005A2A31" w:rsidRPr="003D05C0">
                    <w:rPr>
                      <w:rFonts w:ascii="Arial" w:hAnsi="Arial"/>
                      <w:sz w:val="20"/>
                    </w:rPr>
                    <w:t>’</w:t>
                  </w:r>
                  <w:r w:rsidRPr="003D05C0">
                    <w:rPr>
                      <w:rFonts w:ascii="Arial" w:hAnsi="Arial"/>
                      <w:sz w:val="20"/>
                    </w:rPr>
                    <w:t xml:space="preserve">harmonisent avec le travail des </w:t>
                  </w:r>
                  <w:r w:rsidR="00647EB9" w:rsidRPr="003D05C0">
                    <w:rPr>
                      <w:rFonts w:ascii="Arial" w:hAnsi="Arial"/>
                      <w:sz w:val="20"/>
                    </w:rPr>
                    <w:t>S</w:t>
                  </w:r>
                  <w:r w:rsidRPr="003D05C0">
                    <w:rPr>
                      <w:rFonts w:ascii="Arial" w:hAnsi="Arial"/>
                      <w:sz w:val="20"/>
                    </w:rPr>
                    <w:t>ystèmes informatiques et qu</w:t>
                  </w:r>
                  <w:r w:rsidR="005A2A31" w:rsidRPr="003D05C0">
                    <w:rPr>
                      <w:rFonts w:ascii="Arial" w:hAnsi="Arial"/>
                      <w:sz w:val="20"/>
                    </w:rPr>
                    <w:t>’</w:t>
                  </w:r>
                  <w:r w:rsidRPr="003D05C0">
                    <w:rPr>
                      <w:rFonts w:ascii="Arial" w:hAnsi="Arial"/>
                      <w:sz w:val="20"/>
                    </w:rPr>
                    <w:t xml:space="preserve">ils devraient être offerts </w:t>
                  </w:r>
                  <w:r w:rsidR="003D05C0" w:rsidRPr="003D05C0">
                    <w:rPr>
                      <w:rFonts w:ascii="Arial" w:hAnsi="Arial"/>
                      <w:sz w:val="20"/>
                    </w:rPr>
                    <w:t>aux</w:t>
                  </w:r>
                  <w:r w:rsidR="00647EB9" w:rsidRPr="003D05C0">
                    <w:rPr>
                      <w:rFonts w:ascii="Arial" w:hAnsi="Arial"/>
                      <w:sz w:val="20"/>
                    </w:rPr>
                    <w:t xml:space="preserve"> employés</w:t>
                  </w:r>
                  <w:r w:rsidR="003D05C0">
                    <w:rPr>
                      <w:rFonts w:ascii="Arial" w:hAnsi="Arial"/>
                      <w:sz w:val="20"/>
                    </w:rPr>
                    <w:t xml:space="preserve"> des Systèmes informatiques</w:t>
                  </w:r>
                  <w:r w:rsidRPr="00702721">
                    <w:rPr>
                      <w:rFonts w:ascii="Arial" w:hAnsi="Arial"/>
                      <w:sz w:val="20"/>
                    </w:rPr>
                    <w:t xml:space="preserve">. Il fera part de ses préoccupations </w:t>
                  </w:r>
                  <w:r w:rsidR="007F7F3F">
                    <w:rPr>
                      <w:rFonts w:ascii="Arial" w:hAnsi="Arial"/>
                      <w:sz w:val="20"/>
                    </w:rPr>
                    <w:t xml:space="preserve">au niveau </w:t>
                  </w:r>
                  <w:r w:rsidRPr="00702721">
                    <w:rPr>
                      <w:rFonts w:ascii="Arial" w:hAnsi="Arial"/>
                      <w:sz w:val="20"/>
                    </w:rPr>
                    <w:t>local à la prochaine réunion du Comité de consultation patronale-syndicale en technologie de l</w:t>
                  </w:r>
                  <w:r w:rsidR="005A2A31">
                    <w:rPr>
                      <w:rFonts w:ascii="Arial" w:hAnsi="Arial"/>
                      <w:sz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</w:rPr>
                    <w:t xml:space="preserve">information. </w:t>
                  </w:r>
                </w:p>
                <w:p w14:paraId="76AD2675" w14:textId="0027C47B" w:rsidR="0038207C" w:rsidRPr="00702721" w:rsidRDefault="0038207C" w:rsidP="0038207C">
                  <w:pPr>
                    <w:spacing w:after="0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</w:rPr>
                  </w:pPr>
                </w:p>
              </w:tc>
            </w:tr>
            <w:tr w:rsidR="00FD4D94" w:rsidRPr="00702721" w14:paraId="0A280E88" w14:textId="77777777" w:rsidTr="00612E96">
              <w:trPr>
                <w:trHeight w:val="290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6A6EB9C" w14:textId="0FF2F1D4" w:rsidR="008D7A91" w:rsidRPr="00702721" w:rsidRDefault="008D7A91" w:rsidP="00C34860">
                  <w:pPr>
                    <w:pStyle w:val="NormalWeb"/>
                    <w:spacing w:before="0" w:after="0" w:line="240" w:lineRule="auto"/>
                    <w:ind w:left="142" w:right="135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Mesures de suivi : 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</w:rPr>
                    <w:t>La discussion se poursuivra à la réunion du Comité de consultation patronale-syndicale en technologie de 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</w:rPr>
                    <w:t xml:space="preserve">information. </w:t>
                  </w:r>
                </w:p>
                <w:p w14:paraId="428EBC7F" w14:textId="77777777" w:rsidR="0038207C" w:rsidRPr="00702721" w:rsidRDefault="0038207C" w:rsidP="00C34860">
                  <w:pPr>
                    <w:pStyle w:val="NormalWeb"/>
                    <w:spacing w:before="0" w:after="0" w:line="240" w:lineRule="auto"/>
                    <w:ind w:left="142" w:right="135"/>
                    <w:rPr>
                      <w:rStyle w:val="Strong"/>
                      <w:rFonts w:ascii="Arial" w:hAnsi="Arial" w:cs="Arial"/>
                      <w:sz w:val="20"/>
                    </w:rPr>
                  </w:pPr>
                </w:p>
                <w:p w14:paraId="7B667EA1" w14:textId="3C451DA3" w:rsidR="0038207C" w:rsidRPr="00702721" w:rsidRDefault="0038207C" w:rsidP="00C34860">
                  <w:pPr>
                    <w:pStyle w:val="NormalWeb"/>
                    <w:spacing w:before="0" w:after="0" w:line="240" w:lineRule="auto"/>
                    <w:ind w:left="142" w:right="135"/>
                    <w:rPr>
                      <w:rStyle w:val="Strong"/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</w:tcPr>
                <w:p w14:paraId="2614E1D2" w14:textId="0917AFDB" w:rsidR="00F45E1E" w:rsidRPr="00702721" w:rsidRDefault="00F45E1E" w:rsidP="00C34860">
                  <w:pPr>
                    <w:pStyle w:val="NormalWeb"/>
                    <w:spacing w:before="0" w:after="0" w:line="240" w:lineRule="auto"/>
                    <w:ind w:left="142" w:right="135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Échéance : 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</w:rPr>
                    <w:t xml:space="preserve">Dès que possible. </w:t>
                  </w:r>
                </w:p>
              </w:tc>
            </w:tr>
            <w:tr w:rsidR="00DC0245" w:rsidRPr="00702721" w14:paraId="7DA8EB3A" w14:textId="77777777" w:rsidTr="00C34860">
              <w:trPr>
                <w:trHeight w:val="528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618A3F" w14:textId="7475BDF3" w:rsidR="00DC0245" w:rsidRPr="00702721" w:rsidRDefault="00DC0245" w:rsidP="0038207C">
                  <w:pPr>
                    <w:keepNext/>
                    <w:keepLines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02721">
                    <w:rPr>
                      <w:rFonts w:ascii="Arial" w:hAnsi="Arial"/>
                      <w:b/>
                      <w:sz w:val="20"/>
                    </w:rPr>
                    <w:lastRenderedPageBreak/>
                    <w:t>Dotation à IRCC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</w:tcPr>
                <w:p w14:paraId="3D01806F" w14:textId="64F1087F" w:rsidR="00DC0245" w:rsidRPr="00702721" w:rsidRDefault="008F6ABD" w:rsidP="0038207C">
                  <w:pPr>
                    <w:keepNext/>
                    <w:keepLines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02721">
                    <w:rPr>
                      <w:rFonts w:ascii="Arial" w:hAnsi="Arial"/>
                      <w:b/>
                      <w:sz w:val="20"/>
                    </w:rPr>
                    <w:t>Crystal Warner, Syndicat de l</w:t>
                  </w:r>
                  <w:r w:rsidR="005A2A31">
                    <w:rPr>
                      <w:rFonts w:ascii="Arial" w:hAnsi="Arial"/>
                      <w:b/>
                      <w:sz w:val="20"/>
                    </w:rPr>
                    <w:t>’</w:t>
                  </w:r>
                  <w:r w:rsidRPr="00702721">
                    <w:rPr>
                      <w:rFonts w:ascii="Arial" w:hAnsi="Arial"/>
                      <w:b/>
                      <w:sz w:val="20"/>
                    </w:rPr>
                    <w:t>emploi et de l</w:t>
                  </w:r>
                  <w:r w:rsidR="005A2A31">
                    <w:rPr>
                      <w:rFonts w:ascii="Arial" w:hAnsi="Arial"/>
                      <w:b/>
                      <w:sz w:val="20"/>
                    </w:rPr>
                    <w:t>’</w:t>
                  </w:r>
                  <w:r w:rsidRPr="00702721">
                    <w:rPr>
                      <w:rFonts w:ascii="Arial" w:hAnsi="Arial"/>
                      <w:b/>
                      <w:sz w:val="20"/>
                    </w:rPr>
                    <w:t>immigration du Canada (SEIC)</w:t>
                  </w:r>
                </w:p>
              </w:tc>
            </w:tr>
            <w:tr w:rsidR="00DC0245" w:rsidRPr="00702721" w14:paraId="6B44DCFC" w14:textId="77777777" w:rsidTr="00644E4A">
              <w:trPr>
                <w:trHeight w:val="1275"/>
              </w:trPr>
              <w:tc>
                <w:tcPr>
                  <w:tcW w:w="10184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442711" w14:textId="1CF8FBFD" w:rsidR="00DC0245" w:rsidRPr="00702721" w:rsidRDefault="00C34860" w:rsidP="0038207C">
                  <w:pPr>
                    <w:pStyle w:val="NormalWeb"/>
                    <w:keepNext/>
                    <w:keepLines/>
                    <w:numPr>
                      <w:ilvl w:val="0"/>
                      <w:numId w:val="28"/>
                    </w:numPr>
                    <w:spacing w:before="0" w:after="0" w:line="240" w:lineRule="auto"/>
                    <w:ind w:right="130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C. Warner (SEIC) </w:t>
                  </w:r>
                  <w:r w:rsidR="007F7F3F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affirme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que les membres s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inqui</w:t>
                  </w:r>
                  <w:r w:rsidR="007F7F3F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è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tent de certains processus de dotation à IRCC, comme les nominations non annoncées, ainsi que du népotisme et du favoritisme. Elle demande un aperçu des statistiques sur les processus non annoncés. La SMD répond qu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IRCC utilise tous les outils à sa disposition </w:t>
                  </w:r>
                  <w:r w:rsidR="007F7F3F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afin d’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embaucher des employés et que le Ministère s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efforce de le faire avec bonne mesure, cohérence, transparence et équité. </w:t>
                  </w:r>
                </w:p>
                <w:p w14:paraId="7A856A1D" w14:textId="077A3C8C" w:rsidR="001B6B5B" w:rsidRPr="00702721" w:rsidRDefault="00C34860" w:rsidP="0038207C">
                  <w:pPr>
                    <w:pStyle w:val="NormalWeb"/>
                    <w:keepNext/>
                    <w:keepLines/>
                    <w:numPr>
                      <w:ilvl w:val="0"/>
                      <w:numId w:val="28"/>
                    </w:numPr>
                    <w:spacing w:before="0" w:after="0" w:line="240" w:lineRule="auto"/>
                    <w:ind w:right="130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C. Warner (SEIC) déclare que le SEIC a apporté des changements internes à sa procédure de règlement des griefs. </w:t>
                  </w:r>
                </w:p>
              </w:tc>
            </w:tr>
            <w:tr w:rsidR="00DC0245" w:rsidRPr="00702721" w14:paraId="6C1C40BD" w14:textId="77777777" w:rsidTr="00612E96">
              <w:trPr>
                <w:trHeight w:val="290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B2A15ED" w14:textId="7897FF88" w:rsidR="00DC0245" w:rsidRPr="00702721" w:rsidRDefault="00DC0245" w:rsidP="0038207C">
                  <w:pPr>
                    <w:pStyle w:val="NormalWeb"/>
                    <w:keepNext/>
                    <w:keepLines/>
                    <w:spacing w:before="0" w:after="0" w:line="240" w:lineRule="auto"/>
                    <w:ind w:left="142" w:right="135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 xml:space="preserve">Mesures de suivi : </w:t>
                  </w:r>
                </w:p>
                <w:p w14:paraId="3BC72D37" w14:textId="563F7C22" w:rsidR="00397507" w:rsidRPr="00702721" w:rsidRDefault="001D3F2F" w:rsidP="0038207C">
                  <w:pPr>
                    <w:pStyle w:val="NormalWeb"/>
                    <w:keepNext/>
                    <w:keepLines/>
                    <w:numPr>
                      <w:ilvl w:val="0"/>
                      <w:numId w:val="19"/>
                    </w:numPr>
                    <w:spacing w:before="0" w:after="0" w:line="240" w:lineRule="auto"/>
                    <w:ind w:right="135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L</w:t>
                  </w:r>
                  <w:r w:rsidR="005A2A3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’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équipe des </w:t>
                  </w:r>
                  <w:r w:rsidR="007F7F3F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R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essources humaines fournira au SEIC un aperçu statistique des processus non annoncés au sein du groupe PA à IRCC.</w:t>
                  </w:r>
                </w:p>
                <w:p w14:paraId="306AD923" w14:textId="1D1ECBED" w:rsidR="00397507" w:rsidRPr="00702721" w:rsidRDefault="00397507" w:rsidP="007F7F3F">
                  <w:pPr>
                    <w:pStyle w:val="NormalWeb"/>
                    <w:keepNext/>
                    <w:keepLines/>
                    <w:numPr>
                      <w:ilvl w:val="0"/>
                      <w:numId w:val="19"/>
                    </w:numPr>
                    <w:spacing w:before="0" w:after="0" w:line="240" w:lineRule="auto"/>
                    <w:ind w:right="135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Le SEIC </w:t>
                  </w:r>
                  <w:r w:rsidR="007F7F3F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transmettra</w:t>
                  </w: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 tous les changements syndicaux internes à la DPRH.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</w:tcPr>
                <w:p w14:paraId="790D3285" w14:textId="5717D328" w:rsidR="00DC0245" w:rsidRPr="00702721" w:rsidRDefault="00DC0245" w:rsidP="0038207C">
                  <w:pPr>
                    <w:pStyle w:val="NormalWeb"/>
                    <w:keepNext/>
                    <w:keepLines/>
                    <w:spacing w:before="0" w:after="0" w:line="240" w:lineRule="auto"/>
                    <w:ind w:left="142" w:right="135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Échéance </w:t>
                  </w:r>
                  <w:r w:rsidR="00F65E6E" w:rsidRPr="00702721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 xml:space="preserve">: </w:t>
                  </w:r>
                </w:p>
                <w:p w14:paraId="57FDC4A0" w14:textId="20ED8CF1" w:rsidR="00397507" w:rsidRPr="00702721" w:rsidRDefault="008D7A91" w:rsidP="0038207C">
                  <w:pPr>
                    <w:pStyle w:val="NormalWeb"/>
                    <w:keepNext/>
                    <w:keepLines/>
                    <w:numPr>
                      <w:ilvl w:val="0"/>
                      <w:numId w:val="19"/>
                    </w:numPr>
                    <w:spacing w:before="0" w:after="0" w:line="240" w:lineRule="auto"/>
                    <w:ind w:right="135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 xml:space="preserve">Dès que possible. </w:t>
                  </w:r>
                </w:p>
                <w:p w14:paraId="493DE8BD" w14:textId="77777777" w:rsidR="00397507" w:rsidRPr="00702721" w:rsidRDefault="00397507" w:rsidP="0038207C">
                  <w:pPr>
                    <w:pStyle w:val="NormalWeb"/>
                    <w:keepNext/>
                    <w:keepLines/>
                    <w:spacing w:before="0" w:after="0" w:line="240" w:lineRule="auto"/>
                    <w:ind w:right="135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6716832F" w14:textId="77777777" w:rsidR="00397507" w:rsidRPr="00702721" w:rsidRDefault="00397507" w:rsidP="0038207C">
                  <w:pPr>
                    <w:pStyle w:val="NormalWeb"/>
                    <w:keepNext/>
                    <w:keepLines/>
                    <w:spacing w:before="0" w:after="0" w:line="240" w:lineRule="auto"/>
                    <w:ind w:right="135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7C3834D7" w14:textId="77777777" w:rsidR="0071707C" w:rsidRPr="00702721" w:rsidRDefault="0071707C" w:rsidP="0038207C">
                  <w:pPr>
                    <w:pStyle w:val="NormalWeb"/>
                    <w:keepNext/>
                    <w:keepLines/>
                    <w:spacing w:before="0" w:after="0" w:line="240" w:lineRule="auto"/>
                    <w:ind w:right="135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0E18E52A" w14:textId="0125D696" w:rsidR="00397507" w:rsidRPr="00702721" w:rsidRDefault="0042049B" w:rsidP="0038207C">
                  <w:pPr>
                    <w:pStyle w:val="NormalWeb"/>
                    <w:keepNext/>
                    <w:keepLines/>
                    <w:numPr>
                      <w:ilvl w:val="0"/>
                      <w:numId w:val="19"/>
                    </w:numPr>
                    <w:spacing w:before="0" w:after="0" w:line="240" w:lineRule="auto"/>
                    <w:ind w:right="135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b w:val="0"/>
                      <w:sz w:val="20"/>
                      <w:szCs w:val="20"/>
                    </w:rPr>
                    <w:t>Terminé.</w:t>
                  </w:r>
                </w:p>
              </w:tc>
            </w:tr>
            <w:tr w:rsidR="00F508BD" w:rsidRPr="00702721" w14:paraId="239B4941" w14:textId="77777777" w:rsidTr="00937083">
              <w:trPr>
                <w:trHeight w:val="636"/>
              </w:trPr>
              <w:tc>
                <w:tcPr>
                  <w:tcW w:w="48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AC6376" w14:textId="5E98B4EA" w:rsidR="00F508BD" w:rsidRPr="00702721" w:rsidRDefault="00FF6FC3" w:rsidP="00F508BD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02721">
                    <w:rPr>
                      <w:rFonts w:ascii="Arial" w:hAnsi="Arial"/>
                      <w:b/>
                      <w:sz w:val="20"/>
                    </w:rPr>
                    <w:t>Mandat du CNCPS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599" w:themeFill="accent4" w:themeFillTint="66"/>
                </w:tcPr>
                <w:p w14:paraId="375A7084" w14:textId="34A8F6E0" w:rsidR="00F508BD" w:rsidRPr="00702721" w:rsidRDefault="00F508BD" w:rsidP="007F7F3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02721">
                    <w:rPr>
                      <w:rFonts w:ascii="Arial" w:hAnsi="Arial"/>
                      <w:b/>
                      <w:sz w:val="20"/>
                    </w:rPr>
                    <w:t xml:space="preserve">Holly </w:t>
                  </w:r>
                  <w:proofErr w:type="spellStart"/>
                  <w:r w:rsidRPr="00702721">
                    <w:rPr>
                      <w:rFonts w:ascii="Arial" w:hAnsi="Arial"/>
                      <w:b/>
                      <w:sz w:val="20"/>
                    </w:rPr>
                    <w:t>Flowers</w:t>
                  </w:r>
                  <w:proofErr w:type="spellEnd"/>
                  <w:r w:rsidRPr="00702721">
                    <w:rPr>
                      <w:rFonts w:ascii="Arial" w:hAnsi="Arial"/>
                      <w:b/>
                      <w:sz w:val="20"/>
                    </w:rPr>
                    <w:t xml:space="preserve"> Code, </w:t>
                  </w:r>
                  <w:r w:rsidR="007F7F3F">
                    <w:rPr>
                      <w:rFonts w:ascii="Arial" w:hAnsi="Arial"/>
                      <w:b/>
                      <w:sz w:val="20"/>
                    </w:rPr>
                    <w:t>d</w:t>
                  </w:r>
                  <w:r w:rsidRPr="00702721">
                    <w:rPr>
                      <w:rFonts w:ascii="Arial" w:hAnsi="Arial"/>
                      <w:b/>
                      <w:sz w:val="20"/>
                    </w:rPr>
                    <w:t>irigeante principale des ressources humaines (DPRH)</w:t>
                  </w:r>
                </w:p>
              </w:tc>
            </w:tr>
            <w:tr w:rsidR="00F508BD" w:rsidRPr="00702721" w14:paraId="31CBDF0C" w14:textId="77777777" w:rsidTr="002E0661">
              <w:trPr>
                <w:trHeight w:val="645"/>
              </w:trPr>
              <w:tc>
                <w:tcPr>
                  <w:tcW w:w="10184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B57164" w14:textId="39AED8F8" w:rsidR="001D342B" w:rsidRPr="00702721" w:rsidRDefault="00C34860" w:rsidP="007E0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La DPRH demande au </w:t>
                  </w:r>
                  <w:r w:rsidR="008900D0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omité de formuler d</w:t>
                  </w:r>
                  <w:r w:rsidR="005A2A31"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autres commentaires sur le mandat du CNCPS. Le mandat est </w:t>
                  </w:r>
                  <w:r w:rsidR="008900D0">
                    <w:rPr>
                      <w:rFonts w:ascii="Arial" w:hAnsi="Arial"/>
                      <w:sz w:val="20"/>
                      <w:szCs w:val="20"/>
                    </w:rPr>
                    <w:t>achevé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et sera bientôt signé par les coprésidents avant la réunion du </w:t>
                  </w:r>
                  <w:r w:rsidR="007E0339">
                    <w:rPr>
                      <w:rFonts w:ascii="Arial" w:hAnsi="Arial"/>
                      <w:sz w:val="20"/>
                      <w:szCs w:val="20"/>
                    </w:rPr>
                    <w:t>8 juillet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 2019. </w:t>
                  </w:r>
                </w:p>
              </w:tc>
            </w:tr>
            <w:tr w:rsidR="008E5F72" w:rsidRPr="00702721" w14:paraId="6468414B" w14:textId="77777777" w:rsidTr="00FD6661">
              <w:trPr>
                <w:trHeight w:val="591"/>
              </w:trPr>
              <w:tc>
                <w:tcPr>
                  <w:tcW w:w="10184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0CECE" w:themeFill="background2" w:themeFillShade="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692522E" w14:textId="56676D46" w:rsidR="00644E4A" w:rsidRPr="00702721" w:rsidRDefault="008E5F72" w:rsidP="00644E4A">
                  <w:pPr>
                    <w:pStyle w:val="NormalWeb"/>
                    <w:spacing w:before="0" w:after="0"/>
                    <w:ind w:left="144" w:right="130"/>
                    <w:jc w:val="center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Mot de la fin </w:t>
                  </w:r>
                </w:p>
                <w:p w14:paraId="241C1542" w14:textId="1F7C88AC" w:rsidR="00644E4A" w:rsidRPr="00702721" w:rsidRDefault="0046668B" w:rsidP="007B6636">
                  <w:pPr>
                    <w:pStyle w:val="NormalWeb"/>
                    <w:spacing w:before="0" w:after="0"/>
                    <w:ind w:left="144" w:right="13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02721">
                    <w:rPr>
                      <w:rFonts w:ascii="Arial" w:hAnsi="Arial"/>
                      <w:sz w:val="20"/>
                    </w:rPr>
                    <w:t xml:space="preserve">La SMD et E. Bourque remercient les membres du </w:t>
                  </w:r>
                  <w:r w:rsidR="007B6636">
                    <w:rPr>
                      <w:rFonts w:ascii="Arial" w:hAnsi="Arial"/>
                      <w:sz w:val="20"/>
                    </w:rPr>
                    <w:t>C</w:t>
                  </w:r>
                  <w:r w:rsidRPr="00702721">
                    <w:rPr>
                      <w:rFonts w:ascii="Arial" w:hAnsi="Arial"/>
                      <w:sz w:val="20"/>
                    </w:rPr>
                    <w:t>omité pour leur temps et leur énergie. Ils déclarent qu</w:t>
                  </w:r>
                  <w:r w:rsidR="005A2A31">
                    <w:rPr>
                      <w:rFonts w:ascii="Arial" w:hAnsi="Arial"/>
                      <w:sz w:val="20"/>
                    </w:rPr>
                    <w:t>’</w:t>
                  </w:r>
                  <w:r w:rsidRPr="00702721">
                    <w:rPr>
                      <w:rFonts w:ascii="Arial" w:hAnsi="Arial"/>
                      <w:sz w:val="20"/>
                    </w:rPr>
                    <w:t>une communication ouverte est essentielle</w:t>
                  </w:r>
                  <w:r w:rsidR="00F61AC8">
                    <w:rPr>
                      <w:rFonts w:ascii="Arial" w:hAnsi="Arial"/>
                      <w:sz w:val="20"/>
                    </w:rPr>
                    <w:t>,</w:t>
                  </w:r>
                  <w:r w:rsidRPr="00702721">
                    <w:rPr>
                      <w:rFonts w:ascii="Arial" w:hAnsi="Arial"/>
                      <w:sz w:val="20"/>
                    </w:rPr>
                    <w:t xml:space="preserve"> et que les commentaires sont toujours les bienvenus.</w:t>
                  </w:r>
                </w:p>
              </w:tc>
            </w:tr>
            <w:tr w:rsidR="008B6D51" w:rsidRPr="00702721" w14:paraId="15CA1B4F" w14:textId="77777777" w:rsidTr="00C34860">
              <w:trPr>
                <w:trHeight w:val="600"/>
              </w:trPr>
              <w:tc>
                <w:tcPr>
                  <w:tcW w:w="1368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C237B2" w14:textId="77777777" w:rsidR="008B6D51" w:rsidRPr="00702721" w:rsidRDefault="008B6D51" w:rsidP="00FD6661">
                  <w:pPr>
                    <w:pStyle w:val="NormalWeb"/>
                    <w:spacing w:before="0" w:after="0"/>
                    <w:ind w:right="135"/>
                    <w:rPr>
                      <w:sz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Participants</w:t>
                  </w:r>
                </w:p>
              </w:tc>
              <w:tc>
                <w:tcPr>
                  <w:tcW w:w="34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DF7BA8" w14:textId="0793F931" w:rsidR="008B6D51" w:rsidRPr="00702721" w:rsidRDefault="00FD6661" w:rsidP="00F61AC8">
                  <w:pPr>
                    <w:pStyle w:val="NormalWeb"/>
                    <w:spacing w:before="0" w:after="0"/>
                    <w:ind w:right="1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Membres du comité (employeur) : </w:t>
                  </w:r>
                </w:p>
              </w:tc>
              <w:tc>
                <w:tcPr>
                  <w:tcW w:w="3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97CD9F" w14:textId="7F02F3CB" w:rsidR="008B6D51" w:rsidRPr="00702721" w:rsidRDefault="008B6D51" w:rsidP="00C34860">
                  <w:pPr>
                    <w:pStyle w:val="NormalWeb"/>
                    <w:spacing w:before="0" w:after="0"/>
                    <w:ind w:right="135"/>
                    <w:rPr>
                      <w:rFonts w:ascii="Arial" w:hAnsi="Arial" w:cs="Arial"/>
                      <w:b/>
                      <w:sz w:val="20"/>
                    </w:rPr>
                  </w:pPr>
                  <w:r w:rsidRPr="00702721">
                    <w:rPr>
                      <w:rFonts w:ascii="Arial" w:hAnsi="Arial"/>
                      <w:b/>
                      <w:sz w:val="20"/>
                    </w:rPr>
                    <w:t>Membres du comité (syndicat) :</w:t>
                  </w:r>
                </w:p>
              </w:tc>
              <w:tc>
                <w:tcPr>
                  <w:tcW w:w="20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B834B0" w14:textId="77777777" w:rsidR="008B6D51" w:rsidRPr="00702721" w:rsidRDefault="008B6D51">
                  <w:pPr>
                    <w:pStyle w:val="NormalWeb"/>
                    <w:spacing w:before="0" w:after="0"/>
                    <w:ind w:left="142" w:right="1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 xml:space="preserve">Invités : </w:t>
                  </w:r>
                </w:p>
              </w:tc>
            </w:tr>
            <w:tr w:rsidR="008B6D51" w:rsidRPr="00702721" w14:paraId="687F545C" w14:textId="77777777" w:rsidTr="00FD6661">
              <w:trPr>
                <w:trHeight w:val="420"/>
              </w:trPr>
              <w:tc>
                <w:tcPr>
                  <w:tcW w:w="1368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86513D" w14:textId="77777777" w:rsidR="008B6D51" w:rsidRPr="00702721" w:rsidRDefault="008B6D51">
                  <w:pPr>
                    <w:spacing w:after="0"/>
                  </w:pPr>
                </w:p>
              </w:tc>
              <w:tc>
                <w:tcPr>
                  <w:tcW w:w="34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E732BB" w14:textId="42776DD7" w:rsidR="008B6D51" w:rsidRPr="00702721" w:rsidRDefault="008B6D51" w:rsidP="00342834">
                  <w:pPr>
                    <w:numPr>
                      <w:ilvl w:val="0"/>
                      <w:numId w:val="1"/>
                    </w:numPr>
                    <w:tabs>
                      <w:tab w:val="left" w:pos="510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Marta Morgan (absente)</w:t>
                  </w:r>
                </w:p>
                <w:p w14:paraId="1C91F1CC" w14:textId="4D37F4F2" w:rsidR="008B6D51" w:rsidRPr="00702721" w:rsidRDefault="00F508BD" w:rsidP="00342834">
                  <w:pPr>
                    <w:numPr>
                      <w:ilvl w:val="0"/>
                      <w:numId w:val="1"/>
                    </w:numPr>
                    <w:tabs>
                      <w:tab w:val="left" w:pos="510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Lori 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MacDonald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14:paraId="769C13F3" w14:textId="5CB65107" w:rsidR="0038162B" w:rsidRPr="00702721" w:rsidRDefault="0038162B" w:rsidP="00342834">
                  <w:pPr>
                    <w:numPr>
                      <w:ilvl w:val="0"/>
                      <w:numId w:val="1"/>
                    </w:numPr>
                    <w:tabs>
                      <w:tab w:val="left" w:pos="510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D</w:t>
                  </w:r>
                  <w:r w:rsidRPr="00702721">
                    <w:rPr>
                      <w:rFonts w:ascii="Arial" w:hAnsi="Arial"/>
                      <w:sz w:val="20"/>
                      <w:szCs w:val="20"/>
                      <w:vertAlign w:val="superscript"/>
                    </w:rPr>
                    <w:t>r</w:t>
                  </w: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 Harpreet 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Kochhar</w:t>
                  </w:r>
                  <w:proofErr w:type="spellEnd"/>
                </w:p>
                <w:p w14:paraId="3377DB95" w14:textId="2B24ABEF" w:rsidR="008B6D51" w:rsidRPr="00702721" w:rsidRDefault="00560BC8" w:rsidP="00342834">
                  <w:pPr>
                    <w:numPr>
                      <w:ilvl w:val="0"/>
                      <w:numId w:val="1"/>
                    </w:numPr>
                    <w:tabs>
                      <w:tab w:val="left" w:pos="510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Daniel Mills </w:t>
                  </w:r>
                </w:p>
                <w:p w14:paraId="182FBD45" w14:textId="1001829F" w:rsidR="008B6D51" w:rsidRPr="00702721" w:rsidRDefault="008B6D51" w:rsidP="00342834">
                  <w:pPr>
                    <w:numPr>
                      <w:ilvl w:val="0"/>
                      <w:numId w:val="1"/>
                    </w:numPr>
                    <w:tabs>
                      <w:tab w:val="left" w:pos="510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David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Manicom</w:t>
                  </w:r>
                  <w:proofErr w:type="spellEnd"/>
                </w:p>
                <w:p w14:paraId="7A7CC73F" w14:textId="313F05B2" w:rsidR="008B6D51" w:rsidRPr="00702721" w:rsidRDefault="008B6D51" w:rsidP="00342834">
                  <w:pPr>
                    <w:numPr>
                      <w:ilvl w:val="0"/>
                      <w:numId w:val="2"/>
                    </w:numPr>
                    <w:tabs>
                      <w:tab w:val="left" w:pos="532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MacKinnon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(absent)</w:t>
                  </w:r>
                </w:p>
                <w:p w14:paraId="0013053F" w14:textId="0F2C573B" w:rsidR="0038162B" w:rsidRPr="00702721" w:rsidRDefault="0038162B" w:rsidP="00342834">
                  <w:pPr>
                    <w:numPr>
                      <w:ilvl w:val="0"/>
                      <w:numId w:val="2"/>
                    </w:numPr>
                    <w:tabs>
                      <w:tab w:val="left" w:pos="532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MacDonald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14:paraId="7024C3A8" w14:textId="4D72F1F3" w:rsidR="00F508BD" w:rsidRPr="00702721" w:rsidRDefault="00F508BD" w:rsidP="00342834">
                  <w:pPr>
                    <w:numPr>
                      <w:ilvl w:val="0"/>
                      <w:numId w:val="2"/>
                    </w:numPr>
                    <w:tabs>
                      <w:tab w:val="left" w:pos="532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Zaina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 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Sovani</w:t>
                  </w:r>
                  <w:proofErr w:type="spellEnd"/>
                </w:p>
                <w:p w14:paraId="0856ED55" w14:textId="77777777" w:rsidR="008B6D51" w:rsidRPr="00702721" w:rsidRDefault="008B6D51" w:rsidP="00342834">
                  <w:pPr>
                    <w:numPr>
                      <w:ilvl w:val="0"/>
                      <w:numId w:val="2"/>
                    </w:numPr>
                    <w:tabs>
                      <w:tab w:val="left" w:pos="532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Holly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Flowers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Code </w:t>
                  </w:r>
                </w:p>
                <w:p w14:paraId="48C37C1D" w14:textId="77777777" w:rsidR="008B6D51" w:rsidRPr="00702721" w:rsidRDefault="008B6D51" w:rsidP="00342834">
                  <w:pPr>
                    <w:numPr>
                      <w:ilvl w:val="0"/>
                      <w:numId w:val="2"/>
                    </w:numPr>
                    <w:tabs>
                      <w:tab w:val="left" w:pos="532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Josée Lapointe</w:t>
                  </w:r>
                </w:p>
                <w:p w14:paraId="4F93B67D" w14:textId="7842B23B" w:rsidR="0038162B" w:rsidRPr="00702721" w:rsidRDefault="0038162B" w:rsidP="00342834">
                  <w:pPr>
                    <w:numPr>
                      <w:ilvl w:val="0"/>
                      <w:numId w:val="2"/>
                    </w:numPr>
                    <w:tabs>
                      <w:tab w:val="left" w:pos="510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Monique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Baronette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CCCBD3" w14:textId="615F9D7A" w:rsidR="008B6D51" w:rsidRPr="00702721" w:rsidRDefault="00AE44E3" w:rsidP="00342834">
                  <w:pPr>
                    <w:numPr>
                      <w:ilvl w:val="0"/>
                      <w:numId w:val="3"/>
                    </w:numPr>
                    <w:tabs>
                      <w:tab w:val="left" w:pos="494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Eddy Bourque, SEIC </w:t>
                  </w:r>
                </w:p>
                <w:p w14:paraId="7BB44580" w14:textId="4DB8E319" w:rsidR="008B6D51" w:rsidRPr="00702721" w:rsidRDefault="00F508BD" w:rsidP="00342834">
                  <w:pPr>
                    <w:numPr>
                      <w:ilvl w:val="0"/>
                      <w:numId w:val="3"/>
                    </w:numPr>
                    <w:tabs>
                      <w:tab w:val="left" w:pos="494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Crystal Warner, SEIC</w:t>
                  </w:r>
                </w:p>
                <w:p w14:paraId="4DDB3669" w14:textId="450BCB0C" w:rsidR="008B6D51" w:rsidRPr="00702721" w:rsidRDefault="00AE44E3" w:rsidP="00342834">
                  <w:pPr>
                    <w:numPr>
                      <w:ilvl w:val="0"/>
                      <w:numId w:val="3"/>
                    </w:numPr>
                    <w:tabs>
                      <w:tab w:val="left" w:pos="494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Croes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, SEIC</w:t>
                  </w:r>
                </w:p>
                <w:p w14:paraId="0A59085E" w14:textId="0DE5BD8A" w:rsidR="00612E96" w:rsidRPr="00702721" w:rsidRDefault="00612E96" w:rsidP="00846098">
                  <w:pPr>
                    <w:tabs>
                      <w:tab w:val="left" w:pos="323"/>
                    </w:tabs>
                    <w:spacing w:after="0"/>
                    <w:ind w:right="1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  Luc Pomerleau, SEIC</w:t>
                  </w:r>
                </w:p>
                <w:p w14:paraId="76350AA1" w14:textId="196DF1DA" w:rsidR="008B6D51" w:rsidRPr="00702721" w:rsidRDefault="00AE44E3" w:rsidP="00342834">
                  <w:pPr>
                    <w:numPr>
                      <w:ilvl w:val="0"/>
                      <w:numId w:val="3"/>
                    </w:numPr>
                    <w:tabs>
                      <w:tab w:val="left" w:pos="494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Bertrand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Myre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, ACEP (absent) </w:t>
                  </w:r>
                </w:p>
                <w:p w14:paraId="6BE5AB03" w14:textId="2610C08B" w:rsidR="008B6D51" w:rsidRPr="00702721" w:rsidRDefault="00612E96" w:rsidP="00342834">
                  <w:pPr>
                    <w:numPr>
                      <w:ilvl w:val="0"/>
                      <w:numId w:val="3"/>
                    </w:numPr>
                    <w:tabs>
                      <w:tab w:val="left" w:pos="494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Maureen Collins, ACEP (absente)</w:t>
                  </w:r>
                </w:p>
                <w:p w14:paraId="461E4158" w14:textId="7C88881A" w:rsidR="008B6D51" w:rsidRPr="00702721" w:rsidRDefault="00612E96" w:rsidP="00342834">
                  <w:pPr>
                    <w:numPr>
                      <w:ilvl w:val="0"/>
                      <w:numId w:val="3"/>
                    </w:numPr>
                    <w:tabs>
                      <w:tab w:val="left" w:pos="494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Randy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Orr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, APASE </w:t>
                  </w:r>
                </w:p>
                <w:p w14:paraId="11BD9ABF" w14:textId="20D1AC16" w:rsidR="008B6D51" w:rsidRPr="00702721" w:rsidRDefault="00560BC8" w:rsidP="00342834">
                  <w:pPr>
                    <w:numPr>
                      <w:ilvl w:val="0"/>
                      <w:numId w:val="3"/>
                    </w:numPr>
                    <w:tabs>
                      <w:tab w:val="left" w:pos="494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Kevin King, SEN (absent)  </w:t>
                  </w:r>
                </w:p>
                <w:p w14:paraId="28625EF9" w14:textId="14C92113" w:rsidR="008B6D51" w:rsidRPr="00702721" w:rsidRDefault="008B6D51" w:rsidP="00342834">
                  <w:pPr>
                    <w:numPr>
                      <w:ilvl w:val="0"/>
                      <w:numId w:val="3"/>
                    </w:numPr>
                    <w:tabs>
                      <w:tab w:val="left" w:pos="494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Rose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Touhey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, SEN </w:t>
                  </w:r>
                </w:p>
                <w:p w14:paraId="030681AA" w14:textId="6BB74E90" w:rsidR="0038162B" w:rsidRPr="00702721" w:rsidRDefault="0038162B" w:rsidP="00342834">
                  <w:pPr>
                    <w:numPr>
                      <w:ilvl w:val="0"/>
                      <w:numId w:val="3"/>
                    </w:numPr>
                    <w:tabs>
                      <w:tab w:val="left" w:pos="494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Karl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Lafrenière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, SEN (absent)</w:t>
                  </w:r>
                </w:p>
                <w:p w14:paraId="5CD1F93E" w14:textId="7DF2EA46" w:rsidR="00F508BD" w:rsidRPr="00702721" w:rsidRDefault="00D22C67" w:rsidP="00342834">
                  <w:pPr>
                    <w:numPr>
                      <w:ilvl w:val="0"/>
                      <w:numId w:val="3"/>
                    </w:numPr>
                    <w:tabs>
                      <w:tab w:val="left" w:pos="494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Danielle Viel, ACAF </w:t>
                  </w:r>
                </w:p>
                <w:p w14:paraId="7F1A6C7D" w14:textId="6B126D6C" w:rsidR="00560BC8" w:rsidRPr="00702721" w:rsidRDefault="0038162B" w:rsidP="00342834">
                  <w:pPr>
                    <w:numPr>
                      <w:ilvl w:val="0"/>
                      <w:numId w:val="3"/>
                    </w:numPr>
                    <w:tabs>
                      <w:tab w:val="left" w:pos="494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Tia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Hazra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, IPFPC </w:t>
                  </w:r>
                </w:p>
                <w:p w14:paraId="6D0BC001" w14:textId="635819BB" w:rsidR="00AE44E3" w:rsidRPr="00702721" w:rsidRDefault="00560BC8" w:rsidP="00342834">
                  <w:pPr>
                    <w:numPr>
                      <w:ilvl w:val="0"/>
                      <w:numId w:val="3"/>
                    </w:numPr>
                    <w:tabs>
                      <w:tab w:val="left" w:pos="494"/>
                    </w:tabs>
                    <w:spacing w:after="0"/>
                    <w:ind w:left="144" w:right="130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Patrick Provost, IPFPC    </w:t>
                  </w:r>
                </w:p>
              </w:tc>
              <w:tc>
                <w:tcPr>
                  <w:tcW w:w="20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EDFDB6" w14:textId="77777777" w:rsidR="0038162B" w:rsidRPr="00702721" w:rsidRDefault="0038162B" w:rsidP="005D276F">
                  <w:pPr>
                    <w:tabs>
                      <w:tab w:val="left" w:pos="323"/>
                    </w:tabs>
                    <w:spacing w:after="0"/>
                    <w:ind w:right="1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Heather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Primeau</w:t>
                  </w:r>
                  <w:proofErr w:type="spellEnd"/>
                </w:p>
                <w:p w14:paraId="27104E7F" w14:textId="4F2FD396" w:rsidR="00FE5798" w:rsidRPr="00702721" w:rsidRDefault="00612E96" w:rsidP="005D276F">
                  <w:pPr>
                    <w:tabs>
                      <w:tab w:val="left" w:pos="323"/>
                    </w:tabs>
                    <w:spacing w:after="0"/>
                    <w:ind w:right="1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Catherine Beaubien </w:t>
                  </w:r>
                </w:p>
                <w:p w14:paraId="19612F4B" w14:textId="77777777" w:rsidR="00F508BD" w:rsidRPr="00702721" w:rsidRDefault="00F508BD" w:rsidP="005D276F">
                  <w:pPr>
                    <w:tabs>
                      <w:tab w:val="left" w:pos="323"/>
                    </w:tabs>
                    <w:spacing w:after="0"/>
                    <w:ind w:right="13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Stephane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Cardinal</w:t>
                  </w:r>
                </w:p>
                <w:p w14:paraId="40601B8D" w14:textId="3755C8F5" w:rsidR="00F508BD" w:rsidRPr="00702721" w:rsidRDefault="00612E96" w:rsidP="005D276F">
                  <w:pPr>
                    <w:tabs>
                      <w:tab w:val="left" w:pos="323"/>
                    </w:tabs>
                    <w:spacing w:after="0"/>
                    <w:ind w:right="1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Serge Joly</w:t>
                  </w:r>
                </w:p>
                <w:p w14:paraId="713C76B1" w14:textId="372EA316" w:rsidR="00F508BD" w:rsidRPr="00702721" w:rsidRDefault="00612E96" w:rsidP="005D276F">
                  <w:pPr>
                    <w:tabs>
                      <w:tab w:val="left" w:pos="323"/>
                    </w:tabs>
                    <w:spacing w:after="0"/>
                    <w:ind w:right="1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Bob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Lanouette</w:t>
                  </w:r>
                  <w:proofErr w:type="spellEnd"/>
                </w:p>
                <w:p w14:paraId="5056D48D" w14:textId="2379C29F" w:rsidR="00190008" w:rsidRPr="00702721" w:rsidRDefault="00612E96" w:rsidP="005D276F">
                  <w:pPr>
                    <w:tabs>
                      <w:tab w:val="left" w:pos="323"/>
                    </w:tabs>
                    <w:spacing w:after="0"/>
                    <w:ind w:right="1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Rina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Lorello</w:t>
                  </w:r>
                  <w:proofErr w:type="spellEnd"/>
                </w:p>
                <w:p w14:paraId="5AD0B150" w14:textId="4E94D98F" w:rsidR="00FB5BE3" w:rsidRPr="00702721" w:rsidRDefault="00FB5BE3" w:rsidP="005D276F">
                  <w:pPr>
                    <w:tabs>
                      <w:tab w:val="left" w:pos="323"/>
                    </w:tabs>
                    <w:spacing w:after="0"/>
                    <w:ind w:right="1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Natasha Kim</w:t>
                  </w:r>
                </w:p>
                <w:p w14:paraId="7DF44127" w14:textId="6E93D6E4" w:rsidR="00E57020" w:rsidRPr="00702721" w:rsidRDefault="00E57020" w:rsidP="00D462EE">
                  <w:pPr>
                    <w:tabs>
                      <w:tab w:val="left" w:pos="323"/>
                    </w:tabs>
                    <w:ind w:right="13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D1C4FF" w14:textId="29E5FA6D" w:rsidR="00D462EE" w:rsidRPr="00702721" w:rsidRDefault="00D462EE" w:rsidP="00D462EE">
                  <w:pPr>
                    <w:tabs>
                      <w:tab w:val="left" w:pos="323"/>
                    </w:tabs>
                    <w:ind w:left="126" w:right="135" w:hanging="6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6D51" w:rsidRPr="00702721" w14:paraId="202FB703" w14:textId="77777777" w:rsidTr="00FD6661">
              <w:trPr>
                <w:trHeight w:val="343"/>
              </w:trPr>
              <w:tc>
                <w:tcPr>
                  <w:tcW w:w="13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D432A6" w14:textId="74C36C5B" w:rsidR="008B6D51" w:rsidRPr="00702721" w:rsidRDefault="008B6D51">
                  <w:pPr>
                    <w:pStyle w:val="NormalWeb"/>
                    <w:spacing w:before="0" w:after="0"/>
                    <w:ind w:left="142" w:right="1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Style w:val="Strong"/>
                      <w:rFonts w:ascii="Arial" w:hAnsi="Arial"/>
                      <w:sz w:val="20"/>
                    </w:rPr>
                    <w:t>Secrétaire</w:t>
                  </w:r>
                </w:p>
              </w:tc>
              <w:tc>
                <w:tcPr>
                  <w:tcW w:w="8816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97FFB" w14:textId="3BEFA869" w:rsidR="0082541B" w:rsidRPr="00702721" w:rsidRDefault="008B6D51" w:rsidP="0082541B">
                  <w:pPr>
                    <w:pStyle w:val="NormalWeb"/>
                    <w:spacing w:before="0" w:after="0"/>
                    <w:ind w:left="142" w:right="1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>Josée Lapointe, directrice, Efficacité du milieu de travail</w:t>
                  </w:r>
                </w:p>
                <w:p w14:paraId="5D0372DA" w14:textId="77777777" w:rsidR="00346693" w:rsidRPr="00702721" w:rsidRDefault="00346693" w:rsidP="00036F58">
                  <w:pPr>
                    <w:pStyle w:val="NormalWeb"/>
                    <w:spacing w:before="0" w:after="0"/>
                    <w:ind w:left="142" w:right="1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Monique </w:t>
                  </w: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Baronette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, directrice adjointe, Relations de travail  </w:t>
                  </w:r>
                </w:p>
                <w:p w14:paraId="22A7F35B" w14:textId="328BA3CC" w:rsidR="00190008" w:rsidRPr="00702721" w:rsidRDefault="00190008" w:rsidP="00476744">
                  <w:pPr>
                    <w:pStyle w:val="NormalWeb"/>
                    <w:spacing w:before="0" w:after="0"/>
                    <w:ind w:left="142" w:right="13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>Melanie</w:t>
                  </w:r>
                  <w:proofErr w:type="spellEnd"/>
                  <w:r w:rsidRPr="00702721">
                    <w:rPr>
                      <w:rFonts w:ascii="Arial" w:hAnsi="Arial"/>
                      <w:sz w:val="20"/>
                      <w:szCs w:val="20"/>
                    </w:rPr>
                    <w:t xml:space="preserve"> Perrier, conseillère, Relations de travail  </w:t>
                  </w:r>
                </w:p>
              </w:tc>
            </w:tr>
          </w:tbl>
          <w:p w14:paraId="618CB678" w14:textId="5C3C6C1B" w:rsidR="008B6D51" w:rsidRPr="00702721" w:rsidRDefault="008B6D51">
            <w:pPr>
              <w:pStyle w:val="NormalWeb"/>
              <w:spacing w:before="0" w:after="0"/>
              <w:ind w:left="142" w:right="13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41401" w14:textId="77777777" w:rsidR="00B90EC0" w:rsidRPr="00702721" w:rsidRDefault="00B90EC0"/>
    <w:sectPr w:rsidR="00B90EC0" w:rsidRPr="00702721" w:rsidSect="00F31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8F0F" w14:textId="77777777" w:rsidR="00E755EA" w:rsidRPr="00702721" w:rsidRDefault="00E755EA" w:rsidP="00F31814">
      <w:pPr>
        <w:spacing w:after="0" w:line="240" w:lineRule="auto"/>
      </w:pPr>
      <w:r w:rsidRPr="00702721">
        <w:separator/>
      </w:r>
    </w:p>
  </w:endnote>
  <w:endnote w:type="continuationSeparator" w:id="0">
    <w:p w14:paraId="2D80F5D0" w14:textId="77777777" w:rsidR="00E755EA" w:rsidRPr="00702721" w:rsidRDefault="00E755EA" w:rsidP="00F31814">
      <w:pPr>
        <w:spacing w:after="0" w:line="240" w:lineRule="auto"/>
      </w:pPr>
      <w:r w:rsidRPr="0070272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C660" w14:textId="77777777" w:rsidR="002923FE" w:rsidRDefault="00292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793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CFECE" w14:textId="77777777" w:rsidR="00AE42F3" w:rsidRPr="00702721" w:rsidRDefault="00AE42F3">
        <w:pPr>
          <w:pStyle w:val="Footer"/>
          <w:jc w:val="center"/>
        </w:pPr>
      </w:p>
      <w:p w14:paraId="23F94B6E" w14:textId="4FAE1C96" w:rsidR="00AE42F3" w:rsidRPr="00702721" w:rsidRDefault="00AE42F3">
        <w:pPr>
          <w:pStyle w:val="Footer"/>
          <w:jc w:val="center"/>
        </w:pPr>
        <w:r w:rsidRPr="00702721">
          <w:fldChar w:fldCharType="begin"/>
        </w:r>
        <w:r w:rsidRPr="00702721">
          <w:instrText xml:space="preserve"> PAGE   \* MERGEFORMAT </w:instrText>
        </w:r>
        <w:r w:rsidRPr="00702721">
          <w:fldChar w:fldCharType="separate"/>
        </w:r>
        <w:r w:rsidR="00AB2448">
          <w:rPr>
            <w:noProof/>
          </w:rPr>
          <w:t>5</w:t>
        </w:r>
        <w:r w:rsidRPr="00702721">
          <w:fldChar w:fldCharType="end"/>
        </w:r>
      </w:p>
    </w:sdtContent>
  </w:sdt>
  <w:p w14:paraId="4F8E2388" w14:textId="77777777" w:rsidR="00AE42F3" w:rsidRPr="00702721" w:rsidRDefault="00AE42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CBCB" w14:textId="77777777" w:rsidR="002923FE" w:rsidRDefault="00292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CDD86" w14:textId="77777777" w:rsidR="00E755EA" w:rsidRPr="00702721" w:rsidRDefault="00E755EA" w:rsidP="00F31814">
      <w:pPr>
        <w:spacing w:after="0" w:line="240" w:lineRule="auto"/>
      </w:pPr>
      <w:r w:rsidRPr="00702721">
        <w:separator/>
      </w:r>
    </w:p>
  </w:footnote>
  <w:footnote w:type="continuationSeparator" w:id="0">
    <w:p w14:paraId="2F5E0175" w14:textId="77777777" w:rsidR="00E755EA" w:rsidRPr="00702721" w:rsidRDefault="00E755EA" w:rsidP="00F31814">
      <w:pPr>
        <w:spacing w:after="0" w:line="240" w:lineRule="auto"/>
      </w:pPr>
      <w:r w:rsidRPr="0070272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8B0F" w14:textId="77777777" w:rsidR="002923FE" w:rsidRDefault="00292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513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E6142F" w14:textId="4A9904CE" w:rsidR="00F508BD" w:rsidRPr="00702721" w:rsidRDefault="00F508BD">
        <w:pPr>
          <w:pStyle w:val="Header"/>
          <w:jc w:val="center"/>
        </w:pPr>
        <w:r w:rsidRPr="00702721">
          <w:t xml:space="preserve">- </w:t>
        </w:r>
        <w:r w:rsidRPr="00702721">
          <w:fldChar w:fldCharType="begin"/>
        </w:r>
        <w:r w:rsidRPr="00702721">
          <w:instrText xml:space="preserve"> PAGE   \* MERGEFORMAT </w:instrText>
        </w:r>
        <w:r w:rsidRPr="00702721">
          <w:fldChar w:fldCharType="separate"/>
        </w:r>
        <w:r w:rsidR="00AB2448">
          <w:rPr>
            <w:noProof/>
          </w:rPr>
          <w:t>5</w:t>
        </w:r>
        <w:r w:rsidRPr="00702721">
          <w:fldChar w:fldCharType="end"/>
        </w:r>
        <w:r w:rsidRPr="00702721">
          <w:t xml:space="preserve"> -</w:t>
        </w:r>
      </w:p>
    </w:sdtContent>
  </w:sdt>
  <w:p w14:paraId="2A48180A" w14:textId="77777777" w:rsidR="00F508BD" w:rsidRPr="00702721" w:rsidRDefault="00F508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851871"/>
      <w:docPartObj>
        <w:docPartGallery w:val="Watermarks"/>
        <w:docPartUnique/>
      </w:docPartObj>
    </w:sdtPr>
    <w:sdtEndPr/>
    <w:sdtContent>
      <w:p w14:paraId="0D7DC882" w14:textId="15C91CEB" w:rsidR="00F508BD" w:rsidRPr="00702721" w:rsidRDefault="00AB2448">
        <w:pPr>
          <w:pStyle w:val="Header"/>
        </w:pPr>
        <w:r>
          <w:pict w14:anchorId="041DF7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4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ÉBAUCH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F1D"/>
    <w:multiLevelType w:val="hybridMultilevel"/>
    <w:tmpl w:val="90AEE33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0437D3"/>
    <w:multiLevelType w:val="hybridMultilevel"/>
    <w:tmpl w:val="C808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7B5C"/>
    <w:multiLevelType w:val="hybridMultilevel"/>
    <w:tmpl w:val="7722B4C8"/>
    <w:lvl w:ilvl="0" w:tplc="D79400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90C57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2C4A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04B7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42C8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0EB9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04E69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4C1A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E876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3B6536B"/>
    <w:multiLevelType w:val="hybridMultilevel"/>
    <w:tmpl w:val="E2B8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454F"/>
    <w:multiLevelType w:val="multilevel"/>
    <w:tmpl w:val="45007C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18006F93"/>
    <w:multiLevelType w:val="hybridMultilevel"/>
    <w:tmpl w:val="6C56BD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099"/>
    <w:multiLevelType w:val="multilevel"/>
    <w:tmpl w:val="D256D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26FC5890"/>
    <w:multiLevelType w:val="hybridMultilevel"/>
    <w:tmpl w:val="526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3B37"/>
    <w:multiLevelType w:val="hybridMultilevel"/>
    <w:tmpl w:val="301C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97AC0"/>
    <w:multiLevelType w:val="hybridMultilevel"/>
    <w:tmpl w:val="EF1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F57CD"/>
    <w:multiLevelType w:val="hybridMultilevel"/>
    <w:tmpl w:val="5A6400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561C81"/>
    <w:multiLevelType w:val="hybridMultilevel"/>
    <w:tmpl w:val="8880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6CB0"/>
    <w:multiLevelType w:val="hybridMultilevel"/>
    <w:tmpl w:val="B80E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5765"/>
    <w:multiLevelType w:val="hybridMultilevel"/>
    <w:tmpl w:val="2F80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0C97"/>
    <w:multiLevelType w:val="hybridMultilevel"/>
    <w:tmpl w:val="563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B4A52"/>
    <w:multiLevelType w:val="hybridMultilevel"/>
    <w:tmpl w:val="012AE6A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8AE06C0"/>
    <w:multiLevelType w:val="hybridMultilevel"/>
    <w:tmpl w:val="114A8E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C6801D1"/>
    <w:multiLevelType w:val="hybridMultilevel"/>
    <w:tmpl w:val="CD2EE96E"/>
    <w:lvl w:ilvl="0" w:tplc="DC740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D3B6D"/>
    <w:multiLevelType w:val="hybridMultilevel"/>
    <w:tmpl w:val="14AEDA8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F524C70"/>
    <w:multiLevelType w:val="hybridMultilevel"/>
    <w:tmpl w:val="629A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D5161"/>
    <w:multiLevelType w:val="hybridMultilevel"/>
    <w:tmpl w:val="9DB6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96C41"/>
    <w:multiLevelType w:val="multilevel"/>
    <w:tmpl w:val="ACA6E066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2" w15:restartNumberingAfterBreak="0">
    <w:nsid w:val="5D4033B6"/>
    <w:multiLevelType w:val="hybridMultilevel"/>
    <w:tmpl w:val="096C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80D94"/>
    <w:multiLevelType w:val="hybridMultilevel"/>
    <w:tmpl w:val="5424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35D55"/>
    <w:multiLevelType w:val="hybridMultilevel"/>
    <w:tmpl w:val="4582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91168"/>
    <w:multiLevelType w:val="hybridMultilevel"/>
    <w:tmpl w:val="D878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5793C"/>
    <w:multiLevelType w:val="hybridMultilevel"/>
    <w:tmpl w:val="7BA84D1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62546BE"/>
    <w:multiLevelType w:val="hybridMultilevel"/>
    <w:tmpl w:val="13BED51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A3213A6"/>
    <w:multiLevelType w:val="hybridMultilevel"/>
    <w:tmpl w:val="D5104728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0"/>
  </w:num>
  <w:num w:numId="5">
    <w:abstractNumId w:val="16"/>
  </w:num>
  <w:num w:numId="6">
    <w:abstractNumId w:val="15"/>
  </w:num>
  <w:num w:numId="7">
    <w:abstractNumId w:val="1"/>
  </w:num>
  <w:num w:numId="8">
    <w:abstractNumId w:val="26"/>
  </w:num>
  <w:num w:numId="9">
    <w:abstractNumId w:val="7"/>
  </w:num>
  <w:num w:numId="10">
    <w:abstractNumId w:val="8"/>
  </w:num>
  <w:num w:numId="11">
    <w:abstractNumId w:val="27"/>
  </w:num>
  <w:num w:numId="12">
    <w:abstractNumId w:val="14"/>
  </w:num>
  <w:num w:numId="13">
    <w:abstractNumId w:val="2"/>
  </w:num>
  <w:num w:numId="14">
    <w:abstractNumId w:val="5"/>
  </w:num>
  <w:num w:numId="15">
    <w:abstractNumId w:val="17"/>
  </w:num>
  <w:num w:numId="16">
    <w:abstractNumId w:val="20"/>
  </w:num>
  <w:num w:numId="17">
    <w:abstractNumId w:val="10"/>
  </w:num>
  <w:num w:numId="18">
    <w:abstractNumId w:val="28"/>
  </w:num>
  <w:num w:numId="19">
    <w:abstractNumId w:val="18"/>
  </w:num>
  <w:num w:numId="20">
    <w:abstractNumId w:val="24"/>
  </w:num>
  <w:num w:numId="21">
    <w:abstractNumId w:val="19"/>
  </w:num>
  <w:num w:numId="22">
    <w:abstractNumId w:val="25"/>
  </w:num>
  <w:num w:numId="23">
    <w:abstractNumId w:val="23"/>
  </w:num>
  <w:num w:numId="24">
    <w:abstractNumId w:val="3"/>
  </w:num>
  <w:num w:numId="25">
    <w:abstractNumId w:val="13"/>
  </w:num>
  <w:num w:numId="26">
    <w:abstractNumId w:val="9"/>
  </w:num>
  <w:num w:numId="27">
    <w:abstractNumId w:val="11"/>
  </w:num>
  <w:num w:numId="28">
    <w:abstractNumId w:val="12"/>
  </w:num>
  <w:num w:numId="29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1"/>
    <w:rsid w:val="00001FD5"/>
    <w:rsid w:val="00006B14"/>
    <w:rsid w:val="000150FC"/>
    <w:rsid w:val="0001631D"/>
    <w:rsid w:val="00017060"/>
    <w:rsid w:val="00021B32"/>
    <w:rsid w:val="000355B3"/>
    <w:rsid w:val="00036F58"/>
    <w:rsid w:val="00037EC6"/>
    <w:rsid w:val="0005428E"/>
    <w:rsid w:val="000619D9"/>
    <w:rsid w:val="00063522"/>
    <w:rsid w:val="000659A2"/>
    <w:rsid w:val="00067EF9"/>
    <w:rsid w:val="00070153"/>
    <w:rsid w:val="00071989"/>
    <w:rsid w:val="00073A93"/>
    <w:rsid w:val="0007727F"/>
    <w:rsid w:val="00082F7A"/>
    <w:rsid w:val="00086393"/>
    <w:rsid w:val="000A09A9"/>
    <w:rsid w:val="000A7348"/>
    <w:rsid w:val="000B3062"/>
    <w:rsid w:val="000B3547"/>
    <w:rsid w:val="000B420B"/>
    <w:rsid w:val="000B59AE"/>
    <w:rsid w:val="000C02EE"/>
    <w:rsid w:val="000D0EA2"/>
    <w:rsid w:val="000D1482"/>
    <w:rsid w:val="000D213B"/>
    <w:rsid w:val="000D2877"/>
    <w:rsid w:val="000D51DF"/>
    <w:rsid w:val="000E0F5E"/>
    <w:rsid w:val="000E5D65"/>
    <w:rsid w:val="000F3071"/>
    <w:rsid w:val="000F38EA"/>
    <w:rsid w:val="000F41D4"/>
    <w:rsid w:val="000F6680"/>
    <w:rsid w:val="00104A61"/>
    <w:rsid w:val="00107E28"/>
    <w:rsid w:val="00110D98"/>
    <w:rsid w:val="001148D9"/>
    <w:rsid w:val="00121850"/>
    <w:rsid w:val="00121AD3"/>
    <w:rsid w:val="00124EB5"/>
    <w:rsid w:val="00125362"/>
    <w:rsid w:val="00132A76"/>
    <w:rsid w:val="00135FCB"/>
    <w:rsid w:val="001367FC"/>
    <w:rsid w:val="00140969"/>
    <w:rsid w:val="001440B2"/>
    <w:rsid w:val="0015087F"/>
    <w:rsid w:val="00152B14"/>
    <w:rsid w:val="00154612"/>
    <w:rsid w:val="001676CB"/>
    <w:rsid w:val="00170202"/>
    <w:rsid w:val="0018246A"/>
    <w:rsid w:val="00186DD4"/>
    <w:rsid w:val="00190008"/>
    <w:rsid w:val="00194DCA"/>
    <w:rsid w:val="00195C13"/>
    <w:rsid w:val="0019788E"/>
    <w:rsid w:val="001A084D"/>
    <w:rsid w:val="001A1CF1"/>
    <w:rsid w:val="001A22D3"/>
    <w:rsid w:val="001A37E1"/>
    <w:rsid w:val="001A66B9"/>
    <w:rsid w:val="001A7447"/>
    <w:rsid w:val="001B09B7"/>
    <w:rsid w:val="001B6B5B"/>
    <w:rsid w:val="001C0D68"/>
    <w:rsid w:val="001C2044"/>
    <w:rsid w:val="001C2608"/>
    <w:rsid w:val="001C6287"/>
    <w:rsid w:val="001D0082"/>
    <w:rsid w:val="001D342B"/>
    <w:rsid w:val="001D3F2F"/>
    <w:rsid w:val="001D75CA"/>
    <w:rsid w:val="001D7F5D"/>
    <w:rsid w:val="001E0DF9"/>
    <w:rsid w:val="001E7102"/>
    <w:rsid w:val="001E7B6D"/>
    <w:rsid w:val="001F06F8"/>
    <w:rsid w:val="001F1F4F"/>
    <w:rsid w:val="001F46AF"/>
    <w:rsid w:val="001F6979"/>
    <w:rsid w:val="00202D42"/>
    <w:rsid w:val="00206311"/>
    <w:rsid w:val="002143E3"/>
    <w:rsid w:val="002166F4"/>
    <w:rsid w:val="00222348"/>
    <w:rsid w:val="002309C9"/>
    <w:rsid w:val="002355DB"/>
    <w:rsid w:val="002422A6"/>
    <w:rsid w:val="00242701"/>
    <w:rsid w:val="00261631"/>
    <w:rsid w:val="0026247B"/>
    <w:rsid w:val="00262841"/>
    <w:rsid w:val="00264863"/>
    <w:rsid w:val="00272CDE"/>
    <w:rsid w:val="00274BA2"/>
    <w:rsid w:val="00287486"/>
    <w:rsid w:val="00291D63"/>
    <w:rsid w:val="002923FE"/>
    <w:rsid w:val="00293339"/>
    <w:rsid w:val="00293A57"/>
    <w:rsid w:val="002A0A4E"/>
    <w:rsid w:val="002A11C3"/>
    <w:rsid w:val="002A6E11"/>
    <w:rsid w:val="002A6E7F"/>
    <w:rsid w:val="002B085C"/>
    <w:rsid w:val="002B5BBB"/>
    <w:rsid w:val="002B66CD"/>
    <w:rsid w:val="002C6133"/>
    <w:rsid w:val="002C73A5"/>
    <w:rsid w:val="002D0CEE"/>
    <w:rsid w:val="002D6CA4"/>
    <w:rsid w:val="002E0661"/>
    <w:rsid w:val="002E382A"/>
    <w:rsid w:val="002E5D8C"/>
    <w:rsid w:val="002E7577"/>
    <w:rsid w:val="002F2081"/>
    <w:rsid w:val="002F2D90"/>
    <w:rsid w:val="002F52FA"/>
    <w:rsid w:val="003009FB"/>
    <w:rsid w:val="0030284C"/>
    <w:rsid w:val="003050C0"/>
    <w:rsid w:val="00321EBE"/>
    <w:rsid w:val="0033017A"/>
    <w:rsid w:val="003360B9"/>
    <w:rsid w:val="00341270"/>
    <w:rsid w:val="00342834"/>
    <w:rsid w:val="0034380E"/>
    <w:rsid w:val="00346693"/>
    <w:rsid w:val="00346FA5"/>
    <w:rsid w:val="00353A28"/>
    <w:rsid w:val="00354048"/>
    <w:rsid w:val="00354E22"/>
    <w:rsid w:val="00356809"/>
    <w:rsid w:val="003605E4"/>
    <w:rsid w:val="003638E4"/>
    <w:rsid w:val="0037057B"/>
    <w:rsid w:val="00375B0E"/>
    <w:rsid w:val="00376433"/>
    <w:rsid w:val="0038162B"/>
    <w:rsid w:val="003817CA"/>
    <w:rsid w:val="0038207C"/>
    <w:rsid w:val="00395092"/>
    <w:rsid w:val="003971E5"/>
    <w:rsid w:val="00397507"/>
    <w:rsid w:val="003A0704"/>
    <w:rsid w:val="003A18DD"/>
    <w:rsid w:val="003A72CF"/>
    <w:rsid w:val="003A7862"/>
    <w:rsid w:val="003B2B28"/>
    <w:rsid w:val="003B2F9F"/>
    <w:rsid w:val="003B4E95"/>
    <w:rsid w:val="003C09F4"/>
    <w:rsid w:val="003D04EB"/>
    <w:rsid w:val="003D05C0"/>
    <w:rsid w:val="003D4EA5"/>
    <w:rsid w:val="003F26BF"/>
    <w:rsid w:val="004022CB"/>
    <w:rsid w:val="00403C39"/>
    <w:rsid w:val="004056A8"/>
    <w:rsid w:val="00415ECB"/>
    <w:rsid w:val="00416145"/>
    <w:rsid w:val="00416E52"/>
    <w:rsid w:val="00420158"/>
    <w:rsid w:val="0042049B"/>
    <w:rsid w:val="004219FE"/>
    <w:rsid w:val="00444D82"/>
    <w:rsid w:val="0044527D"/>
    <w:rsid w:val="00450D3F"/>
    <w:rsid w:val="004527AC"/>
    <w:rsid w:val="00455FA7"/>
    <w:rsid w:val="0046011C"/>
    <w:rsid w:val="0046668B"/>
    <w:rsid w:val="00466690"/>
    <w:rsid w:val="0046680D"/>
    <w:rsid w:val="00466915"/>
    <w:rsid w:val="00475000"/>
    <w:rsid w:val="00476744"/>
    <w:rsid w:val="00482979"/>
    <w:rsid w:val="00490293"/>
    <w:rsid w:val="004A133B"/>
    <w:rsid w:val="004A459D"/>
    <w:rsid w:val="004A48FF"/>
    <w:rsid w:val="004A4901"/>
    <w:rsid w:val="004A4F16"/>
    <w:rsid w:val="004B0433"/>
    <w:rsid w:val="004B4A5E"/>
    <w:rsid w:val="004C481C"/>
    <w:rsid w:val="004D45AD"/>
    <w:rsid w:val="004E4665"/>
    <w:rsid w:val="004E6838"/>
    <w:rsid w:val="004F7B15"/>
    <w:rsid w:val="00504FCC"/>
    <w:rsid w:val="00506219"/>
    <w:rsid w:val="005067C0"/>
    <w:rsid w:val="00507AA9"/>
    <w:rsid w:val="00510944"/>
    <w:rsid w:val="00517CA0"/>
    <w:rsid w:val="005204C5"/>
    <w:rsid w:val="0052262B"/>
    <w:rsid w:val="00523DB7"/>
    <w:rsid w:val="0052632C"/>
    <w:rsid w:val="00530DAC"/>
    <w:rsid w:val="00532E46"/>
    <w:rsid w:val="00534E71"/>
    <w:rsid w:val="005356E6"/>
    <w:rsid w:val="00536641"/>
    <w:rsid w:val="0054351D"/>
    <w:rsid w:val="00544397"/>
    <w:rsid w:val="00554F0E"/>
    <w:rsid w:val="00555B85"/>
    <w:rsid w:val="005609F9"/>
    <w:rsid w:val="00560BC8"/>
    <w:rsid w:val="005708A4"/>
    <w:rsid w:val="00571533"/>
    <w:rsid w:val="005721A4"/>
    <w:rsid w:val="0057380A"/>
    <w:rsid w:val="00576079"/>
    <w:rsid w:val="00585B3F"/>
    <w:rsid w:val="00585FCC"/>
    <w:rsid w:val="00593674"/>
    <w:rsid w:val="005A2A31"/>
    <w:rsid w:val="005A78D1"/>
    <w:rsid w:val="005B5A24"/>
    <w:rsid w:val="005C09F4"/>
    <w:rsid w:val="005D276F"/>
    <w:rsid w:val="005D424D"/>
    <w:rsid w:val="005D5AAF"/>
    <w:rsid w:val="005D6565"/>
    <w:rsid w:val="005D7448"/>
    <w:rsid w:val="005E2299"/>
    <w:rsid w:val="005E344C"/>
    <w:rsid w:val="005E4FFD"/>
    <w:rsid w:val="005E5255"/>
    <w:rsid w:val="005F0BF0"/>
    <w:rsid w:val="005F5164"/>
    <w:rsid w:val="005F70FC"/>
    <w:rsid w:val="005F7A73"/>
    <w:rsid w:val="006051E1"/>
    <w:rsid w:val="00610D2F"/>
    <w:rsid w:val="00612E96"/>
    <w:rsid w:val="00614389"/>
    <w:rsid w:val="00620829"/>
    <w:rsid w:val="00626BCB"/>
    <w:rsid w:val="00636C84"/>
    <w:rsid w:val="006374AB"/>
    <w:rsid w:val="00644E4A"/>
    <w:rsid w:val="00646BE0"/>
    <w:rsid w:val="00647EB9"/>
    <w:rsid w:val="00651796"/>
    <w:rsid w:val="00656616"/>
    <w:rsid w:val="00662C1A"/>
    <w:rsid w:val="006678A6"/>
    <w:rsid w:val="006702D3"/>
    <w:rsid w:val="00670CFF"/>
    <w:rsid w:val="00677B0C"/>
    <w:rsid w:val="00680237"/>
    <w:rsid w:val="00686292"/>
    <w:rsid w:val="00686350"/>
    <w:rsid w:val="00686951"/>
    <w:rsid w:val="00691142"/>
    <w:rsid w:val="00691B71"/>
    <w:rsid w:val="006A160B"/>
    <w:rsid w:val="006C1FE1"/>
    <w:rsid w:val="006C34AC"/>
    <w:rsid w:val="006C46FD"/>
    <w:rsid w:val="006C4FFA"/>
    <w:rsid w:val="006D3A61"/>
    <w:rsid w:val="006D44A6"/>
    <w:rsid w:val="006D4777"/>
    <w:rsid w:val="006D49F4"/>
    <w:rsid w:val="006E1451"/>
    <w:rsid w:val="006E6132"/>
    <w:rsid w:val="006F1FC5"/>
    <w:rsid w:val="00702721"/>
    <w:rsid w:val="00704C4C"/>
    <w:rsid w:val="00706356"/>
    <w:rsid w:val="00710E79"/>
    <w:rsid w:val="0071592D"/>
    <w:rsid w:val="007167F9"/>
    <w:rsid w:val="0071707C"/>
    <w:rsid w:val="00717C3B"/>
    <w:rsid w:val="00723840"/>
    <w:rsid w:val="00742E77"/>
    <w:rsid w:val="00746607"/>
    <w:rsid w:val="0075602C"/>
    <w:rsid w:val="00773F58"/>
    <w:rsid w:val="0078022F"/>
    <w:rsid w:val="007A0EEB"/>
    <w:rsid w:val="007A3E24"/>
    <w:rsid w:val="007A6BC6"/>
    <w:rsid w:val="007B43FF"/>
    <w:rsid w:val="007B4A20"/>
    <w:rsid w:val="007B5774"/>
    <w:rsid w:val="007B6636"/>
    <w:rsid w:val="007D0762"/>
    <w:rsid w:val="007D1721"/>
    <w:rsid w:val="007D4C39"/>
    <w:rsid w:val="007D5594"/>
    <w:rsid w:val="007D605C"/>
    <w:rsid w:val="007D68BD"/>
    <w:rsid w:val="007E0339"/>
    <w:rsid w:val="007E16D8"/>
    <w:rsid w:val="007E3965"/>
    <w:rsid w:val="007E6536"/>
    <w:rsid w:val="007F3FE3"/>
    <w:rsid w:val="007F45CA"/>
    <w:rsid w:val="007F49A6"/>
    <w:rsid w:val="007F5B5F"/>
    <w:rsid w:val="007F7F3F"/>
    <w:rsid w:val="00800E68"/>
    <w:rsid w:val="00800F59"/>
    <w:rsid w:val="00803938"/>
    <w:rsid w:val="00805C36"/>
    <w:rsid w:val="0080605F"/>
    <w:rsid w:val="00812827"/>
    <w:rsid w:val="008156C1"/>
    <w:rsid w:val="00816613"/>
    <w:rsid w:val="00816DAC"/>
    <w:rsid w:val="00823854"/>
    <w:rsid w:val="0082541B"/>
    <w:rsid w:val="008302FC"/>
    <w:rsid w:val="0083061B"/>
    <w:rsid w:val="008308FE"/>
    <w:rsid w:val="00834D94"/>
    <w:rsid w:val="008364DB"/>
    <w:rsid w:val="00837815"/>
    <w:rsid w:val="008427C9"/>
    <w:rsid w:val="00845A0B"/>
    <w:rsid w:val="00846098"/>
    <w:rsid w:val="0085097A"/>
    <w:rsid w:val="00857F43"/>
    <w:rsid w:val="00861394"/>
    <w:rsid w:val="00865973"/>
    <w:rsid w:val="00867F21"/>
    <w:rsid w:val="008703BB"/>
    <w:rsid w:val="00871BCF"/>
    <w:rsid w:val="00875648"/>
    <w:rsid w:val="00884868"/>
    <w:rsid w:val="008900D0"/>
    <w:rsid w:val="00890EBE"/>
    <w:rsid w:val="008A055A"/>
    <w:rsid w:val="008A4548"/>
    <w:rsid w:val="008B3580"/>
    <w:rsid w:val="008B4C22"/>
    <w:rsid w:val="008B4F9A"/>
    <w:rsid w:val="008B6D51"/>
    <w:rsid w:val="008C191B"/>
    <w:rsid w:val="008D7A91"/>
    <w:rsid w:val="008D7FDD"/>
    <w:rsid w:val="008E1CBB"/>
    <w:rsid w:val="008E5403"/>
    <w:rsid w:val="008E5F72"/>
    <w:rsid w:val="008F3111"/>
    <w:rsid w:val="008F5965"/>
    <w:rsid w:val="008F6942"/>
    <w:rsid w:val="008F6ABD"/>
    <w:rsid w:val="00905346"/>
    <w:rsid w:val="009075F3"/>
    <w:rsid w:val="0091218D"/>
    <w:rsid w:val="00914D65"/>
    <w:rsid w:val="009200E0"/>
    <w:rsid w:val="00927427"/>
    <w:rsid w:val="00927515"/>
    <w:rsid w:val="009278F4"/>
    <w:rsid w:val="00927D81"/>
    <w:rsid w:val="00930468"/>
    <w:rsid w:val="00935EF6"/>
    <w:rsid w:val="00937083"/>
    <w:rsid w:val="00940C5F"/>
    <w:rsid w:val="009414C0"/>
    <w:rsid w:val="0095145A"/>
    <w:rsid w:val="00970A4D"/>
    <w:rsid w:val="009775B3"/>
    <w:rsid w:val="00987D24"/>
    <w:rsid w:val="00990B2C"/>
    <w:rsid w:val="009A1928"/>
    <w:rsid w:val="009A412D"/>
    <w:rsid w:val="009B2338"/>
    <w:rsid w:val="009B2FE8"/>
    <w:rsid w:val="009B6078"/>
    <w:rsid w:val="009B6A08"/>
    <w:rsid w:val="009B6D98"/>
    <w:rsid w:val="009C36D6"/>
    <w:rsid w:val="009E2300"/>
    <w:rsid w:val="009E255A"/>
    <w:rsid w:val="009E2F8B"/>
    <w:rsid w:val="009E4A75"/>
    <w:rsid w:val="009E52D3"/>
    <w:rsid w:val="00A2202F"/>
    <w:rsid w:val="00A256B4"/>
    <w:rsid w:val="00A2634E"/>
    <w:rsid w:val="00A31C48"/>
    <w:rsid w:val="00A37D5E"/>
    <w:rsid w:val="00A42D0F"/>
    <w:rsid w:val="00A44620"/>
    <w:rsid w:val="00A4591B"/>
    <w:rsid w:val="00A461EC"/>
    <w:rsid w:val="00A506F7"/>
    <w:rsid w:val="00A53189"/>
    <w:rsid w:val="00A53CEE"/>
    <w:rsid w:val="00A600B3"/>
    <w:rsid w:val="00A6064F"/>
    <w:rsid w:val="00A6173B"/>
    <w:rsid w:val="00A632C3"/>
    <w:rsid w:val="00A67241"/>
    <w:rsid w:val="00A71771"/>
    <w:rsid w:val="00A82C00"/>
    <w:rsid w:val="00A90112"/>
    <w:rsid w:val="00A92174"/>
    <w:rsid w:val="00AA3D7B"/>
    <w:rsid w:val="00AA697A"/>
    <w:rsid w:val="00AA7E59"/>
    <w:rsid w:val="00AB2448"/>
    <w:rsid w:val="00AB5702"/>
    <w:rsid w:val="00AB74FC"/>
    <w:rsid w:val="00AC1678"/>
    <w:rsid w:val="00AC3F64"/>
    <w:rsid w:val="00AD09E8"/>
    <w:rsid w:val="00AD2615"/>
    <w:rsid w:val="00AD7FBD"/>
    <w:rsid w:val="00AE3FB4"/>
    <w:rsid w:val="00AE42F3"/>
    <w:rsid w:val="00AE44E3"/>
    <w:rsid w:val="00AE58D6"/>
    <w:rsid w:val="00AE7BA4"/>
    <w:rsid w:val="00AF48AD"/>
    <w:rsid w:val="00AF48FC"/>
    <w:rsid w:val="00AF588B"/>
    <w:rsid w:val="00AF5B09"/>
    <w:rsid w:val="00AF5CFB"/>
    <w:rsid w:val="00AF5F16"/>
    <w:rsid w:val="00B00955"/>
    <w:rsid w:val="00B00EAC"/>
    <w:rsid w:val="00B043CA"/>
    <w:rsid w:val="00B05BF3"/>
    <w:rsid w:val="00B0702B"/>
    <w:rsid w:val="00B10B4A"/>
    <w:rsid w:val="00B31E57"/>
    <w:rsid w:val="00B41103"/>
    <w:rsid w:val="00B6513A"/>
    <w:rsid w:val="00B71CEB"/>
    <w:rsid w:val="00B90EC0"/>
    <w:rsid w:val="00BB11E9"/>
    <w:rsid w:val="00BB15FB"/>
    <w:rsid w:val="00BB67FD"/>
    <w:rsid w:val="00BC572A"/>
    <w:rsid w:val="00BD4421"/>
    <w:rsid w:val="00BD714F"/>
    <w:rsid w:val="00BE1274"/>
    <w:rsid w:val="00BF0571"/>
    <w:rsid w:val="00C03847"/>
    <w:rsid w:val="00C0399B"/>
    <w:rsid w:val="00C05955"/>
    <w:rsid w:val="00C10ABC"/>
    <w:rsid w:val="00C11FD1"/>
    <w:rsid w:val="00C12E21"/>
    <w:rsid w:val="00C164EE"/>
    <w:rsid w:val="00C16ED3"/>
    <w:rsid w:val="00C2036A"/>
    <w:rsid w:val="00C26CD4"/>
    <w:rsid w:val="00C31C4E"/>
    <w:rsid w:val="00C3367C"/>
    <w:rsid w:val="00C34860"/>
    <w:rsid w:val="00C43FB1"/>
    <w:rsid w:val="00C53687"/>
    <w:rsid w:val="00C5561E"/>
    <w:rsid w:val="00C5758A"/>
    <w:rsid w:val="00C61FC9"/>
    <w:rsid w:val="00C626E8"/>
    <w:rsid w:val="00C64F5A"/>
    <w:rsid w:val="00C6518C"/>
    <w:rsid w:val="00C72AAF"/>
    <w:rsid w:val="00C7721A"/>
    <w:rsid w:val="00C80C6F"/>
    <w:rsid w:val="00C83871"/>
    <w:rsid w:val="00C85917"/>
    <w:rsid w:val="00C96FA5"/>
    <w:rsid w:val="00CA11F6"/>
    <w:rsid w:val="00CA1234"/>
    <w:rsid w:val="00CA7587"/>
    <w:rsid w:val="00CB439D"/>
    <w:rsid w:val="00CC080B"/>
    <w:rsid w:val="00CC4E27"/>
    <w:rsid w:val="00CD06D9"/>
    <w:rsid w:val="00CD1B3F"/>
    <w:rsid w:val="00CD2241"/>
    <w:rsid w:val="00CD6A7E"/>
    <w:rsid w:val="00CF2727"/>
    <w:rsid w:val="00CF454D"/>
    <w:rsid w:val="00D03E44"/>
    <w:rsid w:val="00D11AA4"/>
    <w:rsid w:val="00D11E04"/>
    <w:rsid w:val="00D129B6"/>
    <w:rsid w:val="00D140B0"/>
    <w:rsid w:val="00D15B7B"/>
    <w:rsid w:val="00D22289"/>
    <w:rsid w:val="00D22C67"/>
    <w:rsid w:val="00D254D4"/>
    <w:rsid w:val="00D25681"/>
    <w:rsid w:val="00D368BF"/>
    <w:rsid w:val="00D3772C"/>
    <w:rsid w:val="00D44FD7"/>
    <w:rsid w:val="00D462EE"/>
    <w:rsid w:val="00D505F0"/>
    <w:rsid w:val="00D50B53"/>
    <w:rsid w:val="00D56E35"/>
    <w:rsid w:val="00D61A6A"/>
    <w:rsid w:val="00D62262"/>
    <w:rsid w:val="00D648D4"/>
    <w:rsid w:val="00D7275D"/>
    <w:rsid w:val="00D7420E"/>
    <w:rsid w:val="00D80CD2"/>
    <w:rsid w:val="00D80EA0"/>
    <w:rsid w:val="00D82CCC"/>
    <w:rsid w:val="00D96F64"/>
    <w:rsid w:val="00DB2D01"/>
    <w:rsid w:val="00DB31A5"/>
    <w:rsid w:val="00DB5FB8"/>
    <w:rsid w:val="00DB6B7B"/>
    <w:rsid w:val="00DB702E"/>
    <w:rsid w:val="00DB7220"/>
    <w:rsid w:val="00DC0245"/>
    <w:rsid w:val="00DD2562"/>
    <w:rsid w:val="00DE2176"/>
    <w:rsid w:val="00DE4EA6"/>
    <w:rsid w:val="00DF4E21"/>
    <w:rsid w:val="00DF577F"/>
    <w:rsid w:val="00DF70B2"/>
    <w:rsid w:val="00DF7EFB"/>
    <w:rsid w:val="00E04342"/>
    <w:rsid w:val="00E12BCD"/>
    <w:rsid w:val="00E316A0"/>
    <w:rsid w:val="00E345AD"/>
    <w:rsid w:val="00E42F7B"/>
    <w:rsid w:val="00E45F4B"/>
    <w:rsid w:val="00E57020"/>
    <w:rsid w:val="00E63A1D"/>
    <w:rsid w:val="00E755EA"/>
    <w:rsid w:val="00E8072D"/>
    <w:rsid w:val="00E80F15"/>
    <w:rsid w:val="00E82F6C"/>
    <w:rsid w:val="00E8305D"/>
    <w:rsid w:val="00E87007"/>
    <w:rsid w:val="00E90E17"/>
    <w:rsid w:val="00E92B45"/>
    <w:rsid w:val="00E92E16"/>
    <w:rsid w:val="00E957DB"/>
    <w:rsid w:val="00E9751D"/>
    <w:rsid w:val="00EA0DE5"/>
    <w:rsid w:val="00EB0FA8"/>
    <w:rsid w:val="00EB333A"/>
    <w:rsid w:val="00EC375C"/>
    <w:rsid w:val="00EC76F3"/>
    <w:rsid w:val="00ED47B6"/>
    <w:rsid w:val="00ED58F0"/>
    <w:rsid w:val="00ED6D93"/>
    <w:rsid w:val="00ED7136"/>
    <w:rsid w:val="00ED7907"/>
    <w:rsid w:val="00EE0A5E"/>
    <w:rsid w:val="00EE1831"/>
    <w:rsid w:val="00EE1BA9"/>
    <w:rsid w:val="00EE42F2"/>
    <w:rsid w:val="00EF56D9"/>
    <w:rsid w:val="00EF68EF"/>
    <w:rsid w:val="00F022C2"/>
    <w:rsid w:val="00F02A08"/>
    <w:rsid w:val="00F067C8"/>
    <w:rsid w:val="00F06BAF"/>
    <w:rsid w:val="00F1295B"/>
    <w:rsid w:val="00F206DA"/>
    <w:rsid w:val="00F25FBC"/>
    <w:rsid w:val="00F31814"/>
    <w:rsid w:val="00F34D72"/>
    <w:rsid w:val="00F35CC2"/>
    <w:rsid w:val="00F43EF8"/>
    <w:rsid w:val="00F45E1E"/>
    <w:rsid w:val="00F508BD"/>
    <w:rsid w:val="00F51243"/>
    <w:rsid w:val="00F6089A"/>
    <w:rsid w:val="00F61AC8"/>
    <w:rsid w:val="00F61F99"/>
    <w:rsid w:val="00F65B9B"/>
    <w:rsid w:val="00F65E6E"/>
    <w:rsid w:val="00F7154A"/>
    <w:rsid w:val="00F73B44"/>
    <w:rsid w:val="00F747F0"/>
    <w:rsid w:val="00F82AAE"/>
    <w:rsid w:val="00F83906"/>
    <w:rsid w:val="00F84237"/>
    <w:rsid w:val="00F84BC1"/>
    <w:rsid w:val="00F85F7F"/>
    <w:rsid w:val="00F917E6"/>
    <w:rsid w:val="00F961E0"/>
    <w:rsid w:val="00FA09AB"/>
    <w:rsid w:val="00FA285F"/>
    <w:rsid w:val="00FB5115"/>
    <w:rsid w:val="00FB5BE3"/>
    <w:rsid w:val="00FC3406"/>
    <w:rsid w:val="00FD1DA5"/>
    <w:rsid w:val="00FD2197"/>
    <w:rsid w:val="00FD4D94"/>
    <w:rsid w:val="00FD5AA8"/>
    <w:rsid w:val="00FD6661"/>
    <w:rsid w:val="00FE1568"/>
    <w:rsid w:val="00FE5798"/>
    <w:rsid w:val="00FF6296"/>
    <w:rsid w:val="00FF6FC3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86FA741"/>
  <w15:docId w15:val="{F5B3CAD6-01E6-412F-A6CB-C58D67B0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51"/>
    <w:pPr>
      <w:spacing w:after="200" w:line="288" w:lineRule="auto"/>
    </w:pPr>
    <w:rPr>
      <w:rFonts w:eastAsiaTheme="minorEastAsia"/>
      <w:sz w:val="21"/>
      <w:szCs w:val="21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D5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D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D51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D51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B6D51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8B6D51"/>
    <w:pPr>
      <w:spacing w:before="100" w:after="100"/>
    </w:pPr>
  </w:style>
  <w:style w:type="paragraph" w:styleId="NoSpacing">
    <w:name w:val="No Spacing"/>
    <w:uiPriority w:val="1"/>
    <w:qFormat/>
    <w:rsid w:val="008B6D51"/>
    <w:pPr>
      <w:spacing w:after="0" w:line="240" w:lineRule="auto"/>
    </w:pPr>
    <w:rPr>
      <w:rFonts w:eastAsiaTheme="minorEastAsia"/>
      <w:sz w:val="21"/>
      <w:szCs w:val="21"/>
      <w:lang w:eastAsia="en-CA"/>
    </w:rPr>
  </w:style>
  <w:style w:type="paragraph" w:styleId="ListParagraph">
    <w:name w:val="List Paragraph"/>
    <w:basedOn w:val="Normal"/>
    <w:uiPriority w:val="34"/>
    <w:qFormat/>
    <w:rsid w:val="008B6D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6D5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4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D94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94"/>
    <w:rPr>
      <w:rFonts w:eastAsiaTheme="minorEastAsia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94"/>
    <w:rPr>
      <w:rFonts w:ascii="Segoe UI" w:eastAsiaTheme="minorEastAsia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3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14"/>
    <w:rPr>
      <w:rFonts w:eastAsiaTheme="minorEastAsia"/>
      <w:sz w:val="21"/>
      <w:szCs w:val="21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3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14"/>
    <w:rPr>
      <w:rFonts w:eastAsiaTheme="minorEastAsia"/>
      <w:sz w:val="21"/>
      <w:szCs w:val="21"/>
      <w:lang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6F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6FC3"/>
    <w:rPr>
      <w:rFonts w:eastAsiaTheme="minorEastAsia"/>
      <w:sz w:val="20"/>
      <w:szCs w:val="20"/>
      <w:lang w:eastAsia="en-CA"/>
    </w:rPr>
  </w:style>
  <w:style w:type="character" w:styleId="EndnoteReference">
    <w:name w:val="endnote reference"/>
    <w:basedOn w:val="DefaultParagraphFont"/>
    <w:uiPriority w:val="99"/>
    <w:semiHidden/>
    <w:unhideWhenUsed/>
    <w:rsid w:val="00FF6F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F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FC3"/>
    <w:rPr>
      <w:rFonts w:eastAsiaTheme="minorEastAsia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FF6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7ACB-E3CA-4F86-BFA7-278F5577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2425</Words>
  <Characters>13055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CIC</Company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Rosenov Stoychev.Samuil</dc:creator>
  <cp:lastModifiedBy>Perrier.Melanie</cp:lastModifiedBy>
  <cp:revision>6</cp:revision>
  <cp:lastPrinted>2019-05-01T20:33:00Z</cp:lastPrinted>
  <dcterms:created xsi:type="dcterms:W3CDTF">2019-05-23T18:29:00Z</dcterms:created>
  <dcterms:modified xsi:type="dcterms:W3CDTF">2019-07-02T19:15:00Z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5/22/2019 3:04:09 PM</vt:lpwstr>
  </property>
</Properties>
</file>