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1261" w14:textId="77777777" w:rsidR="0003364B" w:rsidRPr="0014188F" w:rsidRDefault="0003364B" w:rsidP="0003364B">
      <w:pPr>
        <w:pStyle w:val="Normal1"/>
        <w:jc w:val="center"/>
        <w:rPr>
          <w:rFonts w:ascii="Gill Sans" w:hAnsi="Gill Sans" w:cs="Gill Sans"/>
          <w:b/>
          <w:color w:val="262626" w:themeColor="text1" w:themeTint="D9"/>
          <w:sz w:val="24"/>
          <w:szCs w:val="24"/>
        </w:rPr>
      </w:pPr>
      <w:bookmarkStart w:id="0" w:name="_GoBack"/>
      <w:bookmarkEnd w:id="0"/>
      <w:r w:rsidRPr="0014188F">
        <w:rPr>
          <w:rFonts w:ascii="Gill Sans" w:hAnsi="Gill Sans" w:cs="Gill Sans"/>
          <w:b/>
          <w:color w:val="262626" w:themeColor="text1" w:themeTint="D9"/>
          <w:sz w:val="24"/>
          <w:szCs w:val="24"/>
        </w:rPr>
        <w:t xml:space="preserve">What do </w:t>
      </w:r>
      <w:r>
        <w:rPr>
          <w:rFonts w:ascii="Gill Sans" w:hAnsi="Gill Sans" w:cs="Gill Sans"/>
          <w:b/>
          <w:color w:val="262626" w:themeColor="text1" w:themeTint="D9"/>
          <w:sz w:val="24"/>
          <w:szCs w:val="24"/>
        </w:rPr>
        <w:t>your</w:t>
      </w:r>
      <w:r w:rsidRPr="0014188F">
        <w:rPr>
          <w:rFonts w:ascii="Gill Sans" w:hAnsi="Gill Sans" w:cs="Gill Sans"/>
          <w:b/>
          <w:color w:val="262626" w:themeColor="text1" w:themeTint="D9"/>
          <w:sz w:val="24"/>
          <w:szCs w:val="24"/>
        </w:rPr>
        <w:t xml:space="preserve"> answers mean?</w:t>
      </w:r>
    </w:p>
    <w:p w14:paraId="2424EEA7" w14:textId="77777777" w:rsidR="0003364B" w:rsidRDefault="0003364B" w:rsidP="0003364B">
      <w:pPr>
        <w:pStyle w:val="Normal1"/>
        <w:rPr>
          <w:rFonts w:ascii="Gill Sans" w:hAnsi="Gill Sans" w:cs="Gill Sans"/>
          <w:color w:val="262626" w:themeColor="text1" w:themeTint="D9"/>
          <w:sz w:val="24"/>
          <w:szCs w:val="24"/>
        </w:rPr>
      </w:pPr>
    </w:p>
    <w:p w14:paraId="37E44739" w14:textId="77777777" w:rsidR="0003364B" w:rsidRDefault="0003364B" w:rsidP="0003364B">
      <w:pPr>
        <w:pStyle w:val="Normal1"/>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The left side of each continuum below represents characteristics of white supremacy culture and the right side of the continuum represents characteristics of an anti-racist organization. Though we as individuals may not be overtly racist or believe in white supremacy, white supremacy has provided a basis for colonialism and oppression of black, indigenous, and people of color in the United States and North America. When unchecked, white supremacist ideology gets imbued into organizations’ policies, practices, procedures, programs, and culture. These characteristics are powerful because they are so difficult to identify within an organization. At the same time, they are insidious and damaging because they continue to reinforce and propagate structures that are not conducive to anti-racism work, regardless of our racial identities. </w:t>
      </w:r>
    </w:p>
    <w:p w14:paraId="4B8D2548" w14:textId="77777777" w:rsidR="0003364B" w:rsidRDefault="0003364B" w:rsidP="0003364B">
      <w:pPr>
        <w:pStyle w:val="Normal1"/>
        <w:rPr>
          <w:rFonts w:ascii="Gill Sans" w:hAnsi="Gill Sans" w:cs="Gill Sans"/>
          <w:color w:val="262626" w:themeColor="text1" w:themeTint="D9"/>
          <w:sz w:val="24"/>
          <w:szCs w:val="24"/>
        </w:rPr>
      </w:pPr>
    </w:p>
    <w:p w14:paraId="1E233795" w14:textId="77777777" w:rsidR="0003364B" w:rsidRDefault="0003364B" w:rsidP="0003364B">
      <w:pPr>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br w:type="page"/>
      </w:r>
    </w:p>
    <w:p w14:paraId="48181603" w14:textId="77777777" w:rsidR="0003364B" w:rsidRPr="00083130" w:rsidRDefault="0003364B" w:rsidP="0003364B">
      <w:pPr>
        <w:pStyle w:val="Normal1"/>
        <w:rPr>
          <w:rFonts w:ascii="Gill Sans" w:hAnsi="Gill Sans" w:cs="Gill Sans"/>
          <w:color w:val="262626" w:themeColor="text1" w:themeTint="D9"/>
          <w:sz w:val="24"/>
          <w:szCs w:val="24"/>
        </w:rPr>
      </w:pPr>
    </w:p>
    <w:tbl>
      <w:tblPr>
        <w:tblW w:w="127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00" w:firstRow="0" w:lastRow="0" w:firstColumn="0" w:lastColumn="0" w:noHBand="1" w:noVBand="1"/>
      </w:tblPr>
      <w:tblGrid>
        <w:gridCol w:w="3970"/>
        <w:gridCol w:w="5040"/>
        <w:gridCol w:w="3690"/>
      </w:tblGrid>
      <w:tr w:rsidR="0003364B" w:rsidRPr="00083130" w14:paraId="0294B0D1" w14:textId="77777777" w:rsidTr="00E27619">
        <w:trPr>
          <w:tblHeader/>
        </w:trPr>
        <w:tc>
          <w:tcPr>
            <w:tcW w:w="3970" w:type="dxa"/>
            <w:shd w:val="clear" w:color="auto" w:fill="auto"/>
            <w:tcMar>
              <w:top w:w="100" w:type="dxa"/>
              <w:left w:w="100" w:type="dxa"/>
              <w:bottom w:w="100" w:type="dxa"/>
              <w:right w:w="100" w:type="dxa"/>
            </w:tcMar>
          </w:tcPr>
          <w:p w14:paraId="5F11447C"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White Supremacy Culture</w:t>
            </w:r>
          </w:p>
        </w:tc>
        <w:tc>
          <w:tcPr>
            <w:tcW w:w="5040" w:type="dxa"/>
          </w:tcPr>
          <w:p w14:paraId="347D2941" w14:textId="77777777" w:rsidR="0003364B" w:rsidRPr="006044C8" w:rsidRDefault="0003364B" w:rsidP="00E27619">
            <w:pPr>
              <w:pStyle w:val="Normal1"/>
              <w:spacing w:line="240" w:lineRule="auto"/>
              <w:rPr>
                <w:rFonts w:ascii="Gill Sans" w:hAnsi="Gill Sans" w:cs="Gill Sans"/>
                <w:color w:val="262626" w:themeColor="text1" w:themeTint="D9"/>
                <w:sz w:val="24"/>
                <w:szCs w:val="24"/>
              </w:rPr>
            </w:pPr>
            <w:r>
              <w:rPr>
                <w:rFonts w:ascii="Gill Sans" w:hAnsi="Gill Sans" w:cs="Gill Sans"/>
                <w:b/>
                <w:color w:val="262626" w:themeColor="text1" w:themeTint="D9"/>
                <w:sz w:val="24"/>
                <w:szCs w:val="24"/>
              </w:rPr>
              <w:t>Strategies</w:t>
            </w:r>
          </w:p>
        </w:tc>
        <w:tc>
          <w:tcPr>
            <w:tcW w:w="3690" w:type="dxa"/>
            <w:shd w:val="clear" w:color="auto" w:fill="auto"/>
            <w:tcMar>
              <w:top w:w="100" w:type="dxa"/>
              <w:left w:w="100" w:type="dxa"/>
              <w:bottom w:w="100" w:type="dxa"/>
              <w:right w:w="100" w:type="dxa"/>
            </w:tcMar>
          </w:tcPr>
          <w:p w14:paraId="40A48525"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Anti-Racist Culture</w:t>
            </w:r>
          </w:p>
        </w:tc>
      </w:tr>
      <w:tr w:rsidR="0003364B" w:rsidRPr="00083130" w14:paraId="2BCD5035" w14:textId="77777777" w:rsidTr="00E27619">
        <w:tc>
          <w:tcPr>
            <w:tcW w:w="3970" w:type="dxa"/>
            <w:shd w:val="clear" w:color="auto" w:fill="auto"/>
            <w:tcMar>
              <w:top w:w="100" w:type="dxa"/>
              <w:left w:w="100" w:type="dxa"/>
              <w:bottom w:w="100" w:type="dxa"/>
              <w:right w:w="100" w:type="dxa"/>
            </w:tcMar>
          </w:tcPr>
          <w:p w14:paraId="1D4FE345"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Perfectionism</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need to do the work perfectly before we put ourselves out there; there is no room for mistakes</w:t>
            </w:r>
          </w:p>
        </w:tc>
        <w:tc>
          <w:tcPr>
            <w:tcW w:w="5040" w:type="dxa"/>
          </w:tcPr>
          <w:p w14:paraId="1CCEA164" w14:textId="77777777" w:rsidR="0003364B" w:rsidRPr="003443AF"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Cultivate a culture of constructive and growth-oriented feedback</w:t>
            </w:r>
          </w:p>
          <w:p w14:paraId="3E124335"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Celebrate mistakes as opportunities to learn</w:t>
            </w:r>
          </w:p>
          <w:p w14:paraId="5DA925D6"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Document learnings from failures/mistakes </w:t>
            </w:r>
          </w:p>
          <w:p w14:paraId="3D1D7DED" w14:textId="77777777" w:rsidR="0003364B" w:rsidRPr="006044C8" w:rsidRDefault="0003364B" w:rsidP="00E27619">
            <w:pPr>
              <w:pStyle w:val="Normal1"/>
              <w:spacing w:line="240" w:lineRule="auto"/>
              <w:rPr>
                <w:rFonts w:ascii="Gill Sans" w:hAnsi="Gill Sans" w:cs="Gill Sans"/>
                <w:color w:val="262626" w:themeColor="text1" w:themeTint="D9"/>
                <w:sz w:val="24"/>
                <w:szCs w:val="24"/>
              </w:rPr>
            </w:pPr>
          </w:p>
        </w:tc>
        <w:tc>
          <w:tcPr>
            <w:tcW w:w="3690" w:type="dxa"/>
            <w:shd w:val="clear" w:color="auto" w:fill="auto"/>
            <w:tcMar>
              <w:top w:w="100" w:type="dxa"/>
              <w:left w:w="100" w:type="dxa"/>
              <w:bottom w:w="100" w:type="dxa"/>
              <w:right w:w="100" w:type="dxa"/>
            </w:tcMar>
          </w:tcPr>
          <w:p w14:paraId="2F74B841"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Embracing imperfection</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are imperfect and have a lot to learn; but that shouldn’t stop us from doing the work.</w:t>
            </w:r>
          </w:p>
        </w:tc>
      </w:tr>
      <w:tr w:rsidR="0003364B" w:rsidRPr="00083130" w14:paraId="0EAA576A" w14:textId="77777777" w:rsidTr="00E27619">
        <w:tc>
          <w:tcPr>
            <w:tcW w:w="3970" w:type="dxa"/>
            <w:shd w:val="clear" w:color="auto" w:fill="auto"/>
            <w:tcMar>
              <w:top w:w="100" w:type="dxa"/>
              <w:left w:w="100" w:type="dxa"/>
              <w:bottom w:w="100" w:type="dxa"/>
              <w:right w:w="100" w:type="dxa"/>
            </w:tcMar>
          </w:tcPr>
          <w:p w14:paraId="7E8ADCBD"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Risk aversion</w:t>
            </w:r>
            <w:r>
              <w:rPr>
                <w:rFonts w:ascii="Gill Sans" w:hAnsi="Gill Sans" w:cs="Gill Sans"/>
                <w:color w:val="262626" w:themeColor="text1" w:themeTint="D9"/>
                <w:sz w:val="24"/>
                <w:szCs w:val="24"/>
              </w:rPr>
              <w:t xml:space="preserve">: </w:t>
            </w:r>
            <w:r w:rsidRPr="006044C8">
              <w:rPr>
                <w:rFonts w:ascii="Gill Sans" w:hAnsi="Gill Sans" w:cs="Gill Sans"/>
                <w:color w:val="262626" w:themeColor="text1" w:themeTint="D9"/>
                <w:sz w:val="24"/>
                <w:szCs w:val="24"/>
              </w:rPr>
              <w:t>We should avoid taking risks until we are certain of success; let’s think carefully before jumping in</w:t>
            </w:r>
          </w:p>
        </w:tc>
        <w:tc>
          <w:tcPr>
            <w:tcW w:w="5040" w:type="dxa"/>
          </w:tcPr>
          <w:p w14:paraId="3043368C"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Avoid getting stuck in “analysis paralysis” and move ahead even if you’re uncertain of success</w:t>
            </w:r>
          </w:p>
          <w:p w14:paraId="1D906451"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sidRPr="00F53D90">
              <w:rPr>
                <w:rFonts w:ascii="Gill Sans" w:hAnsi="Gill Sans" w:cs="Gill Sans"/>
                <w:i/>
                <w:color w:val="262626" w:themeColor="text1" w:themeTint="D9"/>
                <w:sz w:val="24"/>
                <w:szCs w:val="24"/>
              </w:rPr>
              <w:t xml:space="preserve">Create space within a workplan to engage in work that </w:t>
            </w:r>
            <w:r>
              <w:rPr>
                <w:rFonts w:ascii="Gill Sans" w:hAnsi="Gill Sans" w:cs="Gill Sans"/>
                <w:i/>
                <w:color w:val="262626" w:themeColor="text1" w:themeTint="D9"/>
                <w:sz w:val="24"/>
                <w:szCs w:val="24"/>
              </w:rPr>
              <w:t>isn’t guaranteed to be successful, but is still in line with your values</w:t>
            </w:r>
          </w:p>
        </w:tc>
        <w:tc>
          <w:tcPr>
            <w:tcW w:w="3690" w:type="dxa"/>
            <w:shd w:val="clear" w:color="auto" w:fill="auto"/>
            <w:tcMar>
              <w:top w:w="100" w:type="dxa"/>
              <w:left w:w="100" w:type="dxa"/>
              <w:bottom w:w="100" w:type="dxa"/>
              <w:right w:w="100" w:type="dxa"/>
            </w:tcMar>
          </w:tcPr>
          <w:p w14:paraId="47652788"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Embracing failure as learning</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Risks are opportunities to practice, fail, and learn from our failures; we should embrace risk and dive into the work instead of being paralyzed.</w:t>
            </w:r>
          </w:p>
        </w:tc>
      </w:tr>
      <w:tr w:rsidR="0003364B" w:rsidRPr="00083130" w14:paraId="2E3B75B0" w14:textId="77777777" w:rsidTr="00E27619">
        <w:tc>
          <w:tcPr>
            <w:tcW w:w="3970" w:type="dxa"/>
            <w:shd w:val="clear" w:color="auto" w:fill="auto"/>
            <w:tcMar>
              <w:top w:w="100" w:type="dxa"/>
              <w:left w:w="100" w:type="dxa"/>
              <w:bottom w:w="100" w:type="dxa"/>
              <w:right w:w="100" w:type="dxa"/>
            </w:tcMar>
          </w:tcPr>
          <w:p w14:paraId="37E82A2A"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Conflict aversion</w:t>
            </w:r>
            <w:r>
              <w:rPr>
                <w:rFonts w:ascii="Gill Sans" w:hAnsi="Gill Sans" w:cs="Gill Sans"/>
                <w:color w:val="262626" w:themeColor="text1" w:themeTint="D9"/>
                <w:sz w:val="24"/>
                <w:szCs w:val="24"/>
              </w:rPr>
              <w:t xml:space="preserve">: </w:t>
            </w:r>
            <w:r w:rsidRPr="006044C8">
              <w:rPr>
                <w:rFonts w:ascii="Gill Sans" w:hAnsi="Gill Sans" w:cs="Gill Sans"/>
                <w:color w:val="262626" w:themeColor="text1" w:themeTint="D9"/>
                <w:sz w:val="24"/>
                <w:szCs w:val="24"/>
              </w:rPr>
              <w:t>Conflict and tension create too much drama (it rocks the boat and makes waves), and distract us from the work; we should avoid conflict, and focus on where we agree.</w:t>
            </w:r>
          </w:p>
        </w:tc>
        <w:tc>
          <w:tcPr>
            <w:tcW w:w="5040" w:type="dxa"/>
          </w:tcPr>
          <w:p w14:paraId="60A670FC" w14:textId="77777777" w:rsidR="0003364B" w:rsidRPr="003443AF"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Cultivate a culture of constructive and growth-oriented feedback</w:t>
            </w:r>
          </w:p>
          <w:p w14:paraId="6C496AAE"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O</w:t>
            </w:r>
            <w:r w:rsidRPr="00971081">
              <w:rPr>
                <w:rFonts w:ascii="Gill Sans" w:hAnsi="Gill Sans" w:cs="Gill Sans"/>
                <w:i/>
                <w:color w:val="262626" w:themeColor="text1" w:themeTint="D9"/>
                <w:sz w:val="24"/>
                <w:szCs w:val="24"/>
              </w:rPr>
              <w:t>penly value contrasting view points</w:t>
            </w:r>
          </w:p>
          <w:p w14:paraId="578E8E12" w14:textId="77777777" w:rsidR="0003364B" w:rsidRPr="00971081" w:rsidRDefault="0003364B" w:rsidP="00E27619">
            <w:pPr>
              <w:pStyle w:val="Normal1"/>
              <w:spacing w:line="240" w:lineRule="auto"/>
              <w:ind w:left="350"/>
              <w:rPr>
                <w:rFonts w:ascii="Gill Sans" w:hAnsi="Gill Sans" w:cs="Gill Sans"/>
                <w:color w:val="262626" w:themeColor="text1" w:themeTint="D9"/>
                <w:sz w:val="24"/>
                <w:szCs w:val="24"/>
              </w:rPr>
            </w:pPr>
          </w:p>
        </w:tc>
        <w:tc>
          <w:tcPr>
            <w:tcW w:w="3690" w:type="dxa"/>
            <w:shd w:val="clear" w:color="auto" w:fill="auto"/>
            <w:tcMar>
              <w:top w:w="100" w:type="dxa"/>
              <w:left w:w="100" w:type="dxa"/>
              <w:bottom w:w="100" w:type="dxa"/>
              <w:right w:w="100" w:type="dxa"/>
            </w:tcMar>
          </w:tcPr>
          <w:p w14:paraId="12ED21EE"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Embracing productive conflict</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Conflict, when managed well, is an opportunity to be creative in our solutions; productive conflict brings different perspectives to the table, which helps us innovate. People should feel free to disagree, speak up/out, and voice their opinions.</w:t>
            </w:r>
          </w:p>
        </w:tc>
      </w:tr>
      <w:tr w:rsidR="0003364B" w:rsidRPr="00083130" w14:paraId="493D1D0A" w14:textId="77777777" w:rsidTr="00E27619">
        <w:tc>
          <w:tcPr>
            <w:tcW w:w="3970" w:type="dxa"/>
            <w:shd w:val="clear" w:color="auto" w:fill="auto"/>
            <w:tcMar>
              <w:top w:w="100" w:type="dxa"/>
              <w:left w:w="100" w:type="dxa"/>
              <w:bottom w:w="100" w:type="dxa"/>
              <w:right w:w="100" w:type="dxa"/>
            </w:tcMar>
          </w:tcPr>
          <w:p w14:paraId="0ABAD8CB"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Sense of urgency</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are s</w:t>
            </w:r>
            <w:r>
              <w:rPr>
                <w:rFonts w:ascii="Gill Sans" w:hAnsi="Gill Sans" w:cs="Gill Sans"/>
                <w:color w:val="262626" w:themeColor="text1" w:themeTint="D9"/>
                <w:sz w:val="24"/>
                <w:szCs w:val="24"/>
              </w:rPr>
              <w:t xml:space="preserve">trongly attached to </w:t>
            </w:r>
            <w:r w:rsidRPr="006044C8">
              <w:rPr>
                <w:rFonts w:ascii="Gill Sans" w:hAnsi="Gill Sans" w:cs="Gill Sans"/>
                <w:color w:val="262626" w:themeColor="text1" w:themeTint="D9"/>
                <w:sz w:val="24"/>
                <w:szCs w:val="24"/>
              </w:rPr>
              <w:t>deadlines and need to learn how to get the work done more efficiently; it is an imperative that we have a racial equity plan in place by the end of this year.</w:t>
            </w:r>
          </w:p>
        </w:tc>
        <w:tc>
          <w:tcPr>
            <w:tcW w:w="5040" w:type="dxa"/>
          </w:tcPr>
          <w:p w14:paraId="3D1BAAEE"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Notice when your team is rushed; take a moment to slow the team down to ask whether you are missing something or need to take more time. </w:t>
            </w:r>
          </w:p>
          <w:p w14:paraId="6979355D"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As “in service of what” when shorter deadlines are set for work that perhaps needs more time</w:t>
            </w:r>
          </w:p>
        </w:tc>
        <w:tc>
          <w:tcPr>
            <w:tcW w:w="3690" w:type="dxa"/>
            <w:shd w:val="clear" w:color="auto" w:fill="auto"/>
            <w:tcMar>
              <w:top w:w="100" w:type="dxa"/>
              <w:left w:w="100" w:type="dxa"/>
              <w:bottom w:w="100" w:type="dxa"/>
              <w:right w:w="100" w:type="dxa"/>
            </w:tcMar>
          </w:tcPr>
          <w:p w14:paraId="6A0126DF"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Mindfulness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If we slow down and take time to be mindful and intentional, we will be able to make better decisions.</w:t>
            </w:r>
            <w:r>
              <w:rPr>
                <w:rFonts w:ascii="Gill Sans" w:hAnsi="Gill Sans" w:cs="Gill Sans"/>
                <w:color w:val="262626" w:themeColor="text1" w:themeTint="D9"/>
                <w:sz w:val="24"/>
                <w:szCs w:val="24"/>
              </w:rPr>
              <w:t xml:space="preserve"> We can identify what truly requires our immediate attention and what can wait.</w:t>
            </w:r>
          </w:p>
        </w:tc>
      </w:tr>
      <w:tr w:rsidR="0003364B" w:rsidRPr="00083130" w14:paraId="5A5E46B8" w14:textId="77777777" w:rsidTr="00E27619">
        <w:tc>
          <w:tcPr>
            <w:tcW w:w="3970" w:type="dxa"/>
            <w:shd w:val="clear" w:color="auto" w:fill="auto"/>
            <w:tcMar>
              <w:top w:w="100" w:type="dxa"/>
              <w:left w:w="100" w:type="dxa"/>
              <w:bottom w:w="100" w:type="dxa"/>
              <w:right w:w="100" w:type="dxa"/>
            </w:tcMar>
          </w:tcPr>
          <w:p w14:paraId="488FF547"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Power hoarding</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Our organizational hierarchy is important and there are certain keepers of key information and know-how about our functions; leadership believes they are acting in the best interests of the organization and view any demands for change as undermining or ill-informed, and a threat.</w:t>
            </w:r>
          </w:p>
        </w:tc>
        <w:tc>
          <w:tcPr>
            <w:tcW w:w="5040" w:type="dxa"/>
          </w:tcPr>
          <w:p w14:paraId="55C18D2B"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Empower staff to make decisions without needing leadership approval; delegate more work</w:t>
            </w:r>
          </w:p>
          <w:p w14:paraId="7D51856E"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Leadership: trust staff and their judgement. </w:t>
            </w:r>
          </w:p>
          <w:p w14:paraId="3B78D2DC"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Actively work with staff to build their leadership skills </w:t>
            </w:r>
          </w:p>
          <w:p w14:paraId="253E0C2E"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Be transparent about </w:t>
            </w:r>
            <w:proofErr w:type="spellStart"/>
            <w:r>
              <w:rPr>
                <w:rFonts w:ascii="Gill Sans" w:hAnsi="Gill Sans" w:cs="Gill Sans"/>
                <w:i/>
                <w:color w:val="262626" w:themeColor="text1" w:themeTint="D9"/>
                <w:sz w:val="24"/>
                <w:szCs w:val="24"/>
              </w:rPr>
              <w:t>decisionmaking</w:t>
            </w:r>
            <w:proofErr w:type="spellEnd"/>
          </w:p>
        </w:tc>
        <w:tc>
          <w:tcPr>
            <w:tcW w:w="3690" w:type="dxa"/>
            <w:shd w:val="clear" w:color="auto" w:fill="auto"/>
            <w:tcMar>
              <w:top w:w="100" w:type="dxa"/>
              <w:left w:w="100" w:type="dxa"/>
              <w:bottom w:w="100" w:type="dxa"/>
              <w:right w:w="100" w:type="dxa"/>
            </w:tcMar>
          </w:tcPr>
          <w:p w14:paraId="5865F469"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Power sharing</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Our organization feels more egalitarian; leaders make sure they share their power and are constantly delegating work and mentoring their staff to become future leaders</w:t>
            </w:r>
          </w:p>
        </w:tc>
      </w:tr>
      <w:tr w:rsidR="0003364B" w:rsidRPr="00083130" w14:paraId="14E7EE09" w14:textId="77777777" w:rsidTr="00E27619">
        <w:tc>
          <w:tcPr>
            <w:tcW w:w="3970" w:type="dxa"/>
            <w:shd w:val="clear" w:color="auto" w:fill="auto"/>
            <w:tcMar>
              <w:top w:w="100" w:type="dxa"/>
              <w:left w:w="100" w:type="dxa"/>
              <w:bottom w:w="100" w:type="dxa"/>
              <w:right w:w="100" w:type="dxa"/>
            </w:tcMar>
          </w:tcPr>
          <w:p w14:paraId="6DCBF43B"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Quantity</w:t>
            </w:r>
            <w:r>
              <w:rPr>
                <w:rFonts w:ascii="Gill Sans" w:hAnsi="Gill Sans" w:cs="Gill Sans"/>
                <w:b/>
                <w:color w:val="262626" w:themeColor="text1" w:themeTint="D9"/>
                <w:sz w:val="24"/>
                <w:szCs w:val="24"/>
              </w:rPr>
              <w:t xml:space="preserve">:  </w:t>
            </w:r>
            <w:r w:rsidRPr="003443AF">
              <w:rPr>
                <w:rFonts w:ascii="Gill Sans" w:hAnsi="Gill Sans" w:cs="Gill Sans"/>
                <w:color w:val="262626" w:themeColor="text1" w:themeTint="D9"/>
                <w:sz w:val="24"/>
                <w:szCs w:val="24"/>
              </w:rPr>
              <w:t>Our organizational impact is measured by numbers and metrics attached to various initiatives, which may include numbers of grants written, numbers of clients and partners enlisted, or dollars saved or produced.</w:t>
            </w:r>
          </w:p>
        </w:tc>
        <w:tc>
          <w:tcPr>
            <w:tcW w:w="5040" w:type="dxa"/>
          </w:tcPr>
          <w:p w14:paraId="44657125"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Create success indicators that value quality over quantity (i.e. deeper relationships with community vs. many shallow relationships with partners).</w:t>
            </w:r>
          </w:p>
        </w:tc>
        <w:tc>
          <w:tcPr>
            <w:tcW w:w="3690" w:type="dxa"/>
            <w:shd w:val="clear" w:color="auto" w:fill="auto"/>
            <w:tcMar>
              <w:top w:w="100" w:type="dxa"/>
              <w:left w:w="100" w:type="dxa"/>
              <w:bottom w:w="100" w:type="dxa"/>
              <w:right w:w="100" w:type="dxa"/>
            </w:tcMar>
          </w:tcPr>
          <w:p w14:paraId="02B28012"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Quality</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Our organizational impact is measured by more qualitative indicators, including knowledge and skills acquired, efforts spent on consensus building, and the type, depth and nature of partnerships.</w:t>
            </w:r>
          </w:p>
        </w:tc>
      </w:tr>
      <w:tr w:rsidR="0003364B" w:rsidRPr="00083130" w14:paraId="16F0FBF3" w14:textId="77777777" w:rsidTr="00E27619">
        <w:tc>
          <w:tcPr>
            <w:tcW w:w="3970" w:type="dxa"/>
            <w:shd w:val="clear" w:color="auto" w:fill="auto"/>
            <w:tcMar>
              <w:top w:w="100" w:type="dxa"/>
              <w:left w:w="100" w:type="dxa"/>
              <w:bottom w:w="100" w:type="dxa"/>
              <w:right w:w="100" w:type="dxa"/>
            </w:tcMar>
          </w:tcPr>
          <w:p w14:paraId="20A38B4B"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Output</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Staff performance is measured by their completing particular deliverables in a work plan</w:t>
            </w:r>
          </w:p>
        </w:tc>
        <w:tc>
          <w:tcPr>
            <w:tcW w:w="5040" w:type="dxa"/>
          </w:tcPr>
          <w:p w14:paraId="3D237352" w14:textId="7F351D5B" w:rsidR="0003364B" w:rsidRPr="00522397"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Create staff evaluations that value skills learned.</w:t>
            </w:r>
          </w:p>
          <w:p w14:paraId="33B42CF0" w14:textId="2FB893E6" w:rsidR="00522397" w:rsidRPr="00E27619" w:rsidRDefault="00522397"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Create staff evaluations that value relationships built</w:t>
            </w:r>
          </w:p>
          <w:p w14:paraId="140BD7AD" w14:textId="77777777" w:rsidR="0003364B" w:rsidRPr="006044C8" w:rsidRDefault="0003364B" w:rsidP="00E27619">
            <w:pPr>
              <w:pStyle w:val="Normal1"/>
              <w:spacing w:line="240" w:lineRule="auto"/>
              <w:ind w:left="350"/>
              <w:rPr>
                <w:rFonts w:ascii="Gill Sans" w:hAnsi="Gill Sans" w:cs="Gill Sans"/>
                <w:color w:val="262626" w:themeColor="text1" w:themeTint="D9"/>
                <w:sz w:val="24"/>
                <w:szCs w:val="24"/>
              </w:rPr>
            </w:pPr>
          </w:p>
        </w:tc>
        <w:tc>
          <w:tcPr>
            <w:tcW w:w="3690" w:type="dxa"/>
            <w:shd w:val="clear" w:color="auto" w:fill="auto"/>
            <w:tcMar>
              <w:top w:w="100" w:type="dxa"/>
              <w:left w:w="100" w:type="dxa"/>
              <w:bottom w:w="100" w:type="dxa"/>
              <w:right w:w="100" w:type="dxa"/>
            </w:tcMar>
          </w:tcPr>
          <w:p w14:paraId="255DB4E2"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Input</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Staff performance is measured by the work that they put into a project and the knowledge and skills that they acquire that is relevant to their jobs</w:t>
            </w:r>
          </w:p>
        </w:tc>
      </w:tr>
      <w:tr w:rsidR="0003364B" w:rsidRPr="00083130" w14:paraId="2484211D" w14:textId="77777777" w:rsidTr="00E27619">
        <w:tc>
          <w:tcPr>
            <w:tcW w:w="3970" w:type="dxa"/>
            <w:shd w:val="clear" w:color="auto" w:fill="auto"/>
            <w:tcMar>
              <w:top w:w="100" w:type="dxa"/>
              <w:left w:w="100" w:type="dxa"/>
              <w:bottom w:w="100" w:type="dxa"/>
              <w:right w:w="100" w:type="dxa"/>
            </w:tcMar>
          </w:tcPr>
          <w:p w14:paraId="17571604"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Directive decision</w:t>
            </w:r>
            <w:r>
              <w:rPr>
                <w:rFonts w:ascii="Gill Sans" w:hAnsi="Gill Sans" w:cs="Gill Sans"/>
                <w:b/>
                <w:color w:val="262626" w:themeColor="text1" w:themeTint="D9"/>
                <w:sz w:val="24"/>
                <w:szCs w:val="24"/>
              </w:rPr>
              <w:t xml:space="preserve"> </w:t>
            </w:r>
            <w:r w:rsidRPr="006044C8">
              <w:rPr>
                <w:rFonts w:ascii="Gill Sans" w:hAnsi="Gill Sans" w:cs="Gill Sans"/>
                <w:b/>
                <w:color w:val="262626" w:themeColor="text1" w:themeTint="D9"/>
                <w:sz w:val="24"/>
                <w:szCs w:val="24"/>
              </w:rPr>
              <w:t>making</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When a decision needs to be made, those in power make the </w:t>
            </w:r>
            <w:r w:rsidRPr="006044C8">
              <w:rPr>
                <w:rFonts w:ascii="Gill Sans" w:hAnsi="Gill Sans" w:cs="Gill Sans"/>
                <w:color w:val="262626" w:themeColor="text1" w:themeTint="D9"/>
                <w:sz w:val="24"/>
                <w:szCs w:val="24"/>
              </w:rPr>
              <w:lastRenderedPageBreak/>
              <w:t>decisions unilaterally or ask for input and may or may not take that input into account when they make their final decisions.</w:t>
            </w:r>
          </w:p>
        </w:tc>
        <w:tc>
          <w:tcPr>
            <w:tcW w:w="5040" w:type="dxa"/>
          </w:tcPr>
          <w:p w14:paraId="02F45A98"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lastRenderedPageBreak/>
              <w:t>Create a structure in which staff are able to weigh in on certain decisions in a meaningful way</w:t>
            </w:r>
          </w:p>
          <w:p w14:paraId="7344231A"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lastRenderedPageBreak/>
              <w:t>When staff weigh in, make sure to integrate their input/feedback, and if you don’t, be able to explain why</w:t>
            </w:r>
          </w:p>
          <w:p w14:paraId="18038AE5"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Be transparent about </w:t>
            </w:r>
            <w:proofErr w:type="spellStart"/>
            <w:r>
              <w:rPr>
                <w:rFonts w:ascii="Gill Sans" w:hAnsi="Gill Sans" w:cs="Gill Sans"/>
                <w:i/>
                <w:color w:val="262626" w:themeColor="text1" w:themeTint="D9"/>
                <w:sz w:val="24"/>
                <w:szCs w:val="24"/>
              </w:rPr>
              <w:t>decisionmaking</w:t>
            </w:r>
            <w:proofErr w:type="spellEnd"/>
            <w:r>
              <w:rPr>
                <w:rFonts w:ascii="Gill Sans" w:hAnsi="Gill Sans" w:cs="Gill Sans"/>
                <w:i/>
                <w:color w:val="262626" w:themeColor="text1" w:themeTint="D9"/>
                <w:sz w:val="24"/>
                <w:szCs w:val="24"/>
              </w:rPr>
              <w:t xml:space="preserve"> structures</w:t>
            </w:r>
          </w:p>
          <w:p w14:paraId="5AF433B4" w14:textId="77777777" w:rsidR="0003364B" w:rsidRPr="006044C8" w:rsidRDefault="0003364B" w:rsidP="00E27619">
            <w:pPr>
              <w:pStyle w:val="Normal1"/>
              <w:spacing w:line="240" w:lineRule="auto"/>
              <w:ind w:left="350"/>
              <w:rPr>
                <w:rFonts w:ascii="Gill Sans" w:hAnsi="Gill Sans" w:cs="Gill Sans"/>
                <w:color w:val="262626" w:themeColor="text1" w:themeTint="D9"/>
                <w:sz w:val="24"/>
                <w:szCs w:val="24"/>
              </w:rPr>
            </w:pPr>
          </w:p>
        </w:tc>
        <w:tc>
          <w:tcPr>
            <w:tcW w:w="3690" w:type="dxa"/>
            <w:shd w:val="clear" w:color="auto" w:fill="auto"/>
            <w:tcMar>
              <w:top w:w="100" w:type="dxa"/>
              <w:left w:w="100" w:type="dxa"/>
              <w:bottom w:w="100" w:type="dxa"/>
              <w:right w:w="100" w:type="dxa"/>
            </w:tcMar>
          </w:tcPr>
          <w:p w14:paraId="6570694A"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Consensus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When a decision needs to be made, those in power make sure everyone agrees on a </w:t>
            </w:r>
            <w:r w:rsidRPr="006044C8">
              <w:rPr>
                <w:rFonts w:ascii="Gill Sans" w:hAnsi="Gill Sans" w:cs="Gill Sans"/>
                <w:color w:val="262626" w:themeColor="text1" w:themeTint="D9"/>
                <w:sz w:val="24"/>
                <w:szCs w:val="24"/>
              </w:rPr>
              <w:lastRenderedPageBreak/>
              <w:t>course of action before making the final decision.</w:t>
            </w:r>
          </w:p>
        </w:tc>
      </w:tr>
      <w:tr w:rsidR="0003364B" w:rsidRPr="00083130" w14:paraId="5B1ADF11" w14:textId="77777777" w:rsidTr="00E27619">
        <w:tc>
          <w:tcPr>
            <w:tcW w:w="3970" w:type="dxa"/>
            <w:shd w:val="clear" w:color="auto" w:fill="auto"/>
            <w:tcMar>
              <w:top w:w="100" w:type="dxa"/>
              <w:left w:w="100" w:type="dxa"/>
              <w:bottom w:w="100" w:type="dxa"/>
              <w:right w:w="100" w:type="dxa"/>
            </w:tcMar>
          </w:tcPr>
          <w:p w14:paraId="7BF71838"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Written word and rules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If it’s not in a memo, written guideline, or in standard operating procedures, it does not exist. It is important that we document everything and strict to the written word.</w:t>
            </w:r>
          </w:p>
        </w:tc>
        <w:tc>
          <w:tcPr>
            <w:tcW w:w="5040" w:type="dxa"/>
          </w:tcPr>
          <w:p w14:paraId="51690F82" w14:textId="77777777" w:rsidR="0003364B" w:rsidRPr="00971081"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Provide guidelines, but instill trust in staff to use their judgement on case by case basis.</w:t>
            </w:r>
          </w:p>
          <w:p w14:paraId="4684CF1C"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Avoid literal interpretation of policy; consider requests and needs on a case-by-case basis with an equity lens.</w:t>
            </w:r>
          </w:p>
        </w:tc>
        <w:tc>
          <w:tcPr>
            <w:tcW w:w="3690" w:type="dxa"/>
            <w:shd w:val="clear" w:color="auto" w:fill="auto"/>
            <w:tcMar>
              <w:top w:w="100" w:type="dxa"/>
              <w:left w:w="100" w:type="dxa"/>
              <w:bottom w:w="100" w:type="dxa"/>
              <w:right w:w="100" w:type="dxa"/>
            </w:tcMar>
          </w:tcPr>
          <w:p w14:paraId="700A39B0" w14:textId="77777777" w:rsidR="0003364B" w:rsidRDefault="0003364B" w:rsidP="00E27619">
            <w:pPr>
              <w:pStyle w:val="Normal1"/>
              <w:spacing w:line="240" w:lineRule="auto"/>
              <w:rPr>
                <w:rFonts w:ascii="Gill Sans" w:hAnsi="Gill Sans" w:cs="Gill Sans"/>
                <w:color w:val="262626" w:themeColor="text1" w:themeTint="D9"/>
                <w:sz w:val="24"/>
                <w:szCs w:val="24"/>
              </w:rPr>
            </w:pPr>
            <w:r w:rsidRPr="006044C8">
              <w:rPr>
                <w:rFonts w:ascii="Gill Sans" w:hAnsi="Gill Sans" w:cs="Gill Sans"/>
                <w:b/>
                <w:color w:val="262626" w:themeColor="text1" w:themeTint="D9"/>
                <w:sz w:val="24"/>
                <w:szCs w:val="24"/>
              </w:rPr>
              <w:t>Informal guidelines and organic rulemaking</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Though some things should be written, we need to leave room for interpretation and not literally interpret documents or rely on documents to guide our actions; circumstances may change, and so may the ways we approach certain work. We should trust people.</w:t>
            </w:r>
          </w:p>
          <w:p w14:paraId="535410F1"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p>
        </w:tc>
      </w:tr>
      <w:tr w:rsidR="0003364B" w:rsidRPr="00083130" w14:paraId="7ACA314F" w14:textId="77777777" w:rsidTr="00E27619">
        <w:tc>
          <w:tcPr>
            <w:tcW w:w="3970" w:type="dxa"/>
            <w:shd w:val="clear" w:color="auto" w:fill="auto"/>
            <w:tcMar>
              <w:top w:w="100" w:type="dxa"/>
              <w:left w:w="100" w:type="dxa"/>
              <w:bottom w:w="100" w:type="dxa"/>
              <w:right w:w="100" w:type="dxa"/>
            </w:tcMar>
          </w:tcPr>
          <w:p w14:paraId="08315608"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“Objectivity” as a decider</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We base our decisions on facts, research, and proof points; emotions have no role in our </w:t>
            </w:r>
            <w:proofErr w:type="spellStart"/>
            <w:r w:rsidRPr="006044C8">
              <w:rPr>
                <w:rFonts w:ascii="Gill Sans" w:hAnsi="Gill Sans" w:cs="Gill Sans"/>
                <w:color w:val="262626" w:themeColor="text1" w:themeTint="D9"/>
                <w:sz w:val="24"/>
                <w:szCs w:val="24"/>
              </w:rPr>
              <w:t>decisionmaking</w:t>
            </w:r>
            <w:proofErr w:type="spellEnd"/>
            <w:r w:rsidRPr="006044C8">
              <w:rPr>
                <w:rFonts w:ascii="Gill Sans" w:hAnsi="Gill Sans" w:cs="Gill Sans"/>
                <w:color w:val="262626" w:themeColor="text1" w:themeTint="D9"/>
                <w:sz w:val="24"/>
                <w:szCs w:val="24"/>
              </w:rPr>
              <w:t>, nor do opinions or judgments that aren’t based in objective facts.</w:t>
            </w:r>
          </w:p>
        </w:tc>
        <w:tc>
          <w:tcPr>
            <w:tcW w:w="5040" w:type="dxa"/>
          </w:tcPr>
          <w:p w14:paraId="67BE244E"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Identify success indicators that are attached to your values rather than existing proof-points/data.</w:t>
            </w:r>
          </w:p>
          <w:p w14:paraId="0483B568"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Create a space in which input can be provided in all forms, not just in proof points and data. This may include persuasive and passionate advocacy and opinions.</w:t>
            </w:r>
          </w:p>
        </w:tc>
        <w:tc>
          <w:tcPr>
            <w:tcW w:w="3690" w:type="dxa"/>
            <w:shd w:val="clear" w:color="auto" w:fill="auto"/>
            <w:tcMar>
              <w:top w:w="100" w:type="dxa"/>
              <w:left w:w="100" w:type="dxa"/>
              <w:bottom w:w="100" w:type="dxa"/>
              <w:right w:w="100" w:type="dxa"/>
            </w:tcMar>
          </w:tcPr>
          <w:p w14:paraId="4BD30DEE"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Subjectivity/emotion</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base our decisions on a set of values that we know to be right irrespective of whether there are proof points associated with those values. Opinions and feelings are valuable sources of information when making decisions.</w:t>
            </w:r>
          </w:p>
        </w:tc>
      </w:tr>
      <w:tr w:rsidR="0003364B" w:rsidRPr="00083130" w14:paraId="7E408E4D" w14:textId="77777777" w:rsidTr="00E27619">
        <w:tc>
          <w:tcPr>
            <w:tcW w:w="3970" w:type="dxa"/>
            <w:shd w:val="clear" w:color="auto" w:fill="auto"/>
            <w:tcMar>
              <w:top w:w="100" w:type="dxa"/>
              <w:left w:w="100" w:type="dxa"/>
              <w:bottom w:w="100" w:type="dxa"/>
              <w:right w:w="100" w:type="dxa"/>
            </w:tcMar>
          </w:tcPr>
          <w:p w14:paraId="39D29956"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Fixed mindset</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We can only achieve SMART goals (specific, measurable, achievable, realistic, and timely). We are not equipped </w:t>
            </w:r>
            <w:r w:rsidRPr="006044C8">
              <w:rPr>
                <w:rFonts w:ascii="Gill Sans" w:hAnsi="Gill Sans" w:cs="Gill Sans"/>
                <w:color w:val="262626" w:themeColor="text1" w:themeTint="D9"/>
                <w:sz w:val="24"/>
                <w:szCs w:val="24"/>
              </w:rPr>
              <w:lastRenderedPageBreak/>
              <w:t>to do the impossible and should stick to what we’re really good at</w:t>
            </w:r>
          </w:p>
        </w:tc>
        <w:tc>
          <w:tcPr>
            <w:tcW w:w="5040" w:type="dxa"/>
          </w:tcPr>
          <w:p w14:paraId="5F5158F9"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lastRenderedPageBreak/>
              <w:t>Do not limit your organization to what you currently believe is achievable; be aspirational in your goal-setting</w:t>
            </w:r>
          </w:p>
        </w:tc>
        <w:tc>
          <w:tcPr>
            <w:tcW w:w="3690" w:type="dxa"/>
            <w:shd w:val="clear" w:color="auto" w:fill="auto"/>
            <w:tcMar>
              <w:top w:w="100" w:type="dxa"/>
              <w:left w:w="100" w:type="dxa"/>
              <w:bottom w:w="100" w:type="dxa"/>
              <w:right w:w="100" w:type="dxa"/>
            </w:tcMar>
          </w:tcPr>
          <w:p w14:paraId="4ECF3567"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Growth Mindset</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We are always growing, learning, and becoming better and we should strive for what people believe is </w:t>
            </w:r>
            <w:r w:rsidRPr="006044C8">
              <w:rPr>
                <w:rFonts w:ascii="Gill Sans" w:hAnsi="Gill Sans" w:cs="Gill Sans"/>
                <w:color w:val="262626" w:themeColor="text1" w:themeTint="D9"/>
                <w:sz w:val="24"/>
                <w:szCs w:val="24"/>
              </w:rPr>
              <w:lastRenderedPageBreak/>
              <w:t xml:space="preserve">impossible or improbable; Only if we reach for the stars </w:t>
            </w:r>
            <w:proofErr w:type="gramStart"/>
            <w:r w:rsidRPr="006044C8">
              <w:rPr>
                <w:rFonts w:ascii="Gill Sans" w:hAnsi="Gill Sans" w:cs="Gill Sans"/>
                <w:color w:val="262626" w:themeColor="text1" w:themeTint="D9"/>
                <w:sz w:val="24"/>
                <w:szCs w:val="24"/>
              </w:rPr>
              <w:t>do</w:t>
            </w:r>
            <w:proofErr w:type="gramEnd"/>
            <w:r w:rsidRPr="006044C8">
              <w:rPr>
                <w:rFonts w:ascii="Gill Sans" w:hAnsi="Gill Sans" w:cs="Gill Sans"/>
                <w:color w:val="262626" w:themeColor="text1" w:themeTint="D9"/>
                <w:sz w:val="24"/>
                <w:szCs w:val="24"/>
              </w:rPr>
              <w:t xml:space="preserve"> we truly grow into our potential.</w:t>
            </w:r>
          </w:p>
        </w:tc>
      </w:tr>
      <w:tr w:rsidR="0003364B" w:rsidRPr="00083130" w14:paraId="73177D0E" w14:textId="77777777" w:rsidTr="00E27619">
        <w:tc>
          <w:tcPr>
            <w:tcW w:w="3970" w:type="dxa"/>
            <w:shd w:val="clear" w:color="auto" w:fill="auto"/>
            <w:tcMar>
              <w:top w:w="100" w:type="dxa"/>
              <w:left w:w="100" w:type="dxa"/>
              <w:bottom w:w="100" w:type="dxa"/>
              <w:right w:w="100" w:type="dxa"/>
            </w:tcMar>
          </w:tcPr>
          <w:p w14:paraId="35129ED9"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Politeness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are really nice, kind people in my organization. We are always polite, don’t make waves, and don’t talk about personal or political things in the office. Raising difficult issues is seen as impolite, rude, partisan, or out of line.</w:t>
            </w:r>
          </w:p>
        </w:tc>
        <w:tc>
          <w:tcPr>
            <w:tcW w:w="5040" w:type="dxa"/>
          </w:tcPr>
          <w:p w14:paraId="2664CA25"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Cultivate a culture of constructive and growth-oriented feedback in meetings, evaluations, and casual conversations.</w:t>
            </w:r>
          </w:p>
          <w:p w14:paraId="03ABA2B8"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Do not separate “personal” versus “professional” topics, as some issues impact people both in and out of the workplace</w:t>
            </w:r>
          </w:p>
          <w:p w14:paraId="6A8E25F0" w14:textId="77777777" w:rsidR="0003364B" w:rsidRPr="00B80930" w:rsidRDefault="0003364B" w:rsidP="00E27619">
            <w:pPr>
              <w:pStyle w:val="Normal1"/>
              <w:numPr>
                <w:ilvl w:val="0"/>
                <w:numId w:val="8"/>
              </w:numPr>
              <w:spacing w:line="240" w:lineRule="auto"/>
              <w:ind w:left="350"/>
              <w:rPr>
                <w:rFonts w:ascii="Gill Sans" w:hAnsi="Gill Sans" w:cs="Gill Sans"/>
                <w:i/>
                <w:color w:val="262626" w:themeColor="text1" w:themeTint="D9"/>
                <w:sz w:val="24"/>
                <w:szCs w:val="24"/>
              </w:rPr>
            </w:pPr>
            <w:r w:rsidRPr="00B80930">
              <w:rPr>
                <w:rFonts w:ascii="Gill Sans" w:hAnsi="Gill Sans" w:cs="Gill Sans"/>
                <w:i/>
                <w:color w:val="262626" w:themeColor="text1" w:themeTint="D9"/>
                <w:sz w:val="24"/>
                <w:szCs w:val="24"/>
              </w:rPr>
              <w:t xml:space="preserve">Reward people speaking up about a difficult issue </w:t>
            </w:r>
          </w:p>
        </w:tc>
        <w:tc>
          <w:tcPr>
            <w:tcW w:w="3690" w:type="dxa"/>
            <w:shd w:val="clear" w:color="auto" w:fill="auto"/>
            <w:tcMar>
              <w:top w:w="100" w:type="dxa"/>
              <w:left w:w="100" w:type="dxa"/>
              <w:bottom w:w="100" w:type="dxa"/>
              <w:right w:w="100" w:type="dxa"/>
            </w:tcMar>
          </w:tcPr>
          <w:p w14:paraId="6A5251C2"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Squeak-up</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We know that though we all strive to be well-intended individuals, we have impacts on others and our work culture values talking about difficult issues, including issues based on people’s identities, biases, and their impact on others.</w:t>
            </w:r>
          </w:p>
        </w:tc>
      </w:tr>
      <w:tr w:rsidR="0003364B" w:rsidRPr="00083130" w14:paraId="66BCBEEC" w14:textId="77777777" w:rsidTr="00E27619">
        <w:tc>
          <w:tcPr>
            <w:tcW w:w="3970" w:type="dxa"/>
            <w:shd w:val="clear" w:color="auto" w:fill="auto"/>
            <w:tcMar>
              <w:top w:w="100" w:type="dxa"/>
              <w:left w:w="100" w:type="dxa"/>
              <w:bottom w:w="100" w:type="dxa"/>
              <w:right w:w="100" w:type="dxa"/>
            </w:tcMar>
          </w:tcPr>
          <w:p w14:paraId="362ADD76"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Linear</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In our organization work happens in a linear fashion. There is always an order of operations or a flow chart, with timelines, interim milestones, and deliverables.</w:t>
            </w:r>
          </w:p>
        </w:tc>
        <w:tc>
          <w:tcPr>
            <w:tcW w:w="5040" w:type="dxa"/>
          </w:tcPr>
          <w:p w14:paraId="257EBADB"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Be open to changing timelines in service of serving the values behind the work; don’t stick to a timeline if it greatly hinders the quality of the work.</w:t>
            </w:r>
          </w:p>
          <w:p w14:paraId="09D325E0" w14:textId="77777777" w:rsidR="0003364B"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Be willing to revisit a topic multiple times; “benevolent repetition” can often help move the work forward</w:t>
            </w:r>
          </w:p>
          <w:p w14:paraId="0460AC57" w14:textId="77777777" w:rsidR="0003364B" w:rsidRPr="00B80930" w:rsidRDefault="0003364B" w:rsidP="00E27619">
            <w:pPr>
              <w:pStyle w:val="Normal1"/>
              <w:numPr>
                <w:ilvl w:val="0"/>
                <w:numId w:val="8"/>
              </w:numPr>
              <w:spacing w:line="240" w:lineRule="auto"/>
              <w:ind w:left="350"/>
              <w:rPr>
                <w:rFonts w:ascii="Gill Sans" w:hAnsi="Gill Sans" w:cs="Gill Sans"/>
                <w:i/>
                <w:color w:val="262626" w:themeColor="text1" w:themeTint="D9"/>
                <w:sz w:val="24"/>
                <w:szCs w:val="24"/>
              </w:rPr>
            </w:pPr>
            <w:r w:rsidRPr="00B80930">
              <w:rPr>
                <w:rFonts w:ascii="Gill Sans" w:hAnsi="Gill Sans" w:cs="Gill Sans"/>
                <w:i/>
                <w:color w:val="262626" w:themeColor="text1" w:themeTint="D9"/>
                <w:sz w:val="24"/>
                <w:szCs w:val="24"/>
              </w:rPr>
              <w:t xml:space="preserve">Don’t be attached to a particular order of operations; sometimes the work can happen in </w:t>
            </w:r>
            <w:proofErr w:type="spellStart"/>
            <w:r w:rsidRPr="00B80930">
              <w:rPr>
                <w:rFonts w:ascii="Gill Sans" w:hAnsi="Gill Sans" w:cs="Gill Sans"/>
                <w:i/>
                <w:color w:val="262626" w:themeColor="text1" w:themeTint="D9"/>
                <w:sz w:val="24"/>
                <w:szCs w:val="24"/>
              </w:rPr>
              <w:t>paralell</w:t>
            </w:r>
            <w:proofErr w:type="spellEnd"/>
          </w:p>
        </w:tc>
        <w:tc>
          <w:tcPr>
            <w:tcW w:w="3690" w:type="dxa"/>
            <w:shd w:val="clear" w:color="auto" w:fill="auto"/>
            <w:tcMar>
              <w:top w:w="100" w:type="dxa"/>
              <w:left w:w="100" w:type="dxa"/>
              <w:bottom w:w="100" w:type="dxa"/>
              <w:right w:w="100" w:type="dxa"/>
            </w:tcMar>
          </w:tcPr>
          <w:p w14:paraId="0BC02E4C"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Nonlinear and iterative</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In our organization work happens in a nonlinear fashion. It may seem like organized chaos but growth happens in fits and spurts in different departments and programs, and sometimes people need to have the same conversation multiple times to make a decision. As long as we’re moving toward something, it doesn’t matter what happens first.</w:t>
            </w:r>
          </w:p>
        </w:tc>
      </w:tr>
      <w:tr w:rsidR="0003364B" w:rsidRPr="00083130" w14:paraId="4C104D63" w14:textId="77777777" w:rsidTr="00E27619">
        <w:tc>
          <w:tcPr>
            <w:tcW w:w="3970" w:type="dxa"/>
            <w:shd w:val="clear" w:color="auto" w:fill="auto"/>
            <w:tcMar>
              <w:top w:w="100" w:type="dxa"/>
              <w:left w:w="100" w:type="dxa"/>
              <w:bottom w:w="100" w:type="dxa"/>
              <w:right w:w="100" w:type="dxa"/>
            </w:tcMar>
          </w:tcPr>
          <w:p w14:paraId="7FCED98E"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White frameworks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The people and resources we rely upon (frameworks, books, experts, articles, etc.) are generally white or white-authored.</w:t>
            </w:r>
          </w:p>
        </w:tc>
        <w:tc>
          <w:tcPr>
            <w:tcW w:w="5040" w:type="dxa"/>
          </w:tcPr>
          <w:p w14:paraId="3D7D1BE4"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Pay close attention to who has authored the content or information that guides your big picture work.</w:t>
            </w:r>
          </w:p>
          <w:p w14:paraId="03A3C4AF" w14:textId="77777777" w:rsidR="0003364B" w:rsidRPr="00E27619"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Seek and share frameworks, models, and other resources developed by people with marginalized </w:t>
            </w:r>
            <w:proofErr w:type="spellStart"/>
            <w:r>
              <w:rPr>
                <w:rFonts w:ascii="Gill Sans" w:hAnsi="Gill Sans" w:cs="Gill Sans"/>
                <w:i/>
                <w:color w:val="262626" w:themeColor="text1" w:themeTint="D9"/>
                <w:sz w:val="24"/>
                <w:szCs w:val="24"/>
              </w:rPr>
              <w:lastRenderedPageBreak/>
              <w:t>identiteis</w:t>
            </w:r>
            <w:proofErr w:type="spellEnd"/>
            <w:r>
              <w:rPr>
                <w:rFonts w:ascii="Gill Sans" w:hAnsi="Gill Sans" w:cs="Gill Sans"/>
                <w:i/>
                <w:color w:val="262626" w:themeColor="text1" w:themeTint="D9"/>
                <w:sz w:val="24"/>
                <w:szCs w:val="24"/>
              </w:rPr>
              <w:t xml:space="preserve"> (particular, black, indigenous, and people of color)</w:t>
            </w:r>
          </w:p>
          <w:p w14:paraId="3CBD32A9" w14:textId="77777777" w:rsidR="0003364B" w:rsidRPr="006044C8"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Seek and share frameworks that explicitly name racial equity as a guiding value.</w:t>
            </w:r>
          </w:p>
        </w:tc>
        <w:tc>
          <w:tcPr>
            <w:tcW w:w="3690" w:type="dxa"/>
            <w:shd w:val="clear" w:color="auto" w:fill="auto"/>
            <w:tcMar>
              <w:top w:w="100" w:type="dxa"/>
              <w:left w:w="100" w:type="dxa"/>
              <w:bottom w:w="100" w:type="dxa"/>
              <w:right w:w="100" w:type="dxa"/>
            </w:tcMar>
          </w:tcPr>
          <w:p w14:paraId="414D4301"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Non-white frameworks</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 xml:space="preserve">We consistently try to tackle race bias in our resources, and make sure to read and learn from people of </w:t>
            </w:r>
            <w:r w:rsidRPr="006044C8">
              <w:rPr>
                <w:rFonts w:ascii="Gill Sans" w:hAnsi="Gill Sans" w:cs="Gill Sans"/>
                <w:color w:val="262626" w:themeColor="text1" w:themeTint="D9"/>
                <w:sz w:val="24"/>
                <w:szCs w:val="24"/>
              </w:rPr>
              <w:lastRenderedPageBreak/>
              <w:t>different races, ethnicities, and other identities.</w:t>
            </w:r>
          </w:p>
        </w:tc>
      </w:tr>
      <w:tr w:rsidR="0003364B" w:rsidRPr="00083130" w14:paraId="272AE3BF" w14:textId="77777777" w:rsidTr="00E27619">
        <w:tc>
          <w:tcPr>
            <w:tcW w:w="3970" w:type="dxa"/>
            <w:shd w:val="clear" w:color="auto" w:fill="auto"/>
            <w:tcMar>
              <w:top w:w="100" w:type="dxa"/>
              <w:left w:w="100" w:type="dxa"/>
              <w:bottom w:w="100" w:type="dxa"/>
              <w:right w:w="100" w:type="dxa"/>
            </w:tcMar>
          </w:tcPr>
          <w:p w14:paraId="2875A882" w14:textId="77777777" w:rsidR="0003364B" w:rsidRPr="006044C8" w:rsidRDefault="0003364B" w:rsidP="00E27619">
            <w:pPr>
              <w:pStyle w:val="Normal1"/>
              <w:numPr>
                <w:ilvl w:val="0"/>
                <w:numId w:val="5"/>
              </w:numPr>
              <w:spacing w:line="240" w:lineRule="auto"/>
              <w:ind w:left="360"/>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lastRenderedPageBreak/>
              <w:t>Saviorism</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Our organization exists to serve a group of people who have been underserved, under-resourced, or marginalized.</w:t>
            </w:r>
          </w:p>
        </w:tc>
        <w:tc>
          <w:tcPr>
            <w:tcW w:w="5040" w:type="dxa"/>
          </w:tcPr>
          <w:p w14:paraId="44CE3906" w14:textId="77777777" w:rsidR="0003364B" w:rsidRPr="00B80930"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 xml:space="preserve">Create action plans that are based on the needs articulated by the community rather than what you think they might need. </w:t>
            </w:r>
          </w:p>
          <w:p w14:paraId="366E850E" w14:textId="77777777" w:rsidR="0003364B" w:rsidRPr="0093520C"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Follow the lead of the communities that are most impacted in crafting a vision</w:t>
            </w:r>
          </w:p>
          <w:p w14:paraId="48F336D0" w14:textId="77777777" w:rsidR="0003364B" w:rsidRPr="0093520C" w:rsidRDefault="0003364B" w:rsidP="00E27619">
            <w:pPr>
              <w:pStyle w:val="Normal1"/>
              <w:numPr>
                <w:ilvl w:val="0"/>
                <w:numId w:val="8"/>
              </w:numPr>
              <w:spacing w:line="240" w:lineRule="auto"/>
              <w:ind w:left="350"/>
              <w:rPr>
                <w:rFonts w:ascii="Gill Sans" w:hAnsi="Gill Sans" w:cs="Gill Sans"/>
                <w:color w:val="262626" w:themeColor="text1" w:themeTint="D9"/>
                <w:sz w:val="24"/>
                <w:szCs w:val="24"/>
              </w:rPr>
            </w:pPr>
            <w:r>
              <w:rPr>
                <w:rFonts w:ascii="Gill Sans" w:hAnsi="Gill Sans" w:cs="Gill Sans"/>
                <w:i/>
                <w:color w:val="262626" w:themeColor="text1" w:themeTint="D9"/>
                <w:sz w:val="24"/>
                <w:szCs w:val="24"/>
              </w:rPr>
              <w:t>Avoid using “serve” in your narratives about community engagement</w:t>
            </w:r>
          </w:p>
          <w:p w14:paraId="358AA367" w14:textId="77777777" w:rsidR="0003364B" w:rsidRPr="006044C8" w:rsidRDefault="0003364B" w:rsidP="00E27619">
            <w:pPr>
              <w:pStyle w:val="Normal1"/>
              <w:spacing w:line="240" w:lineRule="auto"/>
              <w:ind w:left="-10"/>
              <w:rPr>
                <w:rFonts w:ascii="Gill Sans" w:hAnsi="Gill Sans" w:cs="Gill Sans"/>
                <w:color w:val="262626" w:themeColor="text1" w:themeTint="D9"/>
                <w:sz w:val="24"/>
                <w:szCs w:val="24"/>
              </w:rPr>
            </w:pPr>
          </w:p>
        </w:tc>
        <w:tc>
          <w:tcPr>
            <w:tcW w:w="3690" w:type="dxa"/>
            <w:shd w:val="clear" w:color="auto" w:fill="auto"/>
            <w:tcMar>
              <w:top w:w="100" w:type="dxa"/>
              <w:left w:w="100" w:type="dxa"/>
              <w:bottom w:w="100" w:type="dxa"/>
              <w:right w:w="100" w:type="dxa"/>
            </w:tcMar>
          </w:tcPr>
          <w:p w14:paraId="22AB7818" w14:textId="77777777" w:rsidR="0003364B" w:rsidRPr="006044C8" w:rsidRDefault="0003364B" w:rsidP="00E27619">
            <w:pPr>
              <w:pStyle w:val="Normal1"/>
              <w:spacing w:line="240" w:lineRule="auto"/>
              <w:rPr>
                <w:rFonts w:ascii="Gill Sans" w:hAnsi="Gill Sans" w:cs="Gill Sans"/>
                <w:b/>
                <w:color w:val="262626" w:themeColor="text1" w:themeTint="D9"/>
                <w:sz w:val="24"/>
                <w:szCs w:val="24"/>
              </w:rPr>
            </w:pPr>
            <w:r w:rsidRPr="006044C8">
              <w:rPr>
                <w:rFonts w:ascii="Gill Sans" w:hAnsi="Gill Sans" w:cs="Gill Sans"/>
                <w:b/>
                <w:color w:val="262626" w:themeColor="text1" w:themeTint="D9"/>
                <w:sz w:val="24"/>
                <w:szCs w:val="24"/>
              </w:rPr>
              <w:t>Partnership</w:t>
            </w:r>
            <w:r>
              <w:rPr>
                <w:rFonts w:ascii="Gill Sans" w:hAnsi="Gill Sans" w:cs="Gill Sans"/>
                <w:b/>
                <w:color w:val="262626" w:themeColor="text1" w:themeTint="D9"/>
                <w:sz w:val="24"/>
                <w:szCs w:val="24"/>
              </w:rPr>
              <w:t xml:space="preserve">: </w:t>
            </w:r>
            <w:r w:rsidRPr="006044C8">
              <w:rPr>
                <w:rFonts w:ascii="Gill Sans" w:hAnsi="Gill Sans" w:cs="Gill Sans"/>
                <w:color w:val="262626" w:themeColor="text1" w:themeTint="D9"/>
                <w:sz w:val="24"/>
                <w:szCs w:val="24"/>
              </w:rPr>
              <w:t>Our organization partners with communities who face more barriers to resources and opportunities by sharing power, engaging with these communities in an equitable way, and letting the communities lead in the vision. We don’t describe communities within a deficit framework (e.g., “under”-resourced)</w:t>
            </w:r>
          </w:p>
        </w:tc>
      </w:tr>
    </w:tbl>
    <w:p w14:paraId="336FE49D" w14:textId="77777777" w:rsidR="0003364B" w:rsidRPr="00083130" w:rsidRDefault="0003364B" w:rsidP="0003364B">
      <w:pPr>
        <w:pStyle w:val="Normal1"/>
        <w:ind w:left="1440"/>
        <w:rPr>
          <w:rFonts w:ascii="Gill Sans" w:hAnsi="Gill Sans" w:cs="Gill Sans"/>
          <w:color w:val="262626" w:themeColor="text1" w:themeTint="D9"/>
          <w:sz w:val="24"/>
          <w:szCs w:val="24"/>
        </w:rPr>
      </w:pPr>
    </w:p>
    <w:p w14:paraId="66A226C9" w14:textId="77777777" w:rsidR="0003364B" w:rsidRPr="00083130" w:rsidRDefault="0003364B" w:rsidP="0003364B">
      <w:pPr>
        <w:pStyle w:val="Normal1"/>
        <w:rPr>
          <w:rFonts w:ascii="Gill Sans" w:hAnsi="Gill Sans" w:cs="Gill Sans"/>
          <w:color w:val="262626" w:themeColor="text1" w:themeTint="D9"/>
          <w:sz w:val="24"/>
          <w:szCs w:val="24"/>
        </w:rPr>
      </w:pPr>
    </w:p>
    <w:p w14:paraId="3186B79E" w14:textId="77777777" w:rsidR="0014188F" w:rsidRPr="00083130" w:rsidRDefault="0014188F">
      <w:pPr>
        <w:pStyle w:val="Normal1"/>
        <w:rPr>
          <w:rFonts w:ascii="Gill Sans" w:hAnsi="Gill Sans" w:cs="Gill Sans"/>
          <w:color w:val="262626" w:themeColor="text1" w:themeTint="D9"/>
          <w:sz w:val="24"/>
          <w:szCs w:val="24"/>
        </w:rPr>
      </w:pPr>
    </w:p>
    <w:p w14:paraId="35200F6A" w14:textId="44B1D761" w:rsidR="005206B2" w:rsidRPr="00083130" w:rsidRDefault="005206B2">
      <w:pPr>
        <w:pStyle w:val="Normal1"/>
        <w:ind w:left="1440"/>
        <w:rPr>
          <w:rFonts w:ascii="Gill Sans" w:hAnsi="Gill Sans" w:cs="Gill Sans"/>
          <w:color w:val="262626" w:themeColor="text1" w:themeTint="D9"/>
          <w:sz w:val="24"/>
          <w:szCs w:val="24"/>
        </w:rPr>
      </w:pPr>
    </w:p>
    <w:p w14:paraId="29FC242F" w14:textId="77777777" w:rsidR="005206B2" w:rsidRPr="00083130" w:rsidRDefault="005206B2">
      <w:pPr>
        <w:pStyle w:val="Normal1"/>
        <w:rPr>
          <w:rFonts w:ascii="Gill Sans" w:hAnsi="Gill Sans" w:cs="Gill Sans"/>
          <w:color w:val="262626" w:themeColor="text1" w:themeTint="D9"/>
          <w:sz w:val="24"/>
          <w:szCs w:val="24"/>
        </w:rPr>
      </w:pPr>
    </w:p>
    <w:sectPr w:rsidR="005206B2" w:rsidRPr="00083130" w:rsidSect="00946017">
      <w:footerReference w:type="default" r:id="rId7"/>
      <w:headerReference w:type="first" r:id="rId8"/>
      <w:footerReference w:type="first" r:id="rId9"/>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5458D" w14:textId="77777777" w:rsidR="00542838" w:rsidRDefault="00542838" w:rsidP="000B5016">
      <w:pPr>
        <w:spacing w:line="240" w:lineRule="auto"/>
      </w:pPr>
      <w:r>
        <w:separator/>
      </w:r>
    </w:p>
  </w:endnote>
  <w:endnote w:type="continuationSeparator" w:id="0">
    <w:p w14:paraId="6D1B6A4E" w14:textId="77777777" w:rsidR="00542838" w:rsidRDefault="00542838" w:rsidP="000B5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473C" w14:textId="77777777" w:rsidR="00B80930" w:rsidRDefault="00B80930" w:rsidP="000B5016">
    <w:pPr>
      <w:pStyle w:val="Footer"/>
      <w:jc w:val="center"/>
    </w:pPr>
    <w:r>
      <w:rPr>
        <w:rFonts w:ascii="Gill Sans" w:hAnsi="Gill Sans" w:cs="Gill Sans"/>
        <w:color w:val="404040" w:themeColor="text1" w:themeTint="BF"/>
      </w:rPr>
      <w:t xml:space="preserve">info@theavarnagroup.com   </w:t>
    </w:r>
    <w:r>
      <w:rPr>
        <w:noProof/>
        <w:lang w:val="en-US"/>
      </w:rPr>
      <w:drawing>
        <wp:inline distT="0" distB="0" distL="0" distR="0" wp14:anchorId="40C3AC78" wp14:editId="2DBC51F5">
          <wp:extent cx="411480" cy="350248"/>
          <wp:effectExtent l="0" t="0" r="0" b="5715"/>
          <wp:docPr id="3" name="Picture 3"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p w14:paraId="7866C09B" w14:textId="77777777" w:rsidR="00B80930" w:rsidRDefault="00B8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8627" w14:textId="77777777" w:rsidR="00B80930" w:rsidRDefault="00B80930" w:rsidP="000B5016">
    <w:pPr>
      <w:pStyle w:val="Footer"/>
      <w:jc w:val="center"/>
    </w:pPr>
    <w:r>
      <w:rPr>
        <w:rFonts w:ascii="Gill Sans" w:hAnsi="Gill Sans" w:cs="Gill Sans"/>
        <w:color w:val="404040" w:themeColor="text1" w:themeTint="BF"/>
      </w:rPr>
      <w:t xml:space="preserve">info@theavarnagroup.com   </w:t>
    </w:r>
    <w:r>
      <w:rPr>
        <w:noProof/>
        <w:lang w:val="en-US"/>
      </w:rPr>
      <w:drawing>
        <wp:inline distT="0" distB="0" distL="0" distR="0" wp14:anchorId="440CBC30" wp14:editId="379C56E7">
          <wp:extent cx="411480" cy="350248"/>
          <wp:effectExtent l="0" t="0" r="0" b="5715"/>
          <wp:docPr id="1" name="Picture 1"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p w14:paraId="65A36639" w14:textId="77777777" w:rsidR="00B80930" w:rsidRDefault="00B8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8D736" w14:textId="77777777" w:rsidR="00542838" w:rsidRDefault="00542838" w:rsidP="000B5016">
      <w:pPr>
        <w:spacing w:line="240" w:lineRule="auto"/>
      </w:pPr>
      <w:r>
        <w:separator/>
      </w:r>
    </w:p>
  </w:footnote>
  <w:footnote w:type="continuationSeparator" w:id="0">
    <w:p w14:paraId="7C49DB5D" w14:textId="77777777" w:rsidR="00542838" w:rsidRDefault="00542838" w:rsidP="000B50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EA10" w14:textId="77777777" w:rsidR="00B80930" w:rsidRDefault="00B80930" w:rsidP="000B5016">
    <w:pPr>
      <w:pStyle w:val="Header"/>
      <w:jc w:val="center"/>
    </w:pPr>
    <w:r w:rsidRPr="00234E37">
      <w:rPr>
        <w:noProof/>
        <w:lang w:val="en-US"/>
      </w:rPr>
      <w:drawing>
        <wp:inline distT="0" distB="0" distL="0" distR="0" wp14:anchorId="2CA10018" wp14:editId="378D5543">
          <wp:extent cx="2026920" cy="754465"/>
          <wp:effectExtent l="25400" t="0" r="5080" b="0"/>
          <wp:docPr id="2" name="Picture 2" descr="MacBook HD:Users:Ava:Desktop:Screen Shot 2015-10-26 at 4.52.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HD:Users:Ava:Desktop:Screen Shot 2015-10-26 at 4.52.35 PM.png"/>
                  <pic:cNvPicPr>
                    <a:picLocks noChangeAspect="1" noChangeArrowheads="1"/>
                  </pic:cNvPicPr>
                </pic:nvPicPr>
                <pic:blipFill>
                  <a:blip r:embed="rId1"/>
                  <a:srcRect/>
                  <a:stretch>
                    <a:fillRect/>
                  </a:stretch>
                </pic:blipFill>
                <pic:spPr bwMode="auto">
                  <a:xfrm>
                    <a:off x="0" y="0"/>
                    <a:ext cx="2026920" cy="754465"/>
                  </a:xfrm>
                  <a:prstGeom prst="rect">
                    <a:avLst/>
                  </a:prstGeom>
                  <a:noFill/>
                  <a:ln w="9525">
                    <a:noFill/>
                    <a:miter lim="800000"/>
                    <a:headEnd/>
                    <a:tailEnd/>
                  </a:ln>
                </pic:spPr>
              </pic:pic>
            </a:graphicData>
          </a:graphic>
        </wp:inline>
      </w:drawing>
    </w:r>
  </w:p>
  <w:p w14:paraId="251D5BA7" w14:textId="77777777" w:rsidR="00B80930" w:rsidRDefault="00B80930" w:rsidP="000B5016">
    <w:pPr>
      <w:pStyle w:val="Header"/>
    </w:pPr>
    <w:r>
      <w:t>_________________________________________________________________________________________________________</w:t>
    </w:r>
  </w:p>
  <w:p w14:paraId="7251E89C" w14:textId="77777777" w:rsidR="00B80930" w:rsidRDefault="00B8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00A"/>
    <w:multiLevelType w:val="hybridMultilevel"/>
    <w:tmpl w:val="F4A4CB82"/>
    <w:lvl w:ilvl="0" w:tplc="77927B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D00"/>
    <w:multiLevelType w:val="multilevel"/>
    <w:tmpl w:val="3B0A7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A7F56"/>
    <w:multiLevelType w:val="hybridMultilevel"/>
    <w:tmpl w:val="A3A2F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B122F"/>
    <w:multiLevelType w:val="hybridMultilevel"/>
    <w:tmpl w:val="9DB2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B63ED"/>
    <w:multiLevelType w:val="hybridMultilevel"/>
    <w:tmpl w:val="B4C44B88"/>
    <w:lvl w:ilvl="0" w:tplc="77927B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25A14"/>
    <w:multiLevelType w:val="multilevel"/>
    <w:tmpl w:val="F18E9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1605C2"/>
    <w:multiLevelType w:val="hybridMultilevel"/>
    <w:tmpl w:val="3B0A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57C84"/>
    <w:multiLevelType w:val="multilevel"/>
    <w:tmpl w:val="634CE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6"/>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B2"/>
    <w:rsid w:val="00021AA7"/>
    <w:rsid w:val="000223C0"/>
    <w:rsid w:val="0003364B"/>
    <w:rsid w:val="00083130"/>
    <w:rsid w:val="000B5016"/>
    <w:rsid w:val="00115DAD"/>
    <w:rsid w:val="0014188F"/>
    <w:rsid w:val="003443AF"/>
    <w:rsid w:val="00420EC1"/>
    <w:rsid w:val="00436C7D"/>
    <w:rsid w:val="005206B2"/>
    <w:rsid w:val="00522397"/>
    <w:rsid w:val="005313DE"/>
    <w:rsid w:val="0054084D"/>
    <w:rsid w:val="00542838"/>
    <w:rsid w:val="006044C8"/>
    <w:rsid w:val="0073257C"/>
    <w:rsid w:val="0093520C"/>
    <w:rsid w:val="00946017"/>
    <w:rsid w:val="00971081"/>
    <w:rsid w:val="009963FE"/>
    <w:rsid w:val="009F0C8B"/>
    <w:rsid w:val="00AF0554"/>
    <w:rsid w:val="00B80930"/>
    <w:rsid w:val="00C74AAC"/>
    <w:rsid w:val="00DC7537"/>
    <w:rsid w:val="00F5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D6D2B"/>
  <w15:docId w15:val="{39E3D209-9442-7A4B-A86E-4B233AA1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B5016"/>
    <w:pPr>
      <w:tabs>
        <w:tab w:val="center" w:pos="4320"/>
        <w:tab w:val="right" w:pos="8640"/>
      </w:tabs>
      <w:spacing w:line="240" w:lineRule="auto"/>
    </w:pPr>
  </w:style>
  <w:style w:type="character" w:customStyle="1" w:styleId="HeaderChar">
    <w:name w:val="Header Char"/>
    <w:basedOn w:val="DefaultParagraphFont"/>
    <w:link w:val="Header"/>
    <w:uiPriority w:val="99"/>
    <w:rsid w:val="000B5016"/>
  </w:style>
  <w:style w:type="paragraph" w:styleId="Footer">
    <w:name w:val="footer"/>
    <w:basedOn w:val="Normal"/>
    <w:link w:val="FooterChar"/>
    <w:uiPriority w:val="99"/>
    <w:unhideWhenUsed/>
    <w:rsid w:val="000B5016"/>
    <w:pPr>
      <w:tabs>
        <w:tab w:val="center" w:pos="4320"/>
        <w:tab w:val="right" w:pos="8640"/>
      </w:tabs>
      <w:spacing w:line="240" w:lineRule="auto"/>
    </w:pPr>
  </w:style>
  <w:style w:type="character" w:customStyle="1" w:styleId="FooterChar">
    <w:name w:val="Footer Char"/>
    <w:basedOn w:val="DefaultParagraphFont"/>
    <w:link w:val="Footer"/>
    <w:uiPriority w:val="99"/>
    <w:rsid w:val="000B5016"/>
  </w:style>
  <w:style w:type="paragraph" w:styleId="BalloonText">
    <w:name w:val="Balloon Text"/>
    <w:basedOn w:val="Normal"/>
    <w:link w:val="BalloonTextChar"/>
    <w:uiPriority w:val="99"/>
    <w:semiHidden/>
    <w:unhideWhenUsed/>
    <w:rsid w:val="000B501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016"/>
    <w:rPr>
      <w:rFonts w:ascii="Lucida Grande" w:hAnsi="Lucida Grande" w:cs="Lucida Grande"/>
      <w:sz w:val="18"/>
      <w:szCs w:val="18"/>
    </w:rPr>
  </w:style>
  <w:style w:type="character" w:styleId="Hyperlink">
    <w:name w:val="Hyperlink"/>
    <w:basedOn w:val="DefaultParagraphFont"/>
    <w:uiPriority w:val="99"/>
    <w:unhideWhenUsed/>
    <w:rsid w:val="0014188F"/>
    <w:rPr>
      <w:color w:val="0000FF" w:themeColor="hyperlink"/>
      <w:u w:val="single"/>
    </w:rPr>
  </w:style>
  <w:style w:type="paragraph" w:styleId="Revision">
    <w:name w:val="Revision"/>
    <w:hidden/>
    <w:uiPriority w:val="99"/>
    <w:semiHidden/>
    <w:rsid w:val="0003364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64853">
      <w:bodyDiv w:val="1"/>
      <w:marLeft w:val="0"/>
      <w:marRight w:val="0"/>
      <w:marTop w:val="0"/>
      <w:marBottom w:val="0"/>
      <w:divBdr>
        <w:top w:val="none" w:sz="0" w:space="0" w:color="auto"/>
        <w:left w:val="none" w:sz="0" w:space="0" w:color="auto"/>
        <w:bottom w:val="none" w:sz="0" w:space="0" w:color="auto"/>
        <w:right w:val="none" w:sz="0" w:space="0" w:color="auto"/>
      </w:divBdr>
    </w:div>
    <w:div w:id="192186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2019-09-10T00:31:00Z</dcterms:created>
  <dcterms:modified xsi:type="dcterms:W3CDTF">2019-09-10T00:31:00Z</dcterms:modified>
</cp:coreProperties>
</file>