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55" w:rsidRPr="00A41E55" w:rsidRDefault="00A41E55" w:rsidP="00A41E55">
      <w:pPr>
        <w:ind w:left="36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41E55">
        <w:rPr>
          <w:b/>
          <w:sz w:val="28"/>
          <w:szCs w:val="28"/>
          <w:u w:val="single"/>
        </w:rPr>
        <w:t>AVARNA Group Resources</w:t>
      </w:r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41E55">
        <w:rPr>
          <w:rFonts w:ascii="Arial" w:eastAsia="Times New Roman" w:hAnsi="Arial" w:cs="Arial"/>
          <w:color w:val="222222"/>
          <w:sz w:val="24"/>
          <w:szCs w:val="24"/>
        </w:rPr>
        <w:t>Avarna</w:t>
      </w:r>
      <w:proofErr w:type="spellEnd"/>
      <w:r w:rsidRPr="00A41E55">
        <w:rPr>
          <w:rFonts w:ascii="Arial" w:eastAsia="Times New Roman" w:hAnsi="Arial" w:cs="Arial"/>
          <w:color w:val="222222"/>
          <w:sz w:val="24"/>
          <w:szCs w:val="24"/>
        </w:rPr>
        <w:t> blog post about the </w:t>
      </w:r>
      <w:hyperlink r:id="rId5" w:tgtFrame="_blank" w:history="1">
        <w:r w:rsidRPr="00A41E5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value of white affinity spaces</w:t>
        </w:r>
      </w:hyperlink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A41E55">
        <w:rPr>
          <w:rFonts w:ascii="Arial" w:eastAsia="Times New Roman" w:hAnsi="Arial" w:cs="Arial"/>
          <w:color w:val="222222"/>
          <w:sz w:val="24"/>
          <w:szCs w:val="24"/>
        </w:rPr>
        <w:t>Article about the history of the enviro movement (it's recent and very concise) </w:t>
      </w:r>
      <w:hyperlink r:id="rId6" w:tgtFrame="_blank" w:history="1">
        <w:r w:rsidRPr="00A41E5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https://www.vice.com/en_us/article/bjwvn8/the-environmental-movement-needs-to-reckon-with-its-racist-history</w:t>
        </w:r>
      </w:hyperlink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A41E55">
        <w:rPr>
          <w:rFonts w:ascii="Arial" w:eastAsia="Times New Roman" w:hAnsi="Arial" w:cs="Arial"/>
          <w:color w:val="222222"/>
          <w:sz w:val="24"/>
          <w:szCs w:val="24"/>
        </w:rPr>
        <w:t>Article on conservation &amp; anti-immigration sentiments: </w:t>
      </w:r>
      <w:hyperlink r:id="rId7" w:tgtFrame="_blank" w:history="1">
        <w:r w:rsidRPr="00A41E5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https://www.theguardian.com/environment/2019/aug/15/anti?fbclid=IwAR0aX7Gk9u45JjhRn31SUucqKS4XaqJ8diR804cmhehRqyKb3gYRuiZkBUQ</w:t>
        </w:r>
      </w:hyperlink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A41E55">
        <w:rPr>
          <w:rFonts w:ascii="Arial" w:eastAsia="Times New Roman" w:hAnsi="Arial" w:cs="Arial"/>
          <w:color w:val="222222"/>
          <w:sz w:val="24"/>
          <w:szCs w:val="24"/>
        </w:rPr>
        <w:t>White Fragility article: </w:t>
      </w:r>
      <w:hyperlink r:id="rId8" w:tgtFrame="_blank" w:history="1">
        <w:r w:rsidRPr="00A41E5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https://www.uua.org/sites/live-new.uua.org/files/diangelo-white_fragility_and_the_rules_of_engagement.pdf</w:t>
        </w:r>
      </w:hyperlink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A41E55">
        <w:rPr>
          <w:rFonts w:ascii="Arial" w:eastAsia="Times New Roman" w:hAnsi="Arial" w:cs="Arial"/>
          <w:color w:val="222222"/>
          <w:sz w:val="24"/>
          <w:szCs w:val="24"/>
        </w:rPr>
        <w:t xml:space="preserve">White Fragility the book (by Robin </w:t>
      </w:r>
      <w:proofErr w:type="spellStart"/>
      <w:r w:rsidRPr="00A41E55">
        <w:rPr>
          <w:rFonts w:ascii="Arial" w:eastAsia="Times New Roman" w:hAnsi="Arial" w:cs="Arial"/>
          <w:color w:val="222222"/>
          <w:sz w:val="24"/>
          <w:szCs w:val="24"/>
        </w:rPr>
        <w:t>DiAngelo</w:t>
      </w:r>
      <w:proofErr w:type="spellEnd"/>
      <w:r w:rsidRPr="00A41E55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A41E55">
        <w:rPr>
          <w:rFonts w:ascii="Arial" w:eastAsia="Times New Roman" w:hAnsi="Arial" w:cs="Arial"/>
          <w:color w:val="222222"/>
          <w:sz w:val="24"/>
          <w:szCs w:val="24"/>
        </w:rPr>
        <w:t xml:space="preserve">How to be an Antiracist (by </w:t>
      </w:r>
      <w:proofErr w:type="spellStart"/>
      <w:r w:rsidRPr="00A41E55">
        <w:rPr>
          <w:rFonts w:ascii="Arial" w:eastAsia="Times New Roman" w:hAnsi="Arial" w:cs="Arial"/>
          <w:color w:val="222222"/>
          <w:sz w:val="24"/>
          <w:szCs w:val="24"/>
        </w:rPr>
        <w:t>Ibram</w:t>
      </w:r>
      <w:proofErr w:type="spellEnd"/>
      <w:r w:rsidRPr="00A41E55">
        <w:rPr>
          <w:rFonts w:ascii="Arial" w:eastAsia="Times New Roman" w:hAnsi="Arial" w:cs="Arial"/>
          <w:color w:val="222222"/>
          <w:sz w:val="24"/>
          <w:szCs w:val="24"/>
        </w:rPr>
        <w:t xml:space="preserve"> X. </w:t>
      </w:r>
      <w:proofErr w:type="spellStart"/>
      <w:r w:rsidRPr="00A41E55">
        <w:rPr>
          <w:rFonts w:ascii="Arial" w:eastAsia="Times New Roman" w:hAnsi="Arial" w:cs="Arial"/>
          <w:color w:val="222222"/>
          <w:sz w:val="24"/>
          <w:szCs w:val="24"/>
        </w:rPr>
        <w:t>Kendi</w:t>
      </w:r>
      <w:proofErr w:type="spellEnd"/>
      <w:r w:rsidRPr="00A41E55">
        <w:rPr>
          <w:rFonts w:ascii="Arial" w:eastAsia="Times New Roman" w:hAnsi="Arial" w:cs="Arial"/>
          <w:color w:val="222222"/>
          <w:sz w:val="24"/>
          <w:szCs w:val="24"/>
        </w:rPr>
        <w:t>) </w:t>
      </w:r>
    </w:p>
    <w:p w:rsidR="00A41E55" w:rsidRPr="00A41E55" w:rsidRDefault="00A41E55" w:rsidP="00A41E5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A41E55">
        <w:rPr>
          <w:rFonts w:ascii="Arial" w:eastAsia="Times New Roman" w:hAnsi="Arial" w:cs="Arial"/>
          <w:color w:val="222222"/>
          <w:sz w:val="24"/>
          <w:szCs w:val="24"/>
        </w:rPr>
        <w:t>Holistic public lands history and curriculum (by the </w:t>
      </w:r>
      <w:proofErr w:type="spellStart"/>
      <w:r w:rsidRPr="00A41E55">
        <w:rPr>
          <w:rFonts w:ascii="Arial" w:eastAsia="Times New Roman" w:hAnsi="Arial" w:cs="Arial"/>
          <w:color w:val="222222"/>
          <w:sz w:val="24"/>
          <w:szCs w:val="24"/>
        </w:rPr>
        <w:t>Avarna</w:t>
      </w:r>
      <w:proofErr w:type="spellEnd"/>
      <w:r w:rsidRPr="00A41E55">
        <w:rPr>
          <w:rFonts w:ascii="Arial" w:eastAsia="Times New Roman" w:hAnsi="Arial" w:cs="Arial"/>
          <w:color w:val="222222"/>
          <w:sz w:val="24"/>
          <w:szCs w:val="24"/>
        </w:rPr>
        <w:t> Group and the Wilderness Society): </w:t>
      </w:r>
      <w:hyperlink r:id="rId9" w:tgtFrame="_blank" w:history="1">
        <w:r w:rsidRPr="00A41E5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https://www.wilderness.org/articles/article/public-lands-united-states-curriculum</w:t>
        </w:r>
      </w:hyperlink>
    </w:p>
    <w:p w:rsidR="00A41E55" w:rsidRDefault="00A41E55" w:rsidP="00A41E55"/>
    <w:p w:rsidR="00A41E55" w:rsidRDefault="00A41E55" w:rsidP="00A41E55"/>
    <w:sectPr w:rsidR="00A4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6160"/>
    <w:multiLevelType w:val="hybridMultilevel"/>
    <w:tmpl w:val="D0C8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153DC"/>
    <w:multiLevelType w:val="multilevel"/>
    <w:tmpl w:val="CB26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55"/>
    <w:rsid w:val="00A41E55"/>
    <w:rsid w:val="00D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FE59"/>
  <w15:chartTrackingRefBased/>
  <w15:docId w15:val="{10C440F8-861B-446A-86FD-5CB2A1D7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41E55"/>
  </w:style>
  <w:style w:type="character" w:styleId="Hyperlink">
    <w:name w:val="Hyperlink"/>
    <w:basedOn w:val="DefaultParagraphFont"/>
    <w:uiPriority w:val="99"/>
    <w:semiHidden/>
    <w:unhideWhenUsed/>
    <w:rsid w:val="00A41E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ua.org/sites/live-new.uua.org/files/diangelo-white_fragility_and_the_rules_of_engagem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environment/2019/aug/15/anti?fbclid=IwAR0aX7Gk9u45JjhRn31SUucqKS4XaqJ8diR804cmhehRqyKb3gYRuiZkB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ce.com/en_us/article/bjwvn8/the-environmental-movement-needs-to-reckon-with-its-racist-histo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eavarnagroup.com/2019/09/20/the-role-of-white-affinity-spaces-in-anti-racism-wor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lderness.org/articles/article/public-lands-united-states-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Esparza</dc:creator>
  <cp:keywords/>
  <dc:description/>
  <cp:lastModifiedBy>Andres Esparza</cp:lastModifiedBy>
  <cp:revision>1</cp:revision>
  <dcterms:created xsi:type="dcterms:W3CDTF">2019-09-23T22:06:00Z</dcterms:created>
  <dcterms:modified xsi:type="dcterms:W3CDTF">2019-09-23T22:07:00Z</dcterms:modified>
</cp:coreProperties>
</file>