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C1E975" w14:textId="3A72CCB0" w:rsidR="000C2796" w:rsidRPr="00E2315B" w:rsidRDefault="009229F4" w:rsidP="001C3E9A">
      <w:pPr>
        <w:pStyle w:val="Heading1"/>
        <w:jc w:val="center"/>
        <w:rPr>
          <w:sz w:val="48"/>
          <w:szCs w:val="48"/>
        </w:rPr>
      </w:pPr>
      <w:r w:rsidRPr="00E2315B">
        <w:rPr>
          <w:sz w:val="48"/>
          <w:szCs w:val="48"/>
        </w:rPr>
        <w:t>PROVINCIAL ELECTION FINANCE</w:t>
      </w:r>
      <w:r>
        <w:rPr>
          <w:sz w:val="48"/>
          <w:szCs w:val="48"/>
        </w:rPr>
        <w:t>S</w:t>
      </w:r>
      <w:r w:rsidR="006E4C0C" w:rsidRPr="00E2315B">
        <w:rPr>
          <w:sz w:val="48"/>
          <w:szCs w:val="48"/>
        </w:rPr>
        <w:t xml:space="preserve"> </w:t>
      </w:r>
    </w:p>
    <w:p w14:paraId="0E7E6E31" w14:textId="77777777" w:rsidR="006B1AAC" w:rsidRDefault="006B1AAC" w:rsidP="006E4C0C"/>
    <w:p w14:paraId="1234AA7B" w14:textId="77777777" w:rsidR="006B1AAC" w:rsidRDefault="006B1AAC" w:rsidP="006E4C0C"/>
    <w:p w14:paraId="0A556C85" w14:textId="5CDC8058" w:rsidR="006E4C0C" w:rsidRDefault="006E4C0C" w:rsidP="006E4C0C">
      <w:r>
        <w:t>Legislation that took effect on January 1, 2017</w:t>
      </w:r>
      <w:r w:rsidR="003E70E8">
        <w:rPr>
          <w:rStyle w:val="FootnoteReference"/>
        </w:rPr>
        <w:footnoteReference w:id="1"/>
      </w:r>
      <w:r>
        <w:t xml:space="preserve"> introduces a number of changes to Ontario election finance</w:t>
      </w:r>
      <w:r w:rsidR="00D8222D">
        <w:t>s</w:t>
      </w:r>
      <w:r>
        <w:t xml:space="preserve"> law, including with respect to political donations and third party advertising.</w:t>
      </w:r>
      <w:r w:rsidR="004E25E0">
        <w:t xml:space="preserve"> The changes have implications for ETFO</w:t>
      </w:r>
      <w:r w:rsidR="00D8222D">
        <w:t>,</w:t>
      </w:r>
      <w:r w:rsidR="004E25E0">
        <w:t xml:space="preserve"> its </w:t>
      </w:r>
      <w:r w:rsidR="00D8222D">
        <w:t xml:space="preserve">locals and </w:t>
      </w:r>
      <w:r w:rsidR="004E25E0">
        <w:t>members.</w:t>
      </w:r>
    </w:p>
    <w:p w14:paraId="50D56384" w14:textId="14548A97" w:rsidR="006E4C0C" w:rsidRDefault="006E4C0C" w:rsidP="006E4C0C">
      <w:r>
        <w:t xml:space="preserve"> </w:t>
      </w:r>
    </w:p>
    <w:p w14:paraId="4304B692" w14:textId="5D0840DD" w:rsidR="006E4C0C" w:rsidRDefault="001E2890" w:rsidP="006E4C0C">
      <w:pPr>
        <w:pStyle w:val="Heading2"/>
      </w:pPr>
      <w:r>
        <w:t>POLITICAL CONTRIBUTIONS</w:t>
      </w:r>
    </w:p>
    <w:p w14:paraId="0FAE06F0" w14:textId="679E59F1" w:rsidR="006E4C0C" w:rsidRDefault="00397776" w:rsidP="006E4C0C">
      <w:r>
        <w:t>The new rules ban</w:t>
      </w:r>
      <w:r w:rsidR="006E4C0C">
        <w:t xml:space="preserve"> both unions and corporations from making political donations. The ban covers donations to political parties, constituency associations, party candidates and </w:t>
      </w:r>
      <w:r w:rsidR="004E25E0">
        <w:t>nomination contestants.</w:t>
      </w:r>
    </w:p>
    <w:p w14:paraId="2DCE02BB" w14:textId="534B822B" w:rsidR="00BF616A" w:rsidRDefault="00BF616A" w:rsidP="006E4C0C"/>
    <w:p w14:paraId="12CD9B58" w14:textId="7DB1F11F" w:rsidR="00BF616A" w:rsidRDefault="00BF616A" w:rsidP="006E4C0C">
      <w:r>
        <w:t>Only individuals can don</w:t>
      </w:r>
      <w:r w:rsidR="00397776">
        <w:t>ate to political parties and amended election finance rules have reduced</w:t>
      </w:r>
      <w:r>
        <w:t xml:space="preserve"> annual donation levels.</w:t>
      </w:r>
    </w:p>
    <w:p w14:paraId="1CFE3C87" w14:textId="6064C9CD" w:rsidR="004E25E0" w:rsidRDefault="004E25E0" w:rsidP="006E4C0C"/>
    <w:p w14:paraId="30D8EF17" w14:textId="6B68DFD9" w:rsidR="001E2890" w:rsidRDefault="001E2890" w:rsidP="001E2890">
      <w:pPr>
        <w:pStyle w:val="Heading2"/>
      </w:pPr>
      <w:r>
        <w:t>Implications for ETFO</w:t>
      </w:r>
    </w:p>
    <w:p w14:paraId="095D099C" w14:textId="77777777" w:rsidR="00E64524" w:rsidRDefault="001E2890" w:rsidP="006E4C0C">
      <w:r>
        <w:t>ETFO and its locals can no longer make political donations or purchase tickets to a political fundraiser.</w:t>
      </w:r>
      <w:r w:rsidR="00A019E7">
        <w:t xml:space="preserve"> </w:t>
      </w:r>
    </w:p>
    <w:p w14:paraId="47BC2884" w14:textId="777D07DF" w:rsidR="00E64524" w:rsidRDefault="00E64524" w:rsidP="006E4C0C"/>
    <w:p w14:paraId="72976E0E" w14:textId="247B6C2A" w:rsidR="00FB19C8" w:rsidRDefault="00FB19C8" w:rsidP="00FB19C8">
      <w:r>
        <w:t xml:space="preserve">Neither ETFO nor its locals can hold a fundraiser for a candidate </w:t>
      </w:r>
      <w:r w:rsidR="006B1AAC">
        <w:t>under any circumstances</w:t>
      </w:r>
      <w:r>
        <w:t>.</w:t>
      </w:r>
      <w:r w:rsidR="006B1AAC">
        <w:t xml:space="preserve"> </w:t>
      </w:r>
    </w:p>
    <w:p w14:paraId="12A3E642" w14:textId="77777777" w:rsidR="00FB19C8" w:rsidRDefault="00FB19C8" w:rsidP="006E4C0C"/>
    <w:p w14:paraId="0ECA8E77" w14:textId="78CC7CD9" w:rsidR="001E2890" w:rsidRDefault="001E2890" w:rsidP="001E2890">
      <w:pPr>
        <w:pStyle w:val="Heading2"/>
        <w:rPr>
          <w:b w:val="0"/>
        </w:rPr>
      </w:pPr>
      <w:r>
        <w:t>Implications for ETFO members</w:t>
      </w:r>
    </w:p>
    <w:p w14:paraId="57DE9C0C" w14:textId="4F71C54F" w:rsidR="001E2890" w:rsidRDefault="00BF616A" w:rsidP="001E2890">
      <w:r>
        <w:t>ETFO members can have an impact through supporting the political parties of their choice through making donations. The guidelines for annual contributions are as follows:</w:t>
      </w:r>
    </w:p>
    <w:p w14:paraId="5AAB37CC" w14:textId="75886D9D" w:rsidR="00BF616A" w:rsidRDefault="00BF616A" w:rsidP="001E2890"/>
    <w:tbl>
      <w:tblPr>
        <w:tblStyle w:val="PlainTable11"/>
        <w:tblW w:w="0" w:type="auto"/>
        <w:tblLook w:val="04A0" w:firstRow="1" w:lastRow="0" w:firstColumn="1" w:lastColumn="0" w:noHBand="0" w:noVBand="1"/>
      </w:tblPr>
      <w:tblGrid>
        <w:gridCol w:w="5382"/>
        <w:gridCol w:w="2556"/>
      </w:tblGrid>
      <w:tr w:rsidR="00BF616A" w14:paraId="5BA2EBC5" w14:textId="77777777" w:rsidTr="009F76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2" w:type="dxa"/>
          </w:tcPr>
          <w:p w14:paraId="6A0E0D1E" w14:textId="4BA43352" w:rsidR="00FB19C8" w:rsidRPr="00BF616A" w:rsidRDefault="00BF616A" w:rsidP="00065567">
            <w:pPr>
              <w:jc w:val="center"/>
              <w:rPr>
                <w:sz w:val="22"/>
                <w:szCs w:val="22"/>
              </w:rPr>
            </w:pPr>
            <w:r>
              <w:rPr>
                <w:sz w:val="22"/>
                <w:szCs w:val="22"/>
              </w:rPr>
              <w:t>Donation Category</w:t>
            </w:r>
          </w:p>
        </w:tc>
        <w:tc>
          <w:tcPr>
            <w:tcW w:w="2556" w:type="dxa"/>
          </w:tcPr>
          <w:p w14:paraId="381A14F6" w14:textId="58916452" w:rsidR="00BF616A" w:rsidRPr="00D23CE0" w:rsidRDefault="00BF616A" w:rsidP="00BF616A">
            <w:pPr>
              <w:jc w:val="center"/>
              <w:cnfStyle w:val="100000000000" w:firstRow="1" w:lastRow="0" w:firstColumn="0" w:lastColumn="0" w:oddVBand="0" w:evenVBand="0" w:oddHBand="0" w:evenHBand="0" w:firstRowFirstColumn="0" w:firstRowLastColumn="0" w:lastRowFirstColumn="0" w:lastRowLastColumn="0"/>
              <w:rPr>
                <w:sz w:val="22"/>
                <w:szCs w:val="22"/>
              </w:rPr>
            </w:pPr>
            <w:r w:rsidRPr="00D23CE0">
              <w:rPr>
                <w:sz w:val="22"/>
                <w:szCs w:val="22"/>
              </w:rPr>
              <w:t>Annual Limit</w:t>
            </w:r>
          </w:p>
        </w:tc>
      </w:tr>
      <w:tr w:rsidR="00BF616A" w14:paraId="55E401DD" w14:textId="77777777" w:rsidTr="00536C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2" w:type="dxa"/>
            <w:shd w:val="clear" w:color="auto" w:fill="D5DCE4" w:themeFill="text2" w:themeFillTint="33"/>
          </w:tcPr>
          <w:p w14:paraId="143BCC92" w14:textId="75480CF9" w:rsidR="00BF616A" w:rsidRPr="00BF616A" w:rsidRDefault="00BF616A" w:rsidP="00BF616A">
            <w:pPr>
              <w:rPr>
                <w:b w:val="0"/>
                <w:sz w:val="22"/>
                <w:szCs w:val="22"/>
              </w:rPr>
            </w:pPr>
            <w:r>
              <w:rPr>
                <w:b w:val="0"/>
                <w:sz w:val="22"/>
                <w:szCs w:val="22"/>
              </w:rPr>
              <w:t>Registered political party</w:t>
            </w:r>
          </w:p>
        </w:tc>
        <w:tc>
          <w:tcPr>
            <w:tcW w:w="2556" w:type="dxa"/>
            <w:shd w:val="clear" w:color="auto" w:fill="D5DCE4" w:themeFill="text2" w:themeFillTint="33"/>
          </w:tcPr>
          <w:p w14:paraId="5523B502" w14:textId="471E437B" w:rsidR="00BF616A" w:rsidRPr="00BF616A" w:rsidRDefault="009F76A4" w:rsidP="00A6517F">
            <w:pPr>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$1,2</w:t>
            </w:r>
            <w:r w:rsidR="00A6517F">
              <w:rPr>
                <w:sz w:val="22"/>
                <w:szCs w:val="22"/>
              </w:rPr>
              <w:t>22</w:t>
            </w:r>
          </w:p>
        </w:tc>
      </w:tr>
      <w:tr w:rsidR="00BF616A" w14:paraId="3EAF009B" w14:textId="77777777" w:rsidTr="009F76A4">
        <w:tc>
          <w:tcPr>
            <w:cnfStyle w:val="001000000000" w:firstRow="0" w:lastRow="0" w:firstColumn="1" w:lastColumn="0" w:oddVBand="0" w:evenVBand="0" w:oddHBand="0" w:evenHBand="0" w:firstRowFirstColumn="0" w:firstRowLastColumn="0" w:lastRowFirstColumn="0" w:lastRowLastColumn="0"/>
            <w:tcW w:w="5382" w:type="dxa"/>
          </w:tcPr>
          <w:p w14:paraId="272869F5" w14:textId="58D8FFEF" w:rsidR="00BF616A" w:rsidRPr="00BF616A" w:rsidRDefault="00BF616A" w:rsidP="001E2890">
            <w:pPr>
              <w:rPr>
                <w:b w:val="0"/>
                <w:sz w:val="22"/>
                <w:szCs w:val="22"/>
              </w:rPr>
            </w:pPr>
            <w:r w:rsidRPr="00BF616A">
              <w:rPr>
                <w:b w:val="0"/>
                <w:sz w:val="22"/>
                <w:szCs w:val="22"/>
              </w:rPr>
              <w:t>Reg</w:t>
            </w:r>
            <w:r>
              <w:rPr>
                <w:b w:val="0"/>
                <w:sz w:val="22"/>
                <w:szCs w:val="22"/>
              </w:rPr>
              <w:t>istered constituency association</w:t>
            </w:r>
            <w:r w:rsidR="00536C40">
              <w:rPr>
                <w:b w:val="0"/>
                <w:sz w:val="22"/>
                <w:szCs w:val="22"/>
              </w:rPr>
              <w:t>s and nomination contestants of a political party</w:t>
            </w:r>
          </w:p>
        </w:tc>
        <w:tc>
          <w:tcPr>
            <w:tcW w:w="2556" w:type="dxa"/>
          </w:tcPr>
          <w:p w14:paraId="54759A58" w14:textId="262B5487" w:rsidR="00BF616A" w:rsidRPr="00BF616A" w:rsidRDefault="009F76A4" w:rsidP="00B16206">
            <w:pPr>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$1,2</w:t>
            </w:r>
            <w:r w:rsidR="00B16206">
              <w:rPr>
                <w:sz w:val="22"/>
                <w:szCs w:val="22"/>
              </w:rPr>
              <w:t>22</w:t>
            </w:r>
          </w:p>
        </w:tc>
      </w:tr>
      <w:tr w:rsidR="00BF616A" w14:paraId="5702EB9E" w14:textId="77777777" w:rsidTr="00536C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2" w:type="dxa"/>
            <w:shd w:val="clear" w:color="auto" w:fill="D9E2F3" w:themeFill="accent1" w:themeFillTint="33"/>
          </w:tcPr>
          <w:p w14:paraId="5AB6FD98" w14:textId="515CD694" w:rsidR="00BF616A" w:rsidRPr="00BF616A" w:rsidRDefault="00BF616A" w:rsidP="00BF616A">
            <w:pPr>
              <w:rPr>
                <w:b w:val="0"/>
                <w:sz w:val="22"/>
                <w:szCs w:val="22"/>
              </w:rPr>
            </w:pPr>
            <w:r>
              <w:rPr>
                <w:b w:val="0"/>
                <w:sz w:val="22"/>
                <w:szCs w:val="22"/>
              </w:rPr>
              <w:t>Registered candidates of a political party</w:t>
            </w:r>
          </w:p>
        </w:tc>
        <w:tc>
          <w:tcPr>
            <w:tcW w:w="2556" w:type="dxa"/>
            <w:shd w:val="clear" w:color="auto" w:fill="D9E2F3" w:themeFill="accent1" w:themeFillTint="33"/>
          </w:tcPr>
          <w:p w14:paraId="392B8E68" w14:textId="7BB619C6" w:rsidR="00BF616A" w:rsidRPr="00BF616A" w:rsidRDefault="009F76A4" w:rsidP="00B16206">
            <w:pPr>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$1,2</w:t>
            </w:r>
            <w:r w:rsidR="00B16206">
              <w:rPr>
                <w:sz w:val="22"/>
                <w:szCs w:val="22"/>
              </w:rPr>
              <w:t>22</w:t>
            </w:r>
            <w:r w:rsidR="00A16374">
              <w:rPr>
                <w:sz w:val="22"/>
                <w:szCs w:val="22"/>
              </w:rPr>
              <w:t>*</w:t>
            </w:r>
          </w:p>
        </w:tc>
      </w:tr>
      <w:tr w:rsidR="00BF616A" w14:paraId="31BE3CAC" w14:textId="77777777" w:rsidTr="00536C40">
        <w:tc>
          <w:tcPr>
            <w:cnfStyle w:val="001000000000" w:firstRow="0" w:lastRow="0" w:firstColumn="1" w:lastColumn="0" w:oddVBand="0" w:evenVBand="0" w:oddHBand="0" w:evenHBand="0" w:firstRowFirstColumn="0" w:firstRowLastColumn="0" w:lastRowFirstColumn="0" w:lastRowLastColumn="0"/>
            <w:tcW w:w="5382" w:type="dxa"/>
            <w:shd w:val="clear" w:color="auto" w:fill="FFFFFF" w:themeFill="background1"/>
          </w:tcPr>
          <w:p w14:paraId="033CD95A" w14:textId="0FAECA65" w:rsidR="00BF616A" w:rsidRPr="00BF616A" w:rsidRDefault="009F76A4" w:rsidP="00BF616A">
            <w:pPr>
              <w:rPr>
                <w:b w:val="0"/>
                <w:sz w:val="22"/>
                <w:szCs w:val="22"/>
              </w:rPr>
            </w:pPr>
            <w:r>
              <w:rPr>
                <w:b w:val="0"/>
                <w:sz w:val="22"/>
                <w:szCs w:val="22"/>
              </w:rPr>
              <w:t>All candidates not endorsed by a registered political party</w:t>
            </w:r>
          </w:p>
        </w:tc>
        <w:tc>
          <w:tcPr>
            <w:tcW w:w="2556" w:type="dxa"/>
            <w:shd w:val="clear" w:color="auto" w:fill="FFFFFF" w:themeFill="background1"/>
          </w:tcPr>
          <w:p w14:paraId="506AF177" w14:textId="10E41839" w:rsidR="00BF616A" w:rsidRPr="00BF616A" w:rsidRDefault="009F76A4" w:rsidP="00B16206">
            <w:pPr>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$1,2</w:t>
            </w:r>
            <w:r w:rsidR="00B16206">
              <w:rPr>
                <w:sz w:val="22"/>
                <w:szCs w:val="22"/>
              </w:rPr>
              <w:t>22</w:t>
            </w:r>
          </w:p>
        </w:tc>
      </w:tr>
      <w:tr w:rsidR="00A16374" w14:paraId="2EA9B61E" w14:textId="77777777" w:rsidTr="00A163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2" w:type="dxa"/>
            <w:shd w:val="clear" w:color="auto" w:fill="D5DCE4" w:themeFill="text2" w:themeFillTint="33"/>
          </w:tcPr>
          <w:p w14:paraId="24D87CCC" w14:textId="21E63A22" w:rsidR="00A16374" w:rsidRPr="00A16374" w:rsidRDefault="00A16374" w:rsidP="00A16374">
            <w:pPr>
              <w:rPr>
                <w:b w:val="0"/>
                <w:sz w:val="22"/>
                <w:szCs w:val="22"/>
              </w:rPr>
            </w:pPr>
            <w:r>
              <w:rPr>
                <w:b w:val="0"/>
                <w:sz w:val="22"/>
                <w:szCs w:val="22"/>
              </w:rPr>
              <w:t xml:space="preserve">Leadership contestants during a leadership contest </w:t>
            </w:r>
          </w:p>
        </w:tc>
        <w:tc>
          <w:tcPr>
            <w:tcW w:w="2556" w:type="dxa"/>
            <w:shd w:val="clear" w:color="auto" w:fill="D5DCE4" w:themeFill="text2" w:themeFillTint="33"/>
          </w:tcPr>
          <w:p w14:paraId="203865E5" w14:textId="2D83EE67" w:rsidR="00A16374" w:rsidRDefault="00A16374" w:rsidP="00B16206">
            <w:pPr>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$1,2</w:t>
            </w:r>
            <w:r w:rsidR="00B16206">
              <w:rPr>
                <w:sz w:val="22"/>
                <w:szCs w:val="22"/>
              </w:rPr>
              <w:t>22</w:t>
            </w:r>
          </w:p>
        </w:tc>
      </w:tr>
    </w:tbl>
    <w:p w14:paraId="471A69FF" w14:textId="77777777" w:rsidR="000653C8" w:rsidRDefault="000653C8" w:rsidP="000653C8">
      <w:pPr>
        <w:spacing w:before="120"/>
        <w:rPr>
          <w:sz w:val="20"/>
          <w:szCs w:val="20"/>
        </w:rPr>
      </w:pPr>
    </w:p>
    <w:p w14:paraId="5A7295C9" w14:textId="7B4CA9C8" w:rsidR="000653C8" w:rsidRPr="00A16374" w:rsidRDefault="000653C8" w:rsidP="000653C8">
      <w:pPr>
        <w:spacing w:before="120"/>
        <w:rPr>
          <w:sz w:val="20"/>
          <w:szCs w:val="20"/>
        </w:rPr>
      </w:pPr>
      <w:r w:rsidRPr="00A16374">
        <w:rPr>
          <w:sz w:val="20"/>
          <w:szCs w:val="20"/>
        </w:rPr>
        <w:t>*This is the global limit for contributions to all candidates of a particular party, not the limit per candidate.</w:t>
      </w:r>
    </w:p>
    <w:p w14:paraId="1A6A5C37" w14:textId="77777777" w:rsidR="00065567" w:rsidRDefault="00065567" w:rsidP="001E2890"/>
    <w:p w14:paraId="0DE21E71" w14:textId="18DA789D" w:rsidR="00BF616A" w:rsidRDefault="00A16374" w:rsidP="001E2890">
      <w:r>
        <w:t xml:space="preserve">There are no additional contributions during an election campaign period. </w:t>
      </w:r>
      <w:r w:rsidR="00536C40">
        <w:t xml:space="preserve">This means that the annual overall limit for </w:t>
      </w:r>
      <w:r>
        <w:t xml:space="preserve">individual </w:t>
      </w:r>
      <w:r w:rsidR="00536C40">
        <w:t>contributions to a registered political party, its constituency associations and candidates is $3,6</w:t>
      </w:r>
      <w:r w:rsidR="00B16206">
        <w:t>66</w:t>
      </w:r>
      <w:r w:rsidR="00536C40">
        <w:t>.</w:t>
      </w:r>
      <w:r>
        <w:t xml:space="preserve"> </w:t>
      </w:r>
    </w:p>
    <w:p w14:paraId="034DADBF" w14:textId="77777777" w:rsidR="00536C40" w:rsidRPr="00A019E7" w:rsidRDefault="00536C40" w:rsidP="001E2890">
      <w:pPr>
        <w:rPr>
          <w:sz w:val="22"/>
          <w:szCs w:val="22"/>
        </w:rPr>
      </w:pPr>
    </w:p>
    <w:p w14:paraId="4F2D2EEC" w14:textId="5A886F96" w:rsidR="00A16374" w:rsidRDefault="00CC379F" w:rsidP="00E64524">
      <w:r>
        <w:t>Where ETFO members run as provincial candidates, they may contribute up to $5,000 to their own campaign, an amount that will be increased annua</w:t>
      </w:r>
      <w:r w:rsidR="00754643">
        <w:t>l</w:t>
      </w:r>
      <w:r>
        <w:t>l</w:t>
      </w:r>
      <w:r w:rsidR="00754643">
        <w:t>y</w:t>
      </w:r>
      <w:r>
        <w:t xml:space="preserve"> by an indexation factor.</w:t>
      </w:r>
    </w:p>
    <w:p w14:paraId="568192DB" w14:textId="77777777" w:rsidR="00CC379F" w:rsidRDefault="00CC379F" w:rsidP="00E64524"/>
    <w:p w14:paraId="4515E39F" w14:textId="3F987306" w:rsidR="00E64524" w:rsidRPr="001E2890" w:rsidRDefault="00E64524" w:rsidP="00E64524">
      <w:r>
        <w:t>Political donations are subject to Ontario’s political tax credits as follows:</w:t>
      </w:r>
    </w:p>
    <w:p w14:paraId="1204FEA5" w14:textId="77777777" w:rsidR="00E64524" w:rsidRDefault="00E64524" w:rsidP="006E4C0C"/>
    <w:tbl>
      <w:tblPr>
        <w:tblStyle w:val="TableGridLight1"/>
        <w:tblW w:w="0" w:type="auto"/>
        <w:tblLayout w:type="fixed"/>
        <w:tblLook w:val="0000" w:firstRow="0" w:lastRow="0" w:firstColumn="0" w:lastColumn="0" w:noHBand="0" w:noVBand="0"/>
      </w:tblPr>
      <w:tblGrid>
        <w:gridCol w:w="2952"/>
        <w:gridCol w:w="3989"/>
        <w:gridCol w:w="2126"/>
      </w:tblGrid>
      <w:tr w:rsidR="00A37734" w:rsidRPr="005466EA" w14:paraId="54BD3446" w14:textId="77777777" w:rsidTr="00FB19C8">
        <w:tc>
          <w:tcPr>
            <w:tcW w:w="9067" w:type="dxa"/>
            <w:gridSpan w:val="3"/>
          </w:tcPr>
          <w:p w14:paraId="1AA4E5DF" w14:textId="0BC3B72E" w:rsidR="00A37734" w:rsidRPr="00D8222D" w:rsidRDefault="00A37734" w:rsidP="00A37734">
            <w:pPr>
              <w:rPr>
                <w:b/>
              </w:rPr>
            </w:pPr>
            <w:r w:rsidRPr="00D8222D">
              <w:rPr>
                <w:b/>
              </w:rPr>
              <w:t>Contributions to Provincial Political Parties</w:t>
            </w:r>
            <w:r w:rsidR="00A019E7" w:rsidRPr="00D8222D">
              <w:rPr>
                <w:b/>
              </w:rPr>
              <w:t>, Constituency Associations</w:t>
            </w:r>
            <w:r w:rsidRPr="00D8222D">
              <w:rPr>
                <w:b/>
              </w:rPr>
              <w:t xml:space="preserve"> and Candidates</w:t>
            </w:r>
            <w:r w:rsidR="00A019E7" w:rsidRPr="00D8222D">
              <w:rPr>
                <w:b/>
              </w:rPr>
              <w:t>**</w:t>
            </w:r>
          </w:p>
          <w:p w14:paraId="718D4C83" w14:textId="5059A893" w:rsidR="00A37734" w:rsidRPr="00D8222D" w:rsidRDefault="00A37734" w:rsidP="00A37734">
            <w:pPr>
              <w:rPr>
                <w:b/>
                <w:bCs/>
              </w:rPr>
            </w:pPr>
          </w:p>
        </w:tc>
      </w:tr>
      <w:tr w:rsidR="00E64524" w:rsidRPr="005466EA" w14:paraId="46BDC079" w14:textId="77777777" w:rsidTr="00FB19C8">
        <w:tc>
          <w:tcPr>
            <w:tcW w:w="2952" w:type="dxa"/>
            <w:shd w:val="clear" w:color="auto" w:fill="E7E6E6" w:themeFill="background2"/>
          </w:tcPr>
          <w:p w14:paraId="798B56D7" w14:textId="77777777" w:rsidR="00A37734" w:rsidRPr="00D8222D" w:rsidRDefault="00A37734" w:rsidP="00CA2AB0">
            <w:pPr>
              <w:rPr>
                <w:b/>
                <w:bCs/>
                <w:sz w:val="22"/>
                <w:szCs w:val="22"/>
              </w:rPr>
            </w:pPr>
            <w:r w:rsidRPr="00D8222D">
              <w:rPr>
                <w:b/>
                <w:bCs/>
                <w:sz w:val="22"/>
                <w:szCs w:val="22"/>
              </w:rPr>
              <w:t>Total contribution</w:t>
            </w:r>
          </w:p>
        </w:tc>
        <w:tc>
          <w:tcPr>
            <w:tcW w:w="3989" w:type="dxa"/>
            <w:shd w:val="clear" w:color="auto" w:fill="E7E6E6" w:themeFill="background2"/>
          </w:tcPr>
          <w:p w14:paraId="718F6825" w14:textId="77777777" w:rsidR="00A37734" w:rsidRPr="00D8222D" w:rsidRDefault="00A37734" w:rsidP="00CA2AB0">
            <w:pPr>
              <w:rPr>
                <w:b/>
                <w:bCs/>
                <w:sz w:val="22"/>
                <w:szCs w:val="22"/>
              </w:rPr>
            </w:pPr>
            <w:r w:rsidRPr="00D8222D">
              <w:rPr>
                <w:b/>
                <w:bCs/>
                <w:sz w:val="22"/>
                <w:szCs w:val="22"/>
              </w:rPr>
              <w:t>Credit calculation</w:t>
            </w:r>
          </w:p>
        </w:tc>
        <w:tc>
          <w:tcPr>
            <w:tcW w:w="2126" w:type="dxa"/>
            <w:shd w:val="clear" w:color="auto" w:fill="E7E6E6" w:themeFill="background2"/>
          </w:tcPr>
          <w:p w14:paraId="4FCB5662" w14:textId="7CEC638E" w:rsidR="00A37734" w:rsidRPr="00D8222D" w:rsidRDefault="00A37734" w:rsidP="00E15A26">
            <w:pPr>
              <w:rPr>
                <w:b/>
                <w:bCs/>
                <w:sz w:val="22"/>
                <w:szCs w:val="22"/>
              </w:rPr>
            </w:pPr>
            <w:r w:rsidRPr="00D8222D">
              <w:rPr>
                <w:b/>
                <w:bCs/>
                <w:sz w:val="22"/>
                <w:szCs w:val="22"/>
              </w:rPr>
              <w:t xml:space="preserve">Maximum </w:t>
            </w:r>
            <w:r w:rsidR="00E15A26">
              <w:rPr>
                <w:b/>
                <w:bCs/>
                <w:sz w:val="22"/>
                <w:szCs w:val="22"/>
              </w:rPr>
              <w:t>c</w:t>
            </w:r>
            <w:r w:rsidRPr="00D8222D">
              <w:rPr>
                <w:b/>
                <w:bCs/>
                <w:sz w:val="22"/>
                <w:szCs w:val="22"/>
              </w:rPr>
              <w:t>redit</w:t>
            </w:r>
          </w:p>
        </w:tc>
      </w:tr>
      <w:tr w:rsidR="00E64524" w:rsidRPr="005466EA" w14:paraId="2C2F2644" w14:textId="77777777" w:rsidTr="00FB19C8">
        <w:tc>
          <w:tcPr>
            <w:tcW w:w="2952" w:type="dxa"/>
          </w:tcPr>
          <w:p w14:paraId="788DB7BF" w14:textId="77777777" w:rsidR="00A37734" w:rsidRPr="00D8222D" w:rsidRDefault="00A37734" w:rsidP="00CA2AB0">
            <w:pPr>
              <w:rPr>
                <w:sz w:val="22"/>
                <w:szCs w:val="22"/>
              </w:rPr>
            </w:pPr>
            <w:r w:rsidRPr="00D8222D">
              <w:rPr>
                <w:sz w:val="22"/>
                <w:szCs w:val="22"/>
              </w:rPr>
              <w:t>Up to $399</w:t>
            </w:r>
          </w:p>
        </w:tc>
        <w:tc>
          <w:tcPr>
            <w:tcW w:w="3989" w:type="dxa"/>
          </w:tcPr>
          <w:p w14:paraId="6FCF19C3" w14:textId="77777777" w:rsidR="00A37734" w:rsidRPr="00D8222D" w:rsidRDefault="00A37734" w:rsidP="00CA2AB0">
            <w:pPr>
              <w:rPr>
                <w:sz w:val="22"/>
                <w:szCs w:val="22"/>
              </w:rPr>
            </w:pPr>
            <w:r w:rsidRPr="00D8222D">
              <w:rPr>
                <w:sz w:val="22"/>
                <w:szCs w:val="22"/>
              </w:rPr>
              <w:t>75% of contribution</w:t>
            </w:r>
          </w:p>
        </w:tc>
        <w:tc>
          <w:tcPr>
            <w:tcW w:w="2126" w:type="dxa"/>
          </w:tcPr>
          <w:p w14:paraId="12B45BB7" w14:textId="79E0829E" w:rsidR="00A37734" w:rsidRPr="00D8222D" w:rsidRDefault="00A37734" w:rsidP="00A37734">
            <w:pPr>
              <w:rPr>
                <w:sz w:val="22"/>
                <w:szCs w:val="22"/>
              </w:rPr>
            </w:pPr>
            <w:r w:rsidRPr="00D8222D">
              <w:rPr>
                <w:sz w:val="22"/>
                <w:szCs w:val="22"/>
              </w:rPr>
              <w:t>$299</w:t>
            </w:r>
          </w:p>
        </w:tc>
      </w:tr>
      <w:tr w:rsidR="00E64524" w:rsidRPr="005466EA" w14:paraId="3CB608AD" w14:textId="77777777" w:rsidTr="00FB19C8">
        <w:tc>
          <w:tcPr>
            <w:tcW w:w="2952" w:type="dxa"/>
            <w:shd w:val="clear" w:color="auto" w:fill="E7E6E6" w:themeFill="background2"/>
          </w:tcPr>
          <w:p w14:paraId="27DBCDAE" w14:textId="77777777" w:rsidR="00A37734" w:rsidRPr="00D8222D" w:rsidRDefault="00A37734" w:rsidP="00CA2AB0">
            <w:pPr>
              <w:rPr>
                <w:sz w:val="22"/>
                <w:szCs w:val="22"/>
              </w:rPr>
            </w:pPr>
            <w:r w:rsidRPr="00D8222D">
              <w:rPr>
                <w:sz w:val="22"/>
                <w:szCs w:val="22"/>
              </w:rPr>
              <w:t>$399 to $1,330</w:t>
            </w:r>
          </w:p>
        </w:tc>
        <w:tc>
          <w:tcPr>
            <w:tcW w:w="3989" w:type="dxa"/>
            <w:shd w:val="clear" w:color="auto" w:fill="E7E6E6" w:themeFill="background2"/>
          </w:tcPr>
          <w:p w14:paraId="412336DD" w14:textId="763F6A5E" w:rsidR="00A37734" w:rsidRPr="00D8222D" w:rsidRDefault="00A37734" w:rsidP="00A37734">
            <w:pPr>
              <w:rPr>
                <w:sz w:val="22"/>
                <w:szCs w:val="22"/>
              </w:rPr>
            </w:pPr>
            <w:r w:rsidRPr="00D8222D">
              <w:rPr>
                <w:sz w:val="22"/>
                <w:szCs w:val="22"/>
              </w:rPr>
              <w:t>$299 plus 50% of the amount over $372</w:t>
            </w:r>
          </w:p>
        </w:tc>
        <w:tc>
          <w:tcPr>
            <w:tcW w:w="2126" w:type="dxa"/>
            <w:shd w:val="clear" w:color="auto" w:fill="E7E6E6" w:themeFill="background2"/>
          </w:tcPr>
          <w:p w14:paraId="7EFCA0E9" w14:textId="77777777" w:rsidR="00A37734" w:rsidRPr="00D8222D" w:rsidRDefault="00A37734" w:rsidP="00CA2AB0">
            <w:pPr>
              <w:rPr>
                <w:sz w:val="22"/>
                <w:szCs w:val="22"/>
              </w:rPr>
            </w:pPr>
            <w:r w:rsidRPr="00D8222D">
              <w:rPr>
                <w:sz w:val="22"/>
                <w:szCs w:val="22"/>
              </w:rPr>
              <w:t>$964</w:t>
            </w:r>
          </w:p>
        </w:tc>
      </w:tr>
      <w:tr w:rsidR="00E64524" w:rsidRPr="005466EA" w14:paraId="309A28C6" w14:textId="77777777" w:rsidTr="00FB19C8">
        <w:tc>
          <w:tcPr>
            <w:tcW w:w="2952" w:type="dxa"/>
          </w:tcPr>
          <w:p w14:paraId="2E779C68" w14:textId="77777777" w:rsidR="00A37734" w:rsidRPr="00D8222D" w:rsidRDefault="00A37734" w:rsidP="00CA2AB0">
            <w:pPr>
              <w:rPr>
                <w:sz w:val="22"/>
                <w:szCs w:val="22"/>
              </w:rPr>
            </w:pPr>
            <w:r w:rsidRPr="00D8222D">
              <w:rPr>
                <w:sz w:val="22"/>
                <w:szCs w:val="22"/>
              </w:rPr>
              <w:t>Between $1,330 and $3,026</w:t>
            </w:r>
          </w:p>
        </w:tc>
        <w:tc>
          <w:tcPr>
            <w:tcW w:w="3989" w:type="dxa"/>
          </w:tcPr>
          <w:p w14:paraId="5550B390" w14:textId="1D175252" w:rsidR="00A37734" w:rsidRPr="00D8222D" w:rsidRDefault="00536C40" w:rsidP="00A37734">
            <w:pPr>
              <w:rPr>
                <w:sz w:val="22"/>
                <w:szCs w:val="22"/>
              </w:rPr>
            </w:pPr>
            <w:r>
              <w:rPr>
                <w:sz w:val="22"/>
                <w:szCs w:val="22"/>
              </w:rPr>
              <w:t>$964 plus 33.</w:t>
            </w:r>
            <w:r w:rsidR="00A37734" w:rsidRPr="00D8222D">
              <w:rPr>
                <w:sz w:val="22"/>
                <w:szCs w:val="22"/>
              </w:rPr>
              <w:t>3% of the amount over $1,330 or $1,330 whichever is less</w:t>
            </w:r>
          </w:p>
        </w:tc>
        <w:tc>
          <w:tcPr>
            <w:tcW w:w="2126" w:type="dxa"/>
          </w:tcPr>
          <w:p w14:paraId="1405765A" w14:textId="77777777" w:rsidR="00A37734" w:rsidRPr="00D8222D" w:rsidRDefault="00A37734" w:rsidP="00CA2AB0">
            <w:pPr>
              <w:rPr>
                <w:sz w:val="22"/>
                <w:szCs w:val="22"/>
              </w:rPr>
            </w:pPr>
            <w:r w:rsidRPr="00D8222D">
              <w:rPr>
                <w:sz w:val="22"/>
                <w:szCs w:val="22"/>
              </w:rPr>
              <w:t>$1,330</w:t>
            </w:r>
          </w:p>
        </w:tc>
      </w:tr>
    </w:tbl>
    <w:p w14:paraId="344C434A" w14:textId="77777777" w:rsidR="00FB19C8" w:rsidRDefault="00FB19C8" w:rsidP="00A37734">
      <w:pPr>
        <w:rPr>
          <w:rFonts w:asciiTheme="majorHAnsi" w:hAnsiTheme="majorHAnsi"/>
          <w:sz w:val="22"/>
          <w:szCs w:val="22"/>
        </w:rPr>
      </w:pPr>
    </w:p>
    <w:p w14:paraId="251AF1BF" w14:textId="13B42C36" w:rsidR="00A37734" w:rsidRPr="00A019E7" w:rsidRDefault="00A019E7" w:rsidP="00A37734">
      <w:pPr>
        <w:rPr>
          <w:sz w:val="22"/>
          <w:szCs w:val="22"/>
        </w:rPr>
      </w:pPr>
      <w:r w:rsidRPr="00A019E7">
        <w:rPr>
          <w:rFonts w:asciiTheme="majorHAnsi" w:hAnsiTheme="majorHAnsi"/>
          <w:sz w:val="22"/>
          <w:szCs w:val="22"/>
        </w:rPr>
        <w:t>**</w:t>
      </w:r>
      <w:r w:rsidRPr="00A019E7">
        <w:rPr>
          <w:sz w:val="22"/>
          <w:szCs w:val="22"/>
        </w:rPr>
        <w:t xml:space="preserve">Contributions made to nomination contestants are </w:t>
      </w:r>
      <w:r w:rsidRPr="00A019E7">
        <w:rPr>
          <w:sz w:val="22"/>
          <w:szCs w:val="22"/>
          <w:u w:val="single"/>
        </w:rPr>
        <w:t>not</w:t>
      </w:r>
      <w:r w:rsidRPr="00A019E7">
        <w:rPr>
          <w:sz w:val="22"/>
          <w:szCs w:val="22"/>
        </w:rPr>
        <w:t xml:space="preserve"> eligible for a tax receipt.</w:t>
      </w:r>
      <w:r w:rsidR="00AC10A3">
        <w:rPr>
          <w:sz w:val="22"/>
          <w:szCs w:val="22"/>
        </w:rPr>
        <w:t xml:space="preserve"> Contribution limits will be increased annually by an indexation figure.</w:t>
      </w:r>
    </w:p>
    <w:p w14:paraId="15B9009C" w14:textId="2907E675" w:rsidR="00A37734" w:rsidRDefault="00CC379F" w:rsidP="00CC379F">
      <w:pPr>
        <w:pStyle w:val="Heading1"/>
      </w:pPr>
      <w:r>
        <w:t>POLITICAL ENDORSEMENT</w:t>
      </w:r>
    </w:p>
    <w:p w14:paraId="4DC0720B" w14:textId="7C54402F" w:rsidR="008C0913" w:rsidRDefault="00CC379F" w:rsidP="00CC379F">
      <w:r>
        <w:t xml:space="preserve">ETFO and its locals can endorse a </w:t>
      </w:r>
      <w:r w:rsidR="00897FB2">
        <w:t xml:space="preserve">provincial nomination candidate, registered </w:t>
      </w:r>
      <w:r>
        <w:t xml:space="preserve">provincial candidate and </w:t>
      </w:r>
      <w:r w:rsidR="00897FB2">
        <w:t xml:space="preserve">registered political provincial party. </w:t>
      </w:r>
      <w:r w:rsidR="008C0913">
        <w:t>ETFO and its locals</w:t>
      </w:r>
      <w:r w:rsidR="00922E14">
        <w:t>, therefore,</w:t>
      </w:r>
      <w:r w:rsidR="008C0913">
        <w:t xml:space="preserve"> </w:t>
      </w:r>
      <w:r w:rsidR="00922E14">
        <w:t>can</w:t>
      </w:r>
      <w:r w:rsidR="008C0913">
        <w:t xml:space="preserve"> communicate information about </w:t>
      </w:r>
      <w:r w:rsidR="000F2706">
        <w:t>political</w:t>
      </w:r>
      <w:r w:rsidR="008C0913">
        <w:t xml:space="preserve"> endorsement</w:t>
      </w:r>
      <w:r w:rsidR="000F2706">
        <w:t>s</w:t>
      </w:r>
      <w:r w:rsidR="008C0913">
        <w:t xml:space="preserve"> through a written letter, telephone</w:t>
      </w:r>
      <w:r w:rsidR="00C04193">
        <w:t xml:space="preserve"> call, voicemail message, email</w:t>
      </w:r>
      <w:r w:rsidR="008C0913">
        <w:t xml:space="preserve"> </w:t>
      </w:r>
      <w:r w:rsidR="00D8222D">
        <w:t xml:space="preserve">and member-only e-newsletter, </w:t>
      </w:r>
      <w:r w:rsidR="008C0913">
        <w:t xml:space="preserve">for example. </w:t>
      </w:r>
    </w:p>
    <w:p w14:paraId="3FF71E87" w14:textId="143D0D60" w:rsidR="008C0913" w:rsidRDefault="008C0913" w:rsidP="00CC379F"/>
    <w:p w14:paraId="118B8416" w14:textId="77777777" w:rsidR="006B1AAC" w:rsidRPr="009F0DF8" w:rsidRDefault="006B1AAC" w:rsidP="006B1AAC">
      <w:pPr>
        <w:rPr>
          <w:lang w:val="en-CA"/>
        </w:rPr>
      </w:pPr>
      <w:r>
        <w:rPr>
          <w:lang w:val="en-CA"/>
        </w:rPr>
        <w:t>Locals can also post information about candidate endorsement on the public portion of their websites if there is no cost to posting that information. (As soon as an ETFO local spends $500 on election advertising, it must register as a third party advertiser with Elections Ontario.) Locals and members can also promote support for candidates on Facebook and Twitter as long as the content isn’t content they had developed commercially or content that cost money to develop.</w:t>
      </w:r>
    </w:p>
    <w:p w14:paraId="21DAA3C1" w14:textId="746265CB" w:rsidR="008C0913" w:rsidRDefault="008C0913" w:rsidP="008C0913">
      <w:pPr>
        <w:pStyle w:val="Heading1"/>
      </w:pPr>
      <w:r>
        <w:t>MEMBER ELECTION RELEASE</w:t>
      </w:r>
    </w:p>
    <w:p w14:paraId="473F3719" w14:textId="52B5B809" w:rsidR="006B1AAC" w:rsidRDefault="008C0913" w:rsidP="009229F4">
      <w:pPr>
        <w:rPr>
          <w:lang w:val="en-CA"/>
        </w:rPr>
      </w:pPr>
      <w:r>
        <w:t xml:space="preserve">The provision of the </w:t>
      </w:r>
      <w:r>
        <w:rPr>
          <w:i/>
          <w:lang w:val="en-CA"/>
        </w:rPr>
        <w:t>Election Finances Act</w:t>
      </w:r>
      <w:r>
        <w:rPr>
          <w:lang w:val="en-CA"/>
        </w:rPr>
        <w:t xml:space="preserve"> that allowed unions to “book off” or provide paid release for their members to work on provincial election campaigns was removed from the Act through </w:t>
      </w:r>
      <w:r>
        <w:rPr>
          <w:i/>
          <w:lang w:val="en-CA"/>
        </w:rPr>
        <w:t>Bill</w:t>
      </w:r>
      <w:r w:rsidR="00897FB2">
        <w:rPr>
          <w:i/>
          <w:lang w:val="en-CA"/>
        </w:rPr>
        <w:t xml:space="preserve"> </w:t>
      </w:r>
      <w:r w:rsidR="00AC10A3">
        <w:rPr>
          <w:i/>
          <w:lang w:val="en-CA"/>
        </w:rPr>
        <w:t>2</w:t>
      </w:r>
      <w:r w:rsidR="00897FB2">
        <w:rPr>
          <w:lang w:val="en-CA"/>
        </w:rPr>
        <w:t>.</w:t>
      </w:r>
    </w:p>
    <w:p w14:paraId="2062105B" w14:textId="77777777" w:rsidR="009229F4" w:rsidRPr="009229F4" w:rsidRDefault="009229F4" w:rsidP="009229F4">
      <w:pPr>
        <w:rPr>
          <w:lang w:val="en-CA"/>
        </w:rPr>
      </w:pPr>
    </w:p>
    <w:p w14:paraId="4CE6F588" w14:textId="2ED54830" w:rsidR="00897FB2" w:rsidRDefault="00897FB2" w:rsidP="00897FB2">
      <w:pPr>
        <w:pStyle w:val="Heading2"/>
      </w:pPr>
      <w:r>
        <w:t>Implications for ETFO</w:t>
      </w:r>
    </w:p>
    <w:p w14:paraId="2633DCFA" w14:textId="78B06898" w:rsidR="00897FB2" w:rsidRDefault="00897FB2" w:rsidP="008C0913">
      <w:pPr>
        <w:rPr>
          <w:lang w:val="en-CA"/>
        </w:rPr>
      </w:pPr>
      <w:r>
        <w:rPr>
          <w:lang w:val="en-CA"/>
        </w:rPr>
        <w:t xml:space="preserve">ETFO can no longer release members to work on a provincial election campaign. However, ETFO locals can release members to serve as member mobilizers to encourage members to contribute to a candidate, volunteer on a candidate’s campaign and vote. ETFO </w:t>
      </w:r>
      <w:r w:rsidR="00DF328E">
        <w:rPr>
          <w:lang w:val="en-CA"/>
        </w:rPr>
        <w:t>can</w:t>
      </w:r>
      <w:r>
        <w:rPr>
          <w:lang w:val="en-CA"/>
        </w:rPr>
        <w:t xml:space="preserve"> continue to cost-share member election release with locals on a 50-50 basis.</w:t>
      </w:r>
    </w:p>
    <w:p w14:paraId="1476CC10" w14:textId="77777777" w:rsidR="006B1AAC" w:rsidRDefault="006B1AAC" w:rsidP="008C0913">
      <w:pPr>
        <w:rPr>
          <w:lang w:val="en-CA"/>
        </w:rPr>
      </w:pPr>
    </w:p>
    <w:p w14:paraId="076CA489" w14:textId="6627806D" w:rsidR="00897FB2" w:rsidRDefault="00897FB2" w:rsidP="008C0913">
      <w:pPr>
        <w:rPr>
          <w:lang w:val="en-CA"/>
        </w:rPr>
      </w:pPr>
      <w:r>
        <w:rPr>
          <w:lang w:val="en-CA"/>
        </w:rPr>
        <w:t xml:space="preserve">To have a significant impact on the outcome of the provincial election, ETFO and its locals will have to focus considerable time and resources to mobilize their members to engage in </w:t>
      </w:r>
      <w:r w:rsidR="000F2706">
        <w:rPr>
          <w:lang w:val="en-CA"/>
        </w:rPr>
        <w:t xml:space="preserve">election activities </w:t>
      </w:r>
      <w:r>
        <w:rPr>
          <w:lang w:val="en-CA"/>
        </w:rPr>
        <w:t>and vote.</w:t>
      </w:r>
    </w:p>
    <w:p w14:paraId="1FB5B601" w14:textId="77777777" w:rsidR="00897FB2" w:rsidRPr="00897FB2" w:rsidRDefault="00897FB2" w:rsidP="008C0913">
      <w:pPr>
        <w:rPr>
          <w:lang w:val="en-CA"/>
        </w:rPr>
      </w:pPr>
    </w:p>
    <w:p w14:paraId="68A67519" w14:textId="213FB849" w:rsidR="00897FB2" w:rsidRDefault="00897FB2" w:rsidP="00897FB2">
      <w:pPr>
        <w:pStyle w:val="Heading2"/>
      </w:pPr>
      <w:r>
        <w:t>Implications for ETFO members</w:t>
      </w:r>
    </w:p>
    <w:p w14:paraId="248D7E8B" w14:textId="53DC6DE3" w:rsidR="00897FB2" w:rsidRPr="00897FB2" w:rsidRDefault="00897FB2" w:rsidP="00897FB2">
      <w:r>
        <w:t>ETFO members can no longer look to their union to financially support their election involvement.</w:t>
      </w:r>
    </w:p>
    <w:p w14:paraId="7F51DE54" w14:textId="0DD8F85B" w:rsidR="00922E14" w:rsidRPr="00375752" w:rsidRDefault="00922E14" w:rsidP="00922E14">
      <w:pPr>
        <w:pStyle w:val="Heading1"/>
        <w:rPr>
          <w:lang w:val="en-CA"/>
        </w:rPr>
      </w:pPr>
      <w:r>
        <w:rPr>
          <w:lang w:val="en-CA"/>
        </w:rPr>
        <w:t>THIRD PARTY ADVERTISING</w:t>
      </w:r>
    </w:p>
    <w:p w14:paraId="2138A28B" w14:textId="77777777" w:rsidR="00D66BC7" w:rsidRDefault="00D66BC7" w:rsidP="00922E14">
      <w:pPr>
        <w:rPr>
          <w:lang w:val="en-CA"/>
        </w:rPr>
      </w:pPr>
    </w:p>
    <w:p w14:paraId="789AF8C9" w14:textId="4F1BA99B" w:rsidR="00D66BC7" w:rsidRDefault="00D66BC7" w:rsidP="00D66BC7">
      <w:pPr>
        <w:pStyle w:val="Heading2"/>
        <w:rPr>
          <w:lang w:val="en-CA"/>
        </w:rPr>
      </w:pPr>
      <w:r>
        <w:rPr>
          <w:lang w:val="en-CA"/>
        </w:rPr>
        <w:t>Political Advertising</w:t>
      </w:r>
    </w:p>
    <w:p w14:paraId="589E501C" w14:textId="359EDA77" w:rsidR="00922E14" w:rsidRPr="00C17F6F" w:rsidRDefault="00C22909" w:rsidP="00922E14">
      <w:pPr>
        <w:rPr>
          <w:lang w:val="en-CA"/>
        </w:rPr>
      </w:pPr>
      <w:r>
        <w:rPr>
          <w:lang w:val="en-CA"/>
        </w:rPr>
        <w:t xml:space="preserve">Political advertising includes any advertising that can be seen, heard or read and promotes or opposes a political party or candidate. </w:t>
      </w:r>
      <w:r w:rsidR="00C17F6F">
        <w:rPr>
          <w:lang w:val="en-CA"/>
        </w:rPr>
        <w:t>If</w:t>
      </w:r>
      <w:r w:rsidR="00542D4E">
        <w:rPr>
          <w:lang w:val="en-CA"/>
        </w:rPr>
        <w:t xml:space="preserve">, during the pre-election periods covered by the </w:t>
      </w:r>
      <w:r w:rsidR="00542D4E">
        <w:rPr>
          <w:i/>
          <w:lang w:val="en-CA"/>
        </w:rPr>
        <w:t xml:space="preserve">Election Finances </w:t>
      </w:r>
      <w:r w:rsidR="00542D4E" w:rsidRPr="00542D4E">
        <w:rPr>
          <w:i/>
          <w:lang w:val="en-CA"/>
        </w:rPr>
        <w:t>Act</w:t>
      </w:r>
      <w:r w:rsidR="00542D4E">
        <w:rPr>
          <w:lang w:val="en-CA"/>
        </w:rPr>
        <w:t>,</w:t>
      </w:r>
      <w:r w:rsidR="00C17F6F">
        <w:rPr>
          <w:lang w:val="en-CA"/>
        </w:rPr>
        <w:t xml:space="preserve"> an ETFO public relations campaign promotes any issue on which a political party has a position</w:t>
      </w:r>
      <w:r w:rsidR="00542D4E">
        <w:rPr>
          <w:lang w:val="en-CA"/>
        </w:rPr>
        <w:t>,</w:t>
      </w:r>
      <w:r w:rsidR="00C17F6F">
        <w:rPr>
          <w:lang w:val="en-CA"/>
        </w:rPr>
        <w:t xml:space="preserve"> </w:t>
      </w:r>
      <w:r w:rsidR="00542D4E">
        <w:rPr>
          <w:lang w:val="en-CA"/>
        </w:rPr>
        <w:t xml:space="preserve">Elections Ontario would view </w:t>
      </w:r>
      <w:r w:rsidR="00C17F6F" w:rsidRPr="00542D4E">
        <w:rPr>
          <w:lang w:val="en-CA"/>
        </w:rPr>
        <w:t>the</w:t>
      </w:r>
      <w:r w:rsidR="00C17F6F">
        <w:rPr>
          <w:lang w:val="en-CA"/>
        </w:rPr>
        <w:t xml:space="preserve"> </w:t>
      </w:r>
      <w:r w:rsidR="00542D4E">
        <w:rPr>
          <w:lang w:val="en-CA"/>
        </w:rPr>
        <w:t>campaign</w:t>
      </w:r>
      <w:r w:rsidR="00C17F6F">
        <w:rPr>
          <w:lang w:val="en-CA"/>
        </w:rPr>
        <w:t xml:space="preserve"> as political advertising and </w:t>
      </w:r>
      <w:r w:rsidR="00542D4E">
        <w:rPr>
          <w:lang w:val="en-CA"/>
        </w:rPr>
        <w:t xml:space="preserve">ETFO would </w:t>
      </w:r>
      <w:r w:rsidR="00AC10A3">
        <w:rPr>
          <w:lang w:val="en-CA"/>
        </w:rPr>
        <w:t xml:space="preserve">be </w:t>
      </w:r>
      <w:r w:rsidR="00C17F6F">
        <w:rPr>
          <w:lang w:val="en-CA"/>
        </w:rPr>
        <w:t xml:space="preserve">subject to the rules </w:t>
      </w:r>
      <w:r w:rsidR="00FF549B">
        <w:rPr>
          <w:lang w:val="en-CA"/>
        </w:rPr>
        <w:t xml:space="preserve">and spending limits </w:t>
      </w:r>
      <w:r w:rsidR="00C17F6F">
        <w:rPr>
          <w:lang w:val="en-CA"/>
        </w:rPr>
        <w:t xml:space="preserve">governing third party political advertising. </w:t>
      </w:r>
    </w:p>
    <w:p w14:paraId="04512C01" w14:textId="77777777" w:rsidR="00922E14" w:rsidRDefault="00922E14" w:rsidP="00922E14">
      <w:pPr>
        <w:rPr>
          <w:lang w:val="en-CA"/>
        </w:rPr>
      </w:pPr>
    </w:p>
    <w:p w14:paraId="4A592420" w14:textId="204BF985" w:rsidR="00C17F6F" w:rsidRDefault="00922E14" w:rsidP="00C17F6F">
      <w:pPr>
        <w:rPr>
          <w:lang w:val="en-CA"/>
        </w:rPr>
      </w:pPr>
      <w:r>
        <w:rPr>
          <w:lang w:val="en-CA"/>
        </w:rPr>
        <w:t xml:space="preserve">If ETFO sponsors public communications – TV, radio and online advertising and posting information on </w:t>
      </w:r>
      <w:r w:rsidR="00AC10A3">
        <w:rPr>
          <w:lang w:val="en-CA"/>
        </w:rPr>
        <w:t xml:space="preserve">a </w:t>
      </w:r>
      <w:r w:rsidR="00C17F6F">
        <w:rPr>
          <w:lang w:val="en-CA"/>
        </w:rPr>
        <w:t xml:space="preserve">publicly </w:t>
      </w:r>
      <w:r>
        <w:rPr>
          <w:lang w:val="en-CA"/>
        </w:rPr>
        <w:t xml:space="preserve">accessible website – during the pre-election and campaign periods, these communications would be subject to the spending limits set by the </w:t>
      </w:r>
      <w:r>
        <w:rPr>
          <w:i/>
          <w:lang w:val="en-CA"/>
        </w:rPr>
        <w:t xml:space="preserve">Election Finances </w:t>
      </w:r>
      <w:r w:rsidRPr="00922E14">
        <w:rPr>
          <w:lang w:val="en-CA"/>
        </w:rPr>
        <w:t>Act</w:t>
      </w:r>
      <w:r w:rsidR="00EF2628">
        <w:rPr>
          <w:lang w:val="en-CA"/>
        </w:rPr>
        <w:t>.</w:t>
      </w:r>
    </w:p>
    <w:p w14:paraId="284C1940" w14:textId="0854F61D" w:rsidR="00EF2628" w:rsidRDefault="00EF2628" w:rsidP="00C17F6F">
      <w:pPr>
        <w:rPr>
          <w:lang w:val="en-CA"/>
        </w:rPr>
      </w:pPr>
    </w:p>
    <w:p w14:paraId="517148D1" w14:textId="0DDE0134" w:rsidR="00C17F6F" w:rsidRDefault="00C17F6F" w:rsidP="00C17F6F">
      <w:r>
        <w:t xml:space="preserve">The </w:t>
      </w:r>
      <w:r>
        <w:rPr>
          <w:i/>
        </w:rPr>
        <w:t>Election Finances Act</w:t>
      </w:r>
      <w:r>
        <w:t xml:space="preserve"> places a limit of $600,000 on third pa</w:t>
      </w:r>
      <w:r w:rsidR="007D1D27">
        <w:t>rty advertising during the six</w:t>
      </w:r>
      <w:r>
        <w:t>-month period for the official campaign period. The election is scheduled for June 7, 2018</w:t>
      </w:r>
      <w:r w:rsidR="00424ED2">
        <w:t>.</w:t>
      </w:r>
      <w:r>
        <w:t xml:space="preserve"> </w:t>
      </w:r>
      <w:r w:rsidR="00424ED2">
        <w:t>T</w:t>
      </w:r>
      <w:r>
        <w:t xml:space="preserve">he six-month period </w:t>
      </w:r>
      <w:r w:rsidR="00424ED2">
        <w:t xml:space="preserve">begins on </w:t>
      </w:r>
      <w:r>
        <w:t xml:space="preserve">November </w:t>
      </w:r>
      <w:r w:rsidR="00424ED2">
        <w:t>9, 2017.</w:t>
      </w:r>
      <w:r>
        <w:t xml:space="preserve"> </w:t>
      </w:r>
      <w:r w:rsidR="00424ED2">
        <w:t>The election period begins on May 9, 2018 and ends on polling day.</w:t>
      </w:r>
      <w:r>
        <w:t xml:space="preserve"> During the election period, the expenditure limit is $100,000.</w:t>
      </w:r>
    </w:p>
    <w:p w14:paraId="4CE08C93" w14:textId="2A89C0F4" w:rsidR="003878EA" w:rsidRDefault="003878EA" w:rsidP="00C17F6F"/>
    <w:p w14:paraId="01BC2D69" w14:textId="3E6ECDDC" w:rsidR="003878EA" w:rsidRDefault="003878EA" w:rsidP="00C17F6F">
      <w:r>
        <w:t xml:space="preserve">Within the overall expenditure limits, third party advertisers cannot spend more than $24,000 in </w:t>
      </w:r>
      <w:r w:rsidRPr="001107D3">
        <w:rPr>
          <w:u w:val="single"/>
        </w:rPr>
        <w:t>one electoral district</w:t>
      </w:r>
      <w:r>
        <w:t xml:space="preserve"> </w:t>
      </w:r>
      <w:r w:rsidR="001107D3">
        <w:t xml:space="preserve">(provincial riding) </w:t>
      </w:r>
      <w:r>
        <w:t>during the six-month pre-election period and $4,000 during the election period.</w:t>
      </w:r>
    </w:p>
    <w:p w14:paraId="3BDC3C86" w14:textId="2060C1E5" w:rsidR="00D66BC7" w:rsidRDefault="00D66BC7" w:rsidP="00C17F6F"/>
    <w:tbl>
      <w:tblPr>
        <w:tblStyle w:val="TableGrid"/>
        <w:tblW w:w="0" w:type="auto"/>
        <w:tblLook w:val="04A0" w:firstRow="1" w:lastRow="0" w:firstColumn="1" w:lastColumn="0" w:noHBand="0" w:noVBand="1"/>
      </w:tblPr>
      <w:tblGrid>
        <w:gridCol w:w="3256"/>
        <w:gridCol w:w="2977"/>
        <w:gridCol w:w="3117"/>
      </w:tblGrid>
      <w:tr w:rsidR="00D66BC7" w14:paraId="10BDEA61" w14:textId="77777777" w:rsidTr="00065567">
        <w:tc>
          <w:tcPr>
            <w:tcW w:w="3256" w:type="dxa"/>
          </w:tcPr>
          <w:p w14:paraId="71D530FD" w14:textId="77777777" w:rsidR="00D66BC7" w:rsidRPr="00065567" w:rsidRDefault="00D66BC7" w:rsidP="00152B24">
            <w:pPr>
              <w:rPr>
                <w:lang w:val="en-CA"/>
              </w:rPr>
            </w:pPr>
          </w:p>
        </w:tc>
        <w:tc>
          <w:tcPr>
            <w:tcW w:w="2977" w:type="dxa"/>
          </w:tcPr>
          <w:p w14:paraId="1AC5418A" w14:textId="77777777" w:rsidR="00D66BC7" w:rsidRPr="00065567" w:rsidRDefault="00D66BC7" w:rsidP="00152B24">
            <w:pPr>
              <w:jc w:val="center"/>
              <w:rPr>
                <w:b/>
                <w:lang w:val="en-CA"/>
              </w:rPr>
            </w:pPr>
            <w:r w:rsidRPr="00065567">
              <w:rPr>
                <w:b/>
                <w:lang w:val="en-CA"/>
              </w:rPr>
              <w:t>Any Riding</w:t>
            </w:r>
          </w:p>
        </w:tc>
        <w:tc>
          <w:tcPr>
            <w:tcW w:w="3117" w:type="dxa"/>
          </w:tcPr>
          <w:p w14:paraId="1C7006B4" w14:textId="77777777" w:rsidR="00D66BC7" w:rsidRPr="00065567" w:rsidRDefault="00D66BC7" w:rsidP="00152B24">
            <w:pPr>
              <w:jc w:val="center"/>
              <w:rPr>
                <w:b/>
                <w:lang w:val="en-CA"/>
              </w:rPr>
            </w:pPr>
            <w:r w:rsidRPr="00065567">
              <w:rPr>
                <w:b/>
                <w:lang w:val="en-CA"/>
              </w:rPr>
              <w:t>Total</w:t>
            </w:r>
          </w:p>
        </w:tc>
      </w:tr>
      <w:tr w:rsidR="008463C8" w14:paraId="120097A4" w14:textId="77777777" w:rsidTr="00065567">
        <w:tc>
          <w:tcPr>
            <w:tcW w:w="3256" w:type="dxa"/>
          </w:tcPr>
          <w:p w14:paraId="0C24C157" w14:textId="353186A4" w:rsidR="008463C8" w:rsidRPr="00065567" w:rsidRDefault="008463C8" w:rsidP="00152B24">
            <w:pPr>
              <w:rPr>
                <w:b/>
                <w:lang w:val="en-CA"/>
              </w:rPr>
            </w:pPr>
            <w:r>
              <w:rPr>
                <w:b/>
                <w:lang w:val="en-CA"/>
              </w:rPr>
              <w:t>By-election</w:t>
            </w:r>
          </w:p>
        </w:tc>
        <w:tc>
          <w:tcPr>
            <w:tcW w:w="2977" w:type="dxa"/>
          </w:tcPr>
          <w:p w14:paraId="7919DAAD" w14:textId="06C6A71A" w:rsidR="008463C8" w:rsidRPr="00065567" w:rsidRDefault="008463C8" w:rsidP="00582081">
            <w:pPr>
              <w:jc w:val="center"/>
              <w:rPr>
                <w:lang w:val="en-CA"/>
              </w:rPr>
            </w:pPr>
            <w:r>
              <w:rPr>
                <w:lang w:val="en-CA"/>
              </w:rPr>
              <w:t>$4,0</w:t>
            </w:r>
            <w:r w:rsidR="00582081">
              <w:rPr>
                <w:lang w:val="en-CA"/>
              </w:rPr>
              <w:t>72</w:t>
            </w:r>
          </w:p>
        </w:tc>
        <w:tc>
          <w:tcPr>
            <w:tcW w:w="3117" w:type="dxa"/>
          </w:tcPr>
          <w:p w14:paraId="6FE72843" w14:textId="3265028E" w:rsidR="008463C8" w:rsidRPr="00065567" w:rsidRDefault="008463C8" w:rsidP="00152B24">
            <w:pPr>
              <w:jc w:val="center"/>
              <w:rPr>
                <w:lang w:val="en-CA"/>
              </w:rPr>
            </w:pPr>
            <w:r>
              <w:rPr>
                <w:lang w:val="en-CA"/>
              </w:rPr>
              <w:t>N/A</w:t>
            </w:r>
          </w:p>
        </w:tc>
      </w:tr>
      <w:tr w:rsidR="00D66BC7" w14:paraId="25317566" w14:textId="77777777" w:rsidTr="00065567">
        <w:tc>
          <w:tcPr>
            <w:tcW w:w="3256" w:type="dxa"/>
          </w:tcPr>
          <w:p w14:paraId="60D54D8C" w14:textId="77777777" w:rsidR="00D66BC7" w:rsidRPr="00065567" w:rsidRDefault="00D66BC7" w:rsidP="00152B24">
            <w:pPr>
              <w:rPr>
                <w:b/>
                <w:lang w:val="en-CA"/>
              </w:rPr>
            </w:pPr>
            <w:r w:rsidRPr="00065567">
              <w:rPr>
                <w:b/>
                <w:lang w:val="en-CA"/>
              </w:rPr>
              <w:t>General Election</w:t>
            </w:r>
          </w:p>
        </w:tc>
        <w:tc>
          <w:tcPr>
            <w:tcW w:w="2977" w:type="dxa"/>
          </w:tcPr>
          <w:p w14:paraId="720CEA8B" w14:textId="51EF5EBD" w:rsidR="00D66BC7" w:rsidRPr="00065567" w:rsidRDefault="00D66BC7" w:rsidP="00582081">
            <w:pPr>
              <w:jc w:val="center"/>
              <w:rPr>
                <w:lang w:val="en-CA"/>
              </w:rPr>
            </w:pPr>
            <w:r w:rsidRPr="00065567">
              <w:rPr>
                <w:lang w:val="en-CA"/>
              </w:rPr>
              <w:t>$4,0</w:t>
            </w:r>
            <w:r w:rsidR="00582081">
              <w:rPr>
                <w:lang w:val="en-CA"/>
              </w:rPr>
              <w:t>72</w:t>
            </w:r>
          </w:p>
        </w:tc>
        <w:tc>
          <w:tcPr>
            <w:tcW w:w="3117" w:type="dxa"/>
          </w:tcPr>
          <w:p w14:paraId="748ECBE8" w14:textId="2A37C3A9" w:rsidR="00D66BC7" w:rsidRPr="00065567" w:rsidRDefault="00D66BC7" w:rsidP="00582081">
            <w:pPr>
              <w:jc w:val="center"/>
              <w:rPr>
                <w:lang w:val="en-CA"/>
              </w:rPr>
            </w:pPr>
            <w:r w:rsidRPr="00065567">
              <w:rPr>
                <w:lang w:val="en-CA"/>
              </w:rPr>
              <w:t>$10</w:t>
            </w:r>
            <w:r w:rsidR="00582081">
              <w:rPr>
                <w:lang w:val="en-CA"/>
              </w:rPr>
              <w:t>1</w:t>
            </w:r>
            <w:r w:rsidRPr="00065567">
              <w:rPr>
                <w:lang w:val="en-CA"/>
              </w:rPr>
              <w:t>,</w:t>
            </w:r>
            <w:r w:rsidR="00582081">
              <w:rPr>
                <w:lang w:val="en-CA"/>
              </w:rPr>
              <w:t>8</w:t>
            </w:r>
            <w:r w:rsidRPr="00065567">
              <w:rPr>
                <w:lang w:val="en-CA"/>
              </w:rPr>
              <w:t>00</w:t>
            </w:r>
          </w:p>
        </w:tc>
      </w:tr>
      <w:tr w:rsidR="00D66BC7" w14:paraId="5C5B7181" w14:textId="77777777" w:rsidTr="00065567">
        <w:tc>
          <w:tcPr>
            <w:tcW w:w="3256" w:type="dxa"/>
          </w:tcPr>
          <w:p w14:paraId="7571961B" w14:textId="77777777" w:rsidR="00D66BC7" w:rsidRPr="00065567" w:rsidRDefault="00D66BC7" w:rsidP="00152B24">
            <w:pPr>
              <w:rPr>
                <w:b/>
                <w:lang w:val="en-CA"/>
              </w:rPr>
            </w:pPr>
            <w:r w:rsidRPr="00065567">
              <w:rPr>
                <w:b/>
                <w:lang w:val="en-CA"/>
              </w:rPr>
              <w:t>Six-month period before writ</w:t>
            </w:r>
          </w:p>
        </w:tc>
        <w:tc>
          <w:tcPr>
            <w:tcW w:w="2977" w:type="dxa"/>
          </w:tcPr>
          <w:p w14:paraId="219871A9" w14:textId="502133F1" w:rsidR="00D66BC7" w:rsidRPr="00065567" w:rsidRDefault="00D66BC7" w:rsidP="00582081">
            <w:pPr>
              <w:jc w:val="center"/>
              <w:rPr>
                <w:lang w:val="en-CA"/>
              </w:rPr>
            </w:pPr>
            <w:r w:rsidRPr="00065567">
              <w:rPr>
                <w:lang w:val="en-CA"/>
              </w:rPr>
              <w:t>$24,</w:t>
            </w:r>
            <w:r w:rsidR="00582081">
              <w:rPr>
                <w:lang w:val="en-CA"/>
              </w:rPr>
              <w:t>432</w:t>
            </w:r>
          </w:p>
        </w:tc>
        <w:tc>
          <w:tcPr>
            <w:tcW w:w="3117" w:type="dxa"/>
          </w:tcPr>
          <w:p w14:paraId="704D30F1" w14:textId="7FDB2ACD" w:rsidR="00D66BC7" w:rsidRPr="00065567" w:rsidRDefault="00D66BC7" w:rsidP="00582081">
            <w:pPr>
              <w:jc w:val="center"/>
              <w:rPr>
                <w:lang w:val="en-CA"/>
              </w:rPr>
            </w:pPr>
            <w:r w:rsidRPr="00065567">
              <w:rPr>
                <w:lang w:val="en-CA"/>
              </w:rPr>
              <w:t>$</w:t>
            </w:r>
            <w:r w:rsidR="00582081">
              <w:rPr>
                <w:lang w:val="en-CA"/>
              </w:rPr>
              <w:t>610,800</w:t>
            </w:r>
          </w:p>
        </w:tc>
      </w:tr>
    </w:tbl>
    <w:p w14:paraId="777A7CE7" w14:textId="77777777" w:rsidR="00D66BC7" w:rsidRDefault="00D66BC7" w:rsidP="00C17F6F"/>
    <w:p w14:paraId="4226F7A7" w14:textId="10DD3127" w:rsidR="00D66BC7" w:rsidRDefault="00D66BC7" w:rsidP="00D66BC7">
      <w:pPr>
        <w:pStyle w:val="Heading2"/>
      </w:pPr>
      <w:r>
        <w:t>Not considered political advertising</w:t>
      </w:r>
    </w:p>
    <w:p w14:paraId="4C66660C" w14:textId="36A9DF40" w:rsidR="00242B86" w:rsidRPr="00D66BC7" w:rsidRDefault="00242B86" w:rsidP="00D66BC7">
      <w:pPr>
        <w:rPr>
          <w:lang w:val="en-CA"/>
        </w:rPr>
      </w:pPr>
      <w:r>
        <w:rPr>
          <w:lang w:val="en-CA"/>
        </w:rPr>
        <w:t xml:space="preserve">Unions are not limited in what they distribute or communicate directly to their members. </w:t>
      </w:r>
    </w:p>
    <w:p w14:paraId="496370C7" w14:textId="77777777" w:rsidR="006B1AAC" w:rsidRDefault="006B1AAC" w:rsidP="00C17F6F">
      <w:pPr>
        <w:rPr>
          <w:lang w:val="en-CA"/>
        </w:rPr>
      </w:pPr>
    </w:p>
    <w:p w14:paraId="4507EB90" w14:textId="2EC6AB47" w:rsidR="006B1AAC" w:rsidRDefault="006B1AAC" w:rsidP="006B1AAC">
      <w:pPr>
        <w:pStyle w:val="Heading2"/>
      </w:pPr>
      <w:r>
        <w:t>Blackout period</w:t>
      </w:r>
    </w:p>
    <w:p w14:paraId="433DF55B" w14:textId="4BB6F5FE" w:rsidR="00C22909" w:rsidRDefault="00C22909" w:rsidP="00C17F6F">
      <w:r>
        <w:t>Third party advertisers are also governed by the “blackout period” for election advertising. The blackout period includes the day before Election Day and Election Day.</w:t>
      </w:r>
      <w:r w:rsidR="006B1AAC">
        <w:t xml:space="preserve"> Lawn signs and Internet ads in place prior to the Blackout period may remain in place during the blackout period. Election brochures may also be distributed during the blackout period.</w:t>
      </w:r>
    </w:p>
    <w:p w14:paraId="457B04AB" w14:textId="77777777" w:rsidR="00EF2628" w:rsidRDefault="00EF2628" w:rsidP="00EF2628">
      <w:pPr>
        <w:pStyle w:val="Heading2"/>
        <w:rPr>
          <w:lang w:val="en-CA"/>
        </w:rPr>
      </w:pPr>
    </w:p>
    <w:p w14:paraId="6C271736" w14:textId="64344D01" w:rsidR="00EF2628" w:rsidRDefault="00EF2628" w:rsidP="00EF2628">
      <w:pPr>
        <w:pStyle w:val="Heading2"/>
        <w:rPr>
          <w:lang w:val="en-CA"/>
        </w:rPr>
      </w:pPr>
      <w:r>
        <w:rPr>
          <w:lang w:val="en-CA"/>
        </w:rPr>
        <w:t>Social media</w:t>
      </w:r>
    </w:p>
    <w:p w14:paraId="32B25E71" w14:textId="5F79BA85" w:rsidR="00EF2628" w:rsidRDefault="00EF2628" w:rsidP="00EF2628">
      <w:pPr>
        <w:rPr>
          <w:lang w:val="en-CA"/>
        </w:rPr>
      </w:pPr>
      <w:r>
        <w:rPr>
          <w:lang w:val="en-CA"/>
        </w:rPr>
        <w:t>Elections Ontario does not generally consider individual posts on social media, like Facebook and Twitter, political advertising. However, a coordinated social media campaign “that’s been professional</w:t>
      </w:r>
      <w:r w:rsidR="00F33405">
        <w:rPr>
          <w:lang w:val="en-CA"/>
        </w:rPr>
        <w:t>ly</w:t>
      </w:r>
      <w:r>
        <w:rPr>
          <w:lang w:val="en-CA"/>
        </w:rPr>
        <w:t xml:space="preserve"> produced by another person or entity may be treated as political advertising” and subject to the rules governing political contributions and third party advertising.</w:t>
      </w:r>
    </w:p>
    <w:p w14:paraId="14845E6C" w14:textId="476220C8" w:rsidR="00EF2628" w:rsidRDefault="00EF2628" w:rsidP="00EF2628">
      <w:pPr>
        <w:rPr>
          <w:lang w:val="en-CA"/>
        </w:rPr>
      </w:pPr>
    </w:p>
    <w:p w14:paraId="1A907712" w14:textId="3F546639" w:rsidR="00EF2628" w:rsidRDefault="00EF2628" w:rsidP="00EF2628">
      <w:pPr>
        <w:rPr>
          <w:lang w:val="en-CA"/>
        </w:rPr>
      </w:pPr>
      <w:r>
        <w:rPr>
          <w:lang w:val="en-CA"/>
        </w:rPr>
        <w:t>Content posted on YouTube and blogs by public policy advocates during the election on issues for which one or more registered parties or candidates may also have taken a position may not be considered political advertising if the posted content “does not explicitly connect itself with a party or candidate.”</w:t>
      </w:r>
    </w:p>
    <w:p w14:paraId="6B6A4755" w14:textId="73D1FF3B" w:rsidR="00EF2628" w:rsidRDefault="00EF2628" w:rsidP="00C17F6F"/>
    <w:p w14:paraId="4A440C3F" w14:textId="66D1AF3E" w:rsidR="00922E14" w:rsidRDefault="00542D4E" w:rsidP="00542D4E">
      <w:pPr>
        <w:pStyle w:val="Heading2"/>
        <w:rPr>
          <w:b w:val="0"/>
          <w:lang w:val="en-CA"/>
        </w:rPr>
      </w:pPr>
      <w:r>
        <w:rPr>
          <w:lang w:val="en-CA"/>
        </w:rPr>
        <w:t xml:space="preserve">Implications for ETFO </w:t>
      </w:r>
    </w:p>
    <w:p w14:paraId="06ECAFF6" w14:textId="3EFF2532" w:rsidR="00D66BC7" w:rsidRDefault="00D66BC7" w:rsidP="00542D4E">
      <w:pPr>
        <w:rPr>
          <w:lang w:val="en-CA"/>
        </w:rPr>
      </w:pPr>
      <w:r>
        <w:rPr>
          <w:lang w:val="en-CA"/>
        </w:rPr>
        <w:t>ETFO and its locals can distribute and communicate political content and messages through member-only communications. This would include the eNewsletter, email, steward mailings, and letters to members.</w:t>
      </w:r>
    </w:p>
    <w:p w14:paraId="4B3640F4" w14:textId="77777777" w:rsidR="00D66BC7" w:rsidRDefault="00D66BC7" w:rsidP="00542D4E">
      <w:pPr>
        <w:rPr>
          <w:lang w:val="en-CA"/>
        </w:rPr>
      </w:pPr>
    </w:p>
    <w:p w14:paraId="4AB406EB" w14:textId="04DF5161" w:rsidR="00542D4E" w:rsidRDefault="000F2706" w:rsidP="00542D4E">
      <w:pPr>
        <w:rPr>
          <w:lang w:val="en-CA"/>
        </w:rPr>
      </w:pPr>
      <w:r>
        <w:rPr>
          <w:lang w:val="en-CA"/>
        </w:rPr>
        <w:t xml:space="preserve">The </w:t>
      </w:r>
      <w:r>
        <w:rPr>
          <w:i/>
          <w:lang w:val="en-CA"/>
        </w:rPr>
        <w:t xml:space="preserve">Election Finances </w:t>
      </w:r>
      <w:r w:rsidRPr="000F2706">
        <w:rPr>
          <w:i/>
          <w:lang w:val="en-CA"/>
        </w:rPr>
        <w:t>Act</w:t>
      </w:r>
      <w:r>
        <w:rPr>
          <w:lang w:val="en-CA"/>
        </w:rPr>
        <w:t xml:space="preserve"> treats </w:t>
      </w:r>
      <w:r w:rsidR="00542D4E" w:rsidRPr="000F2706">
        <w:rPr>
          <w:lang w:val="en-CA"/>
        </w:rPr>
        <w:t>ETFO</w:t>
      </w:r>
      <w:r w:rsidR="00542D4E">
        <w:rPr>
          <w:lang w:val="en-CA"/>
        </w:rPr>
        <w:t xml:space="preserve"> locals as separate entities </w:t>
      </w:r>
      <w:r>
        <w:rPr>
          <w:lang w:val="en-CA"/>
        </w:rPr>
        <w:t>with respect to</w:t>
      </w:r>
      <w:r w:rsidR="00542D4E">
        <w:rPr>
          <w:lang w:val="en-CA"/>
        </w:rPr>
        <w:t xml:space="preserve"> the rules applied to third party adv</w:t>
      </w:r>
      <w:r>
        <w:rPr>
          <w:lang w:val="en-CA"/>
        </w:rPr>
        <w:t xml:space="preserve">ertisers. </w:t>
      </w:r>
      <w:r w:rsidR="00542D4E">
        <w:rPr>
          <w:lang w:val="en-CA"/>
        </w:rPr>
        <w:t xml:space="preserve">However, if ETFO locals use ETFO Provincial campaign materials to extend </w:t>
      </w:r>
      <w:r>
        <w:rPr>
          <w:lang w:val="en-CA"/>
        </w:rPr>
        <w:t>or</w:t>
      </w:r>
      <w:r w:rsidR="00542D4E">
        <w:rPr>
          <w:lang w:val="en-CA"/>
        </w:rPr>
        <w:t xml:space="preserve"> supplement the ETFO advertising campaign, Elections Ontario would view those local expenses to be part of ETFO Provincial’s third party expenditure limits.</w:t>
      </w:r>
    </w:p>
    <w:p w14:paraId="3A23293E" w14:textId="7D337BE3" w:rsidR="00542D4E" w:rsidRDefault="00542D4E" w:rsidP="00542D4E">
      <w:pPr>
        <w:rPr>
          <w:lang w:val="en-CA"/>
        </w:rPr>
      </w:pPr>
    </w:p>
    <w:p w14:paraId="651BFEAC" w14:textId="06A321B8" w:rsidR="00AC10A3" w:rsidRDefault="00AC10A3" w:rsidP="00AC10A3">
      <w:pPr>
        <w:rPr>
          <w:lang w:val="en-CA"/>
        </w:rPr>
      </w:pPr>
      <w:r>
        <w:rPr>
          <w:lang w:val="en-CA"/>
        </w:rPr>
        <w:t>It is therefore important that ETFO Provincial and ETFO locals coordinate their respective third party advertising activities to ensure the union avoids being in conflict with the provincial election finances law.</w:t>
      </w:r>
    </w:p>
    <w:p w14:paraId="45DD5A3F" w14:textId="77777777" w:rsidR="00AC10A3" w:rsidRDefault="00AC10A3" w:rsidP="00542D4E">
      <w:pPr>
        <w:rPr>
          <w:lang w:val="en-CA"/>
        </w:rPr>
      </w:pPr>
    </w:p>
    <w:p w14:paraId="75B349E6" w14:textId="77777777" w:rsidR="00065567" w:rsidRDefault="00AC10A3" w:rsidP="00542D4E">
      <w:pPr>
        <w:rPr>
          <w:lang w:val="en-CA"/>
        </w:rPr>
      </w:pPr>
      <w:r>
        <w:rPr>
          <w:lang w:val="en-CA"/>
        </w:rPr>
        <w:t xml:space="preserve">ETFO can engage in social media campaigns during the election, but the cost of developing any content for Facebook and Twitter would likely have to be reported as third party advertising. </w:t>
      </w:r>
    </w:p>
    <w:p w14:paraId="00FB11D6" w14:textId="77777777" w:rsidR="00065567" w:rsidRDefault="00065567" w:rsidP="00542D4E">
      <w:pPr>
        <w:rPr>
          <w:lang w:val="en-CA"/>
        </w:rPr>
      </w:pPr>
    </w:p>
    <w:p w14:paraId="3B24AFB2" w14:textId="195D8F9D" w:rsidR="00AC10A3" w:rsidRDefault="00AC10A3" w:rsidP="00542D4E">
      <w:pPr>
        <w:rPr>
          <w:lang w:val="en-CA"/>
        </w:rPr>
      </w:pPr>
      <w:r>
        <w:rPr>
          <w:lang w:val="en-CA"/>
        </w:rPr>
        <w:t>ETFO and its locals would have more latitude to promote policy content during the election periods on YouTube and through blogs.</w:t>
      </w:r>
    </w:p>
    <w:p w14:paraId="2AC9BE1A" w14:textId="328FBD2B" w:rsidR="00C75A16" w:rsidRDefault="00C75A16" w:rsidP="00542D4E">
      <w:pPr>
        <w:rPr>
          <w:lang w:val="en-CA"/>
        </w:rPr>
      </w:pPr>
    </w:p>
    <w:p w14:paraId="4F58F210" w14:textId="72E45ED3" w:rsidR="00C75A16" w:rsidRDefault="00C75A16" w:rsidP="00542D4E">
      <w:pPr>
        <w:rPr>
          <w:lang w:val="en-CA"/>
        </w:rPr>
      </w:pPr>
      <w:r>
        <w:rPr>
          <w:lang w:val="en-CA"/>
        </w:rPr>
        <w:t>ETFO locals that spend $500 or more during either the six-month pre-election period or the election period must register as a Third Party Advertiser with Elections Ontario as soon as they meet that spending threshold. Any Third Party Advertiser that expends $5,000 or more over the course of the two periods must submit an audited report to Elections Ontario</w:t>
      </w:r>
      <w:r w:rsidR="00F33405">
        <w:rPr>
          <w:lang w:val="en-CA"/>
        </w:rPr>
        <w:t>.</w:t>
      </w:r>
    </w:p>
    <w:p w14:paraId="524F45A7" w14:textId="77777777" w:rsidR="00AC10A3" w:rsidRDefault="00AC10A3" w:rsidP="00542D4E">
      <w:pPr>
        <w:rPr>
          <w:lang w:val="en-CA"/>
        </w:rPr>
      </w:pPr>
    </w:p>
    <w:p w14:paraId="2BD17BCD" w14:textId="6F9FEDCE" w:rsidR="00AC10A3" w:rsidRDefault="00AC10A3" w:rsidP="00293D5D">
      <w:pPr>
        <w:tabs>
          <w:tab w:val="left" w:pos="1134"/>
        </w:tabs>
        <w:rPr>
          <w:lang w:val="en-CA"/>
        </w:rPr>
      </w:pPr>
      <w:r w:rsidRPr="00AC10A3">
        <w:rPr>
          <w:b/>
          <w:lang w:val="en-CA"/>
        </w:rPr>
        <w:t>Sources</w:t>
      </w:r>
      <w:r>
        <w:rPr>
          <w:lang w:val="en-CA"/>
        </w:rPr>
        <w:t>:</w:t>
      </w:r>
      <w:r w:rsidR="00293D5D">
        <w:rPr>
          <w:lang w:val="en-CA"/>
        </w:rPr>
        <w:tab/>
      </w:r>
      <w:r>
        <w:rPr>
          <w:i/>
          <w:lang w:val="en-CA"/>
        </w:rPr>
        <w:t xml:space="preserve">Election Finances Act, </w:t>
      </w:r>
      <w:r>
        <w:rPr>
          <w:lang w:val="en-CA"/>
        </w:rPr>
        <w:t xml:space="preserve">Elections Ontario: </w:t>
      </w:r>
      <w:hyperlink r:id="rId7" w:history="1">
        <w:r w:rsidRPr="009222BA">
          <w:rPr>
            <w:rStyle w:val="Hyperlink"/>
            <w:lang w:val="en-CA"/>
          </w:rPr>
          <w:t>www.elections.on.ca</w:t>
        </w:r>
      </w:hyperlink>
    </w:p>
    <w:p w14:paraId="481998EC" w14:textId="58CB9A57" w:rsidR="00B52F01" w:rsidRDefault="00293D5D" w:rsidP="00293D5D">
      <w:pPr>
        <w:tabs>
          <w:tab w:val="left" w:pos="1134"/>
        </w:tabs>
      </w:pPr>
      <w:r>
        <w:tab/>
        <w:t xml:space="preserve">Elections Ontario, </w:t>
      </w:r>
      <w:r>
        <w:rPr>
          <w:i/>
        </w:rPr>
        <w:t>Election Finances CFO Handbook for Third Parties 201</w:t>
      </w:r>
      <w:r w:rsidR="00582081">
        <w:rPr>
          <w:i/>
        </w:rPr>
        <w:t>8</w:t>
      </w:r>
      <w:r>
        <w:t>.</w:t>
      </w:r>
      <w:r>
        <w:tab/>
      </w:r>
      <w:r>
        <w:tab/>
      </w:r>
    </w:p>
    <w:p w14:paraId="051BDBE3" w14:textId="77777777" w:rsidR="00293D5D" w:rsidRDefault="00293D5D" w:rsidP="00B52F01">
      <w:pPr>
        <w:rPr>
          <w:sz w:val="20"/>
          <w:szCs w:val="20"/>
        </w:rPr>
      </w:pPr>
    </w:p>
    <w:p w14:paraId="45BC883F" w14:textId="66C3EB04" w:rsidR="001E2890" w:rsidRDefault="00B52F01" w:rsidP="00B52F01">
      <w:pPr>
        <w:rPr>
          <w:sz w:val="20"/>
          <w:szCs w:val="20"/>
        </w:rPr>
      </w:pPr>
      <w:r w:rsidRPr="00B52F01">
        <w:rPr>
          <w:sz w:val="20"/>
          <w:szCs w:val="20"/>
        </w:rPr>
        <w:t>VM:</w:t>
      </w:r>
      <w:r w:rsidR="00900205">
        <w:rPr>
          <w:sz w:val="20"/>
          <w:szCs w:val="20"/>
        </w:rPr>
        <w:t>VO</w:t>
      </w:r>
    </w:p>
    <w:p w14:paraId="6F7C4759" w14:textId="4A180406" w:rsidR="00E2315B" w:rsidRDefault="00424ED2" w:rsidP="00B52F01">
      <w:pPr>
        <w:rPr>
          <w:sz w:val="20"/>
          <w:szCs w:val="20"/>
        </w:rPr>
      </w:pPr>
      <w:r>
        <w:rPr>
          <w:sz w:val="20"/>
          <w:szCs w:val="20"/>
        </w:rPr>
        <w:t xml:space="preserve">Updated: </w:t>
      </w:r>
      <w:r w:rsidR="00582081">
        <w:rPr>
          <w:sz w:val="20"/>
          <w:szCs w:val="20"/>
        </w:rPr>
        <w:t>January 10,</w:t>
      </w:r>
      <w:r w:rsidR="00B2664B">
        <w:rPr>
          <w:sz w:val="20"/>
          <w:szCs w:val="20"/>
        </w:rPr>
        <w:t xml:space="preserve"> </w:t>
      </w:r>
      <w:bookmarkStart w:id="0" w:name="_GoBack"/>
      <w:bookmarkEnd w:id="0"/>
      <w:r w:rsidR="00582081">
        <w:rPr>
          <w:sz w:val="20"/>
          <w:szCs w:val="20"/>
        </w:rPr>
        <w:t>2018</w:t>
      </w:r>
    </w:p>
    <w:p w14:paraId="5BADCDEA" w14:textId="77777777" w:rsidR="00AC10A3" w:rsidRPr="00B52F01" w:rsidRDefault="00AC10A3" w:rsidP="00B52F01">
      <w:pPr>
        <w:rPr>
          <w:sz w:val="20"/>
          <w:szCs w:val="20"/>
        </w:rPr>
      </w:pPr>
    </w:p>
    <w:sectPr w:rsidR="00AC10A3" w:rsidRPr="00B52F01" w:rsidSect="00065567">
      <w:headerReference w:type="default" r:id="rId8"/>
      <w:footerReference w:type="default" r:id="rId9"/>
      <w:pgSz w:w="12240" w:h="15840"/>
      <w:pgMar w:top="1560" w:right="1440" w:bottom="1276" w:left="1440" w:header="709" w:footer="5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FBDEC9" w14:textId="77777777" w:rsidR="0090408D" w:rsidRDefault="0090408D" w:rsidP="007B0988">
      <w:r>
        <w:separator/>
      </w:r>
    </w:p>
  </w:endnote>
  <w:endnote w:type="continuationSeparator" w:id="0">
    <w:p w14:paraId="73AC38D9" w14:textId="77777777" w:rsidR="0090408D" w:rsidRDefault="0090408D" w:rsidP="007B0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Sofia Pro">
    <w:altName w:val="Arial"/>
    <w:charset w:val="00"/>
    <w:family w:val="auto"/>
    <w:pitch w:val="variable"/>
    <w:sig w:usb0="A00002EF" w:usb1="5000E07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9462089"/>
      <w:docPartObj>
        <w:docPartGallery w:val="Page Numbers (Bottom of Page)"/>
        <w:docPartUnique/>
      </w:docPartObj>
    </w:sdtPr>
    <w:sdtEndPr>
      <w:rPr>
        <w:noProof/>
      </w:rPr>
    </w:sdtEndPr>
    <w:sdtContent>
      <w:sdt>
        <w:sdtPr>
          <w:id w:val="-1215196977"/>
          <w:docPartObj>
            <w:docPartGallery w:val="Page Numbers (Bottom of Page)"/>
            <w:docPartUnique/>
          </w:docPartObj>
        </w:sdtPr>
        <w:sdtEndPr/>
        <w:sdtContent>
          <w:sdt>
            <w:sdtPr>
              <w:id w:val="-1039742664"/>
              <w:docPartObj>
                <w:docPartGallery w:val="Page Numbers (Top of Page)"/>
                <w:docPartUnique/>
              </w:docPartObj>
            </w:sdtPr>
            <w:sdtEndPr/>
            <w:sdtContent>
              <w:p w14:paraId="50B2718D" w14:textId="56358667" w:rsidR="00065567" w:rsidRDefault="00065567" w:rsidP="00065567">
                <w:pPr>
                  <w:pStyle w:val="Footer"/>
                  <w:jc w:val="center"/>
                </w:pPr>
                <w:r>
                  <w:rPr>
                    <w:noProof/>
                    <w:lang w:val="en-CA" w:eastAsia="en-CA"/>
                  </w:rPr>
                  <mc:AlternateContent>
                    <mc:Choice Requires="wps">
                      <w:drawing>
                        <wp:anchor distT="0" distB="0" distL="114300" distR="114300" simplePos="0" relativeHeight="251663360" behindDoc="0" locked="0" layoutInCell="1" allowOverlap="1" wp14:anchorId="5265C308" wp14:editId="5EAEEF85">
                          <wp:simplePos x="0" y="0"/>
                          <wp:positionH relativeFrom="column">
                            <wp:posOffset>123824</wp:posOffset>
                          </wp:positionH>
                          <wp:positionV relativeFrom="paragraph">
                            <wp:posOffset>-57150</wp:posOffset>
                          </wp:positionV>
                          <wp:extent cx="6012000" cy="0"/>
                          <wp:effectExtent l="0" t="0" r="27305" b="19050"/>
                          <wp:wrapNone/>
                          <wp:docPr id="5" name="Straight Connector 5"/>
                          <wp:cNvGraphicFramePr/>
                          <a:graphic xmlns:a="http://schemas.openxmlformats.org/drawingml/2006/main">
                            <a:graphicData uri="http://schemas.microsoft.com/office/word/2010/wordprocessingShape">
                              <wps:wsp>
                                <wps:cNvCnPr/>
                                <wps:spPr>
                                  <a:xfrm>
                                    <a:off x="0" y="0"/>
                                    <a:ext cx="6012000" cy="0"/>
                                  </a:xfrm>
                                  <a:prstGeom prst="line">
                                    <a:avLst/>
                                  </a:prstGeom>
                                  <a:ln w="1905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0F41765" id="Straight Connector 5"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75pt,-4.5pt" to="483.1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" strokecolor="#00b0f0" strokeweight="1.5pt">
                          <v:stroke joinstyle="miter"/>
                        </v:line>
                      </w:pict>
                    </mc:Fallback>
                  </mc:AlternateContent>
                </w:r>
                <w:r w:rsidRPr="0034253D">
                  <w:t xml:space="preserve">Page </w:t>
                </w:r>
                <w:r w:rsidRPr="0034253D">
                  <w:rPr>
                    <w:bCs/>
                  </w:rPr>
                  <w:fldChar w:fldCharType="begin"/>
                </w:r>
                <w:r w:rsidRPr="0034253D">
                  <w:rPr>
                    <w:bCs/>
                  </w:rPr>
                  <w:instrText xml:space="preserve"> PAGE </w:instrText>
                </w:r>
                <w:r w:rsidRPr="0034253D">
                  <w:rPr>
                    <w:bCs/>
                  </w:rPr>
                  <w:fldChar w:fldCharType="separate"/>
                </w:r>
                <w:r w:rsidR="00B2664B">
                  <w:rPr>
                    <w:bCs/>
                    <w:noProof/>
                  </w:rPr>
                  <w:t>4</w:t>
                </w:r>
                <w:r w:rsidRPr="0034253D">
                  <w:rPr>
                    <w:bCs/>
                  </w:rPr>
                  <w:fldChar w:fldCharType="end"/>
                </w:r>
                <w:r w:rsidRPr="0034253D">
                  <w:t xml:space="preserve"> of </w:t>
                </w:r>
                <w:r w:rsidRPr="0034253D">
                  <w:rPr>
                    <w:bCs/>
                  </w:rPr>
                  <w:fldChar w:fldCharType="begin"/>
                </w:r>
                <w:r w:rsidRPr="0034253D">
                  <w:rPr>
                    <w:bCs/>
                  </w:rPr>
                  <w:instrText xml:space="preserve"> NUMPAGES  </w:instrText>
                </w:r>
                <w:r w:rsidRPr="0034253D">
                  <w:rPr>
                    <w:bCs/>
                  </w:rPr>
                  <w:fldChar w:fldCharType="separate"/>
                </w:r>
                <w:r w:rsidR="00B2664B">
                  <w:rPr>
                    <w:bCs/>
                    <w:noProof/>
                  </w:rPr>
                  <w:t>4</w:t>
                </w:r>
                <w:r w:rsidRPr="0034253D">
                  <w:rPr>
                    <w:bCs/>
                  </w:rPr>
                  <w:fldChar w:fldCharType="end"/>
                </w:r>
              </w:p>
            </w:sdtContent>
          </w:sdt>
        </w:sdtContent>
      </w:sdt>
      <w:p w14:paraId="3614D9C6" w14:textId="41366D90" w:rsidR="00A019E7" w:rsidRDefault="00065567" w:rsidP="00065567">
        <w:pPr>
          <w:pStyle w:val="Footer"/>
        </w:pPr>
        <w:r w:rsidRPr="00B338E3">
          <w:rPr>
            <w:rFonts w:ascii="Sofia Pro" w:hAnsi="Sofia Pro"/>
            <w:b/>
            <w:color w:val="28C3CD"/>
            <w:sz w:val="20"/>
            <w:szCs w:val="20"/>
          </w:rPr>
          <w:t>BuildingBetterSchools</w:t>
        </w:r>
        <w:r w:rsidRPr="00B338E3">
          <w:rPr>
            <w:rFonts w:ascii="Sofia Pro" w:hAnsi="Sofia Pro"/>
            <w:color w:val="28C3CD"/>
            <w:sz w:val="20"/>
            <w:szCs w:val="20"/>
          </w:rPr>
          <w:t>.</w:t>
        </w:r>
        <w:r w:rsidRPr="00B338E3">
          <w:rPr>
            <w:rFonts w:ascii="Sofia Pro" w:hAnsi="Sofia Pro"/>
            <w:b/>
            <w:color w:val="28C3CD"/>
            <w:sz w:val="20"/>
            <w:szCs w:val="20"/>
          </w:rPr>
          <w:t>ca</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A7ABF7" w14:textId="77777777" w:rsidR="0090408D" w:rsidRDefault="0090408D" w:rsidP="007B0988">
      <w:r>
        <w:separator/>
      </w:r>
    </w:p>
  </w:footnote>
  <w:footnote w:type="continuationSeparator" w:id="0">
    <w:p w14:paraId="17FBE363" w14:textId="77777777" w:rsidR="0090408D" w:rsidRDefault="0090408D" w:rsidP="007B0988">
      <w:r>
        <w:continuationSeparator/>
      </w:r>
    </w:p>
  </w:footnote>
  <w:footnote w:id="1">
    <w:p w14:paraId="4068B39D" w14:textId="1D75A835" w:rsidR="00065567" w:rsidRPr="00A16374" w:rsidRDefault="003E70E8" w:rsidP="00065567">
      <w:pPr>
        <w:spacing w:before="120"/>
        <w:rPr>
          <w:sz w:val="20"/>
          <w:szCs w:val="20"/>
        </w:rPr>
      </w:pPr>
      <w:r>
        <w:rPr>
          <w:rStyle w:val="FootnoteReference"/>
        </w:rPr>
        <w:footnoteRef/>
      </w:r>
      <w:r>
        <w:t xml:space="preserve"> </w:t>
      </w:r>
      <w:r>
        <w:rPr>
          <w:lang w:val="en-CA"/>
        </w:rPr>
        <w:t xml:space="preserve">Bill 2, </w:t>
      </w:r>
      <w:r w:rsidR="006F58D6">
        <w:rPr>
          <w:i/>
          <w:lang w:val="en-CA"/>
        </w:rPr>
        <w:t>Election Finances Statute Law Amendment Act, 2017</w:t>
      </w:r>
      <w:r w:rsidR="00065567">
        <w:rPr>
          <w:i/>
          <w:lang w:val="en-CA"/>
        </w:rPr>
        <w:t>.</w:t>
      </w:r>
      <w:r w:rsidR="00065567" w:rsidRPr="00065567">
        <w:rPr>
          <w:sz w:val="20"/>
          <w:szCs w:val="20"/>
        </w:rPr>
        <w:t xml:space="preserve"> </w:t>
      </w:r>
    </w:p>
    <w:p w14:paraId="2F0A0314" w14:textId="0764F633" w:rsidR="006F58D6" w:rsidRPr="00065567" w:rsidRDefault="006F58D6">
      <w:pPr>
        <w:pStyle w:val="FootnoteText"/>
        <w:rPr>
          <w:i/>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F5C5B" w14:textId="0517DEE6" w:rsidR="007B0988" w:rsidRDefault="00296FDC" w:rsidP="00AF2AA5">
    <w:pPr>
      <w:pStyle w:val="Header"/>
      <w:rPr>
        <w:noProof/>
      </w:rPr>
    </w:pPr>
    <w:r w:rsidRPr="00296FDC">
      <w:rPr>
        <w:noProof/>
        <w:lang w:val="en-CA" w:eastAsia="en-CA"/>
      </w:rPr>
      <w:drawing>
        <wp:anchor distT="0" distB="0" distL="114300" distR="114300" simplePos="0" relativeHeight="251662336" behindDoc="1" locked="0" layoutInCell="1" allowOverlap="1" wp14:anchorId="0A440D44" wp14:editId="3E78BB01">
          <wp:simplePos x="0" y="0"/>
          <wp:positionH relativeFrom="column">
            <wp:posOffset>-976594</wp:posOffset>
          </wp:positionH>
          <wp:positionV relativeFrom="paragraph">
            <wp:posOffset>-285115</wp:posOffset>
          </wp:positionV>
          <wp:extent cx="8091805" cy="894719"/>
          <wp:effectExtent l="0" t="0" r="1079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091805" cy="89471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4309E"/>
    <w:multiLevelType w:val="hybridMultilevel"/>
    <w:tmpl w:val="ECF88118"/>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12F37A3"/>
    <w:multiLevelType w:val="hybridMultilevel"/>
    <w:tmpl w:val="EC841D3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53F10B00"/>
    <w:multiLevelType w:val="hybridMultilevel"/>
    <w:tmpl w:val="638A3A3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233"/>
    <w:rsid w:val="000118C2"/>
    <w:rsid w:val="00047772"/>
    <w:rsid w:val="000653C8"/>
    <w:rsid w:val="00065567"/>
    <w:rsid w:val="000C66E0"/>
    <w:rsid w:val="000F2706"/>
    <w:rsid w:val="001107D3"/>
    <w:rsid w:val="00154C82"/>
    <w:rsid w:val="00160C81"/>
    <w:rsid w:val="001C3E9A"/>
    <w:rsid w:val="001E2890"/>
    <w:rsid w:val="00220D1A"/>
    <w:rsid w:val="00242B86"/>
    <w:rsid w:val="00277233"/>
    <w:rsid w:val="00293D5D"/>
    <w:rsid w:val="00296FDC"/>
    <w:rsid w:val="0030399D"/>
    <w:rsid w:val="00344B65"/>
    <w:rsid w:val="003878EA"/>
    <w:rsid w:val="00397776"/>
    <w:rsid w:val="003B001C"/>
    <w:rsid w:val="003E70E8"/>
    <w:rsid w:val="00424ED2"/>
    <w:rsid w:val="004B4BEA"/>
    <w:rsid w:val="004B4FC1"/>
    <w:rsid w:val="004C624A"/>
    <w:rsid w:val="004E25E0"/>
    <w:rsid w:val="00503BA5"/>
    <w:rsid w:val="0053230B"/>
    <w:rsid w:val="00536C40"/>
    <w:rsid w:val="00542D4E"/>
    <w:rsid w:val="00582081"/>
    <w:rsid w:val="005E3625"/>
    <w:rsid w:val="005F4955"/>
    <w:rsid w:val="00601DCB"/>
    <w:rsid w:val="00634AB4"/>
    <w:rsid w:val="00651AAB"/>
    <w:rsid w:val="006B1AAC"/>
    <w:rsid w:val="006E4C0C"/>
    <w:rsid w:val="006E6111"/>
    <w:rsid w:val="006F58D6"/>
    <w:rsid w:val="006F6E3D"/>
    <w:rsid w:val="00700F49"/>
    <w:rsid w:val="007438D6"/>
    <w:rsid w:val="00754643"/>
    <w:rsid w:val="007B0988"/>
    <w:rsid w:val="007D1D27"/>
    <w:rsid w:val="008463C8"/>
    <w:rsid w:val="008912ED"/>
    <w:rsid w:val="00897FB2"/>
    <w:rsid w:val="008C0913"/>
    <w:rsid w:val="00900205"/>
    <w:rsid w:val="0090408D"/>
    <w:rsid w:val="009229F4"/>
    <w:rsid w:val="00922E14"/>
    <w:rsid w:val="009F76A4"/>
    <w:rsid w:val="00A019E7"/>
    <w:rsid w:val="00A16374"/>
    <w:rsid w:val="00A37734"/>
    <w:rsid w:val="00A6517F"/>
    <w:rsid w:val="00AC10A3"/>
    <w:rsid w:val="00AD5848"/>
    <w:rsid w:val="00AF22A2"/>
    <w:rsid w:val="00AF2AA5"/>
    <w:rsid w:val="00B16206"/>
    <w:rsid w:val="00B2664B"/>
    <w:rsid w:val="00B52F01"/>
    <w:rsid w:val="00BC075E"/>
    <w:rsid w:val="00BC2D45"/>
    <w:rsid w:val="00BF3DDE"/>
    <w:rsid w:val="00BF616A"/>
    <w:rsid w:val="00C04193"/>
    <w:rsid w:val="00C17F6F"/>
    <w:rsid w:val="00C22909"/>
    <w:rsid w:val="00C75A16"/>
    <w:rsid w:val="00CC379F"/>
    <w:rsid w:val="00D23CE0"/>
    <w:rsid w:val="00D63CC4"/>
    <w:rsid w:val="00D66BC7"/>
    <w:rsid w:val="00D80F93"/>
    <w:rsid w:val="00D8222D"/>
    <w:rsid w:val="00DC4D11"/>
    <w:rsid w:val="00DE5F1A"/>
    <w:rsid w:val="00DF328E"/>
    <w:rsid w:val="00DF5442"/>
    <w:rsid w:val="00E15A26"/>
    <w:rsid w:val="00E2315B"/>
    <w:rsid w:val="00E60463"/>
    <w:rsid w:val="00E64524"/>
    <w:rsid w:val="00ED1436"/>
    <w:rsid w:val="00EF2628"/>
    <w:rsid w:val="00F22191"/>
    <w:rsid w:val="00F2694C"/>
    <w:rsid w:val="00F33405"/>
    <w:rsid w:val="00F649D4"/>
    <w:rsid w:val="00F705FF"/>
    <w:rsid w:val="00F93EAF"/>
    <w:rsid w:val="00FB19C8"/>
    <w:rsid w:val="00FF5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DE63F5"/>
  <w14:defaultImageDpi w14:val="32767"/>
  <w15:docId w15:val="{5109E214-2B0F-42CF-96A1-563E3CAAE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2315B"/>
    <w:pPr>
      <w:keepNext/>
      <w:keepLines/>
      <w:spacing w:before="240"/>
      <w:outlineLvl w:val="0"/>
    </w:pPr>
    <w:rPr>
      <w:rFonts w:ascii="Calibri" w:eastAsiaTheme="majorEastAsia" w:hAnsi="Calibri" w:cstheme="majorBidi"/>
      <w:b/>
      <w:color w:val="00B0F0"/>
      <w:sz w:val="32"/>
      <w:szCs w:val="32"/>
    </w:rPr>
  </w:style>
  <w:style w:type="paragraph" w:styleId="Heading2">
    <w:name w:val="heading 2"/>
    <w:basedOn w:val="Normal"/>
    <w:next w:val="Normal"/>
    <w:link w:val="Heading2Char"/>
    <w:uiPriority w:val="9"/>
    <w:unhideWhenUsed/>
    <w:qFormat/>
    <w:rsid w:val="00E2315B"/>
    <w:pPr>
      <w:keepNext/>
      <w:keepLines/>
      <w:spacing w:before="40"/>
      <w:outlineLvl w:val="1"/>
    </w:pPr>
    <w:rPr>
      <w:rFonts w:ascii="Calibri" w:eastAsiaTheme="majorEastAsia" w:hAnsi="Calibri" w:cstheme="majorBidi"/>
      <w:b/>
      <w:color w:val="00B0F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0988"/>
    <w:pPr>
      <w:tabs>
        <w:tab w:val="center" w:pos="4680"/>
        <w:tab w:val="right" w:pos="9360"/>
      </w:tabs>
    </w:pPr>
  </w:style>
  <w:style w:type="character" w:customStyle="1" w:styleId="HeaderChar">
    <w:name w:val="Header Char"/>
    <w:basedOn w:val="DefaultParagraphFont"/>
    <w:link w:val="Header"/>
    <w:uiPriority w:val="99"/>
    <w:rsid w:val="007B0988"/>
  </w:style>
  <w:style w:type="paragraph" w:styleId="Footer">
    <w:name w:val="footer"/>
    <w:basedOn w:val="Normal"/>
    <w:link w:val="FooterChar"/>
    <w:uiPriority w:val="99"/>
    <w:unhideWhenUsed/>
    <w:rsid w:val="007B0988"/>
    <w:pPr>
      <w:tabs>
        <w:tab w:val="center" w:pos="4680"/>
        <w:tab w:val="right" w:pos="9360"/>
      </w:tabs>
    </w:pPr>
  </w:style>
  <w:style w:type="character" w:customStyle="1" w:styleId="FooterChar">
    <w:name w:val="Footer Char"/>
    <w:basedOn w:val="DefaultParagraphFont"/>
    <w:link w:val="Footer"/>
    <w:uiPriority w:val="99"/>
    <w:rsid w:val="007B0988"/>
  </w:style>
  <w:style w:type="table" w:styleId="TableGrid">
    <w:name w:val="Table Grid"/>
    <w:basedOn w:val="TableNormal"/>
    <w:uiPriority w:val="39"/>
    <w:rsid w:val="00AF2A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2315B"/>
    <w:rPr>
      <w:rFonts w:ascii="Calibri" w:eastAsiaTheme="majorEastAsia" w:hAnsi="Calibri" w:cstheme="majorBidi"/>
      <w:b/>
      <w:color w:val="00B0F0"/>
      <w:sz w:val="32"/>
      <w:szCs w:val="32"/>
    </w:rPr>
  </w:style>
  <w:style w:type="paragraph" w:styleId="BalloonText">
    <w:name w:val="Balloon Text"/>
    <w:basedOn w:val="Normal"/>
    <w:link w:val="BalloonTextChar"/>
    <w:uiPriority w:val="99"/>
    <w:semiHidden/>
    <w:unhideWhenUsed/>
    <w:rsid w:val="00F93E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3EAF"/>
    <w:rPr>
      <w:rFonts w:ascii="Segoe UI" w:hAnsi="Segoe UI" w:cs="Segoe UI"/>
      <w:sz w:val="18"/>
      <w:szCs w:val="18"/>
    </w:rPr>
  </w:style>
  <w:style w:type="character" w:customStyle="1" w:styleId="Heading2Char">
    <w:name w:val="Heading 2 Char"/>
    <w:basedOn w:val="DefaultParagraphFont"/>
    <w:link w:val="Heading2"/>
    <w:uiPriority w:val="9"/>
    <w:rsid w:val="00E2315B"/>
    <w:rPr>
      <w:rFonts w:ascii="Calibri" w:eastAsiaTheme="majorEastAsia" w:hAnsi="Calibri" w:cstheme="majorBidi"/>
      <w:b/>
      <w:color w:val="00B0F0"/>
      <w:sz w:val="28"/>
      <w:szCs w:val="26"/>
    </w:rPr>
  </w:style>
  <w:style w:type="table" w:customStyle="1" w:styleId="TableGridLight1">
    <w:name w:val="Table Grid Light1"/>
    <w:basedOn w:val="TableNormal"/>
    <w:uiPriority w:val="40"/>
    <w:rsid w:val="00BF616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BF616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MediumList2-Accent1">
    <w:name w:val="Medium List 2 Accent 1"/>
    <w:basedOn w:val="TableNormal"/>
    <w:uiPriority w:val="66"/>
    <w:rsid w:val="00A37734"/>
    <w:rPr>
      <w:rFonts w:asciiTheme="majorHAnsi" w:eastAsiaTheme="majorEastAsia" w:hAnsiTheme="majorHAnsi" w:cstheme="majorBidi"/>
      <w:color w:val="000000" w:themeColor="text1"/>
      <w:sz w:val="22"/>
      <w:szCs w:val="22"/>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PlainTable51">
    <w:name w:val="Plain Table 51"/>
    <w:basedOn w:val="TableNormal"/>
    <w:uiPriority w:val="45"/>
    <w:rsid w:val="00E6452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41">
    <w:name w:val="Plain Table 41"/>
    <w:basedOn w:val="TableNormal"/>
    <w:uiPriority w:val="44"/>
    <w:rsid w:val="00E6452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922E14"/>
    <w:pPr>
      <w:spacing w:after="200" w:line="276" w:lineRule="auto"/>
      <w:ind w:left="720"/>
      <w:contextualSpacing/>
    </w:pPr>
    <w:rPr>
      <w:sz w:val="22"/>
      <w:szCs w:val="22"/>
    </w:rPr>
  </w:style>
  <w:style w:type="paragraph" w:styleId="FootnoteText">
    <w:name w:val="footnote text"/>
    <w:basedOn w:val="Normal"/>
    <w:link w:val="FootnoteTextChar"/>
    <w:uiPriority w:val="99"/>
    <w:semiHidden/>
    <w:unhideWhenUsed/>
    <w:rsid w:val="003E70E8"/>
    <w:rPr>
      <w:sz w:val="20"/>
      <w:szCs w:val="20"/>
    </w:rPr>
  </w:style>
  <w:style w:type="character" w:customStyle="1" w:styleId="FootnoteTextChar">
    <w:name w:val="Footnote Text Char"/>
    <w:basedOn w:val="DefaultParagraphFont"/>
    <w:link w:val="FootnoteText"/>
    <w:uiPriority w:val="99"/>
    <w:semiHidden/>
    <w:rsid w:val="003E70E8"/>
    <w:rPr>
      <w:sz w:val="20"/>
      <w:szCs w:val="20"/>
    </w:rPr>
  </w:style>
  <w:style w:type="character" w:styleId="FootnoteReference">
    <w:name w:val="footnote reference"/>
    <w:basedOn w:val="DefaultParagraphFont"/>
    <w:uiPriority w:val="99"/>
    <w:semiHidden/>
    <w:unhideWhenUsed/>
    <w:rsid w:val="003E70E8"/>
    <w:rPr>
      <w:vertAlign w:val="superscript"/>
    </w:rPr>
  </w:style>
  <w:style w:type="character" w:styleId="Hyperlink">
    <w:name w:val="Hyperlink"/>
    <w:basedOn w:val="DefaultParagraphFont"/>
    <w:uiPriority w:val="99"/>
    <w:unhideWhenUsed/>
    <w:rsid w:val="00AC10A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9930279">
      <w:bodyDiv w:val="1"/>
      <w:marLeft w:val="0"/>
      <w:marRight w:val="0"/>
      <w:marTop w:val="0"/>
      <w:marBottom w:val="0"/>
      <w:divBdr>
        <w:top w:val="none" w:sz="0" w:space="0" w:color="auto"/>
        <w:left w:val="none" w:sz="0" w:space="0" w:color="auto"/>
        <w:bottom w:val="none" w:sz="0" w:space="0" w:color="auto"/>
        <w:right w:val="none" w:sz="0" w:space="0" w:color="auto"/>
      </w:divBdr>
    </w:div>
    <w:div w:id="1496529140">
      <w:bodyDiv w:val="1"/>
      <w:marLeft w:val="0"/>
      <w:marRight w:val="0"/>
      <w:marTop w:val="0"/>
      <w:marBottom w:val="0"/>
      <w:divBdr>
        <w:top w:val="none" w:sz="0" w:space="0" w:color="auto"/>
        <w:left w:val="none" w:sz="0" w:space="0" w:color="auto"/>
        <w:bottom w:val="none" w:sz="0" w:space="0" w:color="auto"/>
        <w:right w:val="none" w:sz="0" w:space="0" w:color="auto"/>
      </w:divBdr>
      <w:divsChild>
        <w:div w:id="719792160">
          <w:marLeft w:val="0"/>
          <w:marRight w:val="0"/>
          <w:marTop w:val="0"/>
          <w:marBottom w:val="0"/>
          <w:divBdr>
            <w:top w:val="none" w:sz="0" w:space="0" w:color="auto"/>
            <w:left w:val="none" w:sz="0" w:space="0" w:color="auto"/>
            <w:bottom w:val="none" w:sz="0" w:space="0" w:color="auto"/>
            <w:right w:val="none" w:sz="0" w:space="0" w:color="auto"/>
          </w:divBdr>
          <w:divsChild>
            <w:div w:id="1446340066">
              <w:marLeft w:val="0"/>
              <w:marRight w:val="0"/>
              <w:marTop w:val="0"/>
              <w:marBottom w:val="0"/>
              <w:divBdr>
                <w:top w:val="none" w:sz="0" w:space="0" w:color="auto"/>
                <w:left w:val="none" w:sz="0" w:space="0" w:color="auto"/>
                <w:bottom w:val="none" w:sz="0" w:space="0" w:color="auto"/>
                <w:right w:val="none" w:sz="0" w:space="0" w:color="auto"/>
              </w:divBdr>
              <w:divsChild>
                <w:div w:id="262618742">
                  <w:marLeft w:val="0"/>
                  <w:marRight w:val="0"/>
                  <w:marTop w:val="0"/>
                  <w:marBottom w:val="0"/>
                  <w:divBdr>
                    <w:top w:val="none" w:sz="0" w:space="0" w:color="auto"/>
                    <w:left w:val="none" w:sz="0" w:space="0" w:color="auto"/>
                    <w:bottom w:val="none" w:sz="0" w:space="0" w:color="auto"/>
                    <w:right w:val="none" w:sz="0" w:space="0" w:color="auto"/>
                  </w:divBdr>
                  <w:divsChild>
                    <w:div w:id="121943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68599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lections.on.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1295</Words>
  <Characters>7382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Marlo Hwang</dc:creator>
  <cp:lastModifiedBy>Vivian McCaffrey</cp:lastModifiedBy>
  <cp:revision>6</cp:revision>
  <cp:lastPrinted>2017-11-07T20:36:00Z</cp:lastPrinted>
  <dcterms:created xsi:type="dcterms:W3CDTF">2017-12-28T22:31:00Z</dcterms:created>
  <dcterms:modified xsi:type="dcterms:W3CDTF">2018-01-11T22:37:00Z</dcterms:modified>
</cp:coreProperties>
</file>