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57E9C" w14:textId="77777777" w:rsidR="006354C1" w:rsidRDefault="006354C1" w:rsidP="006354C1">
      <w:pPr>
        <w:jc w:val="center"/>
        <w:rPr>
          <w:b/>
          <w:bCs/>
          <w:color w:val="833C0B" w:themeColor="accent2" w:themeShade="80"/>
          <w:sz w:val="28"/>
          <w:szCs w:val="28"/>
        </w:rPr>
      </w:pPr>
      <w:r>
        <w:rPr>
          <w:b/>
          <w:bCs/>
          <w:color w:val="833C0B" w:themeColor="accent2" w:themeShade="80"/>
          <w:sz w:val="28"/>
          <w:szCs w:val="28"/>
        </w:rPr>
        <w:t>Backgrounder</w:t>
      </w:r>
    </w:p>
    <w:p w14:paraId="2BABF230" w14:textId="6DC2798F" w:rsidR="005025AA" w:rsidRPr="006354C1" w:rsidRDefault="006354C1" w:rsidP="006354C1">
      <w:pPr>
        <w:jc w:val="center"/>
        <w:rPr>
          <w:b/>
          <w:bCs/>
          <w:color w:val="833C0B" w:themeColor="accent2" w:themeShade="80"/>
          <w:sz w:val="28"/>
          <w:szCs w:val="28"/>
        </w:rPr>
      </w:pPr>
      <w:r>
        <w:rPr>
          <w:b/>
          <w:bCs/>
          <w:color w:val="833C0B" w:themeColor="accent2" w:themeShade="80"/>
          <w:sz w:val="28"/>
          <w:szCs w:val="28"/>
        </w:rPr>
        <w:t xml:space="preserve">International </w:t>
      </w:r>
      <w:r w:rsidRPr="006354C1">
        <w:rPr>
          <w:b/>
          <w:bCs/>
          <w:color w:val="833C0B" w:themeColor="accent2" w:themeShade="80"/>
          <w:sz w:val="28"/>
          <w:szCs w:val="28"/>
        </w:rPr>
        <w:t>Climate Finance and the DAC</w:t>
      </w:r>
    </w:p>
    <w:p w14:paraId="429F8DFE" w14:textId="7E171FF6" w:rsidR="006354C1" w:rsidRDefault="006354C1"/>
    <w:p w14:paraId="583226A3" w14:textId="415C9B0F" w:rsidR="006354C1" w:rsidRDefault="006354C1">
      <w:pPr>
        <w:rPr>
          <w:b/>
          <w:bCs/>
          <w:color w:val="833C0B" w:themeColor="accent2" w:themeShade="80"/>
        </w:rPr>
      </w:pPr>
      <w:r w:rsidRPr="006354C1">
        <w:rPr>
          <w:b/>
          <w:bCs/>
          <w:color w:val="833C0B" w:themeColor="accent2" w:themeShade="80"/>
        </w:rPr>
        <w:t xml:space="preserve">What is </w:t>
      </w:r>
      <w:r>
        <w:rPr>
          <w:b/>
          <w:bCs/>
          <w:color w:val="833C0B" w:themeColor="accent2" w:themeShade="80"/>
        </w:rPr>
        <w:t xml:space="preserve">international </w:t>
      </w:r>
      <w:r w:rsidRPr="006354C1">
        <w:rPr>
          <w:b/>
          <w:bCs/>
          <w:color w:val="833C0B" w:themeColor="accent2" w:themeShade="80"/>
        </w:rPr>
        <w:t>climate finance?</w:t>
      </w:r>
    </w:p>
    <w:p w14:paraId="1F018AD5" w14:textId="7E0BB25C" w:rsidR="006354C1" w:rsidRDefault="006354C1" w:rsidP="006354C1">
      <w:pPr>
        <w:spacing w:line="276" w:lineRule="auto"/>
        <w:rPr>
          <w:b/>
          <w:bCs/>
          <w:color w:val="833C0B" w:themeColor="accent2" w:themeShade="80"/>
          <w:sz w:val="22"/>
          <w:szCs w:val="22"/>
        </w:rPr>
      </w:pPr>
    </w:p>
    <w:p w14:paraId="21C67C2B" w14:textId="58883398" w:rsidR="006354C1" w:rsidRPr="00ED76B4" w:rsidRDefault="006354C1" w:rsidP="00FF342B">
      <w:pPr>
        <w:spacing w:line="276" w:lineRule="auto"/>
        <w:jc w:val="both"/>
        <w:rPr>
          <w:color w:val="000000" w:themeColor="text1"/>
          <w:sz w:val="22"/>
          <w:szCs w:val="22"/>
        </w:rPr>
      </w:pPr>
      <w:r w:rsidRPr="006354C1">
        <w:rPr>
          <w:color w:val="000000" w:themeColor="text1"/>
          <w:sz w:val="22"/>
          <w:szCs w:val="22"/>
        </w:rPr>
        <w:t>International climate finance</w:t>
      </w:r>
      <w:r>
        <w:rPr>
          <w:color w:val="000000" w:themeColor="text1"/>
          <w:sz w:val="22"/>
          <w:szCs w:val="22"/>
        </w:rPr>
        <w:t xml:space="preserve"> refers to </w:t>
      </w:r>
      <w:r w:rsidR="00AA69C5">
        <w:rPr>
          <w:color w:val="000000" w:themeColor="text1"/>
          <w:sz w:val="22"/>
          <w:szCs w:val="22"/>
        </w:rPr>
        <w:t xml:space="preserve">transnational financing from public, private and alternative sources that seeks to support efforts to mitigate or adapt to impacts in developing countries of the climate crisis (i.e. the atmospheric build up of greenhouse gases that is changing the patterns of climate across the globe).  </w:t>
      </w:r>
      <w:r w:rsidR="00ED76B4">
        <w:rPr>
          <w:color w:val="000000" w:themeColor="text1"/>
          <w:sz w:val="22"/>
          <w:szCs w:val="22"/>
        </w:rPr>
        <w:t xml:space="preserve">International climate finance supports the goals and commitments of the international community as set out in annual meetings of the UN Framework Convention on Climate Change (UNFCCC), which is an international treaty adopted at the 1992 </w:t>
      </w:r>
      <w:r w:rsidR="00ED76B4" w:rsidRPr="00ED76B4">
        <w:rPr>
          <w:color w:val="000000" w:themeColor="text1"/>
          <w:sz w:val="22"/>
          <w:szCs w:val="22"/>
        </w:rPr>
        <w:t>Earth Summit in Rio de Janeiro.</w:t>
      </w:r>
    </w:p>
    <w:p w14:paraId="44657B7B" w14:textId="043F0517" w:rsidR="00ED76B4" w:rsidRDefault="00ED76B4" w:rsidP="00FF342B">
      <w:pPr>
        <w:spacing w:line="276" w:lineRule="auto"/>
        <w:jc w:val="both"/>
        <w:rPr>
          <w:color w:val="000000" w:themeColor="text1"/>
          <w:sz w:val="22"/>
          <w:szCs w:val="22"/>
        </w:rPr>
      </w:pPr>
    </w:p>
    <w:p w14:paraId="00B2E9F3" w14:textId="060995B3" w:rsidR="00ED76B4" w:rsidRDefault="00ED76B4" w:rsidP="00FF342B">
      <w:pPr>
        <w:spacing w:line="276" w:lineRule="auto"/>
        <w:jc w:val="both"/>
        <w:rPr>
          <w:color w:val="000000" w:themeColor="text1"/>
          <w:sz w:val="22"/>
          <w:szCs w:val="22"/>
        </w:rPr>
      </w:pPr>
      <w:r>
        <w:rPr>
          <w:color w:val="000000" w:themeColor="text1"/>
          <w:sz w:val="22"/>
          <w:szCs w:val="22"/>
        </w:rPr>
        <w:t xml:space="preserve">In Copenhagen in 2009, at the UNFCCC Conference of the Parties (COP15), the international community committed to reach US$100 billion </w:t>
      </w:r>
      <w:r w:rsidR="00FF342B">
        <w:rPr>
          <w:color w:val="000000" w:themeColor="text1"/>
          <w:sz w:val="22"/>
          <w:szCs w:val="22"/>
        </w:rPr>
        <w:t xml:space="preserve">in total international climate finance by 2020.  This annual commitment was extended to 2025 at the 2015 Paris COP21, which also adopted the </w:t>
      </w:r>
      <w:r w:rsidR="00FF342B" w:rsidRPr="00FF342B">
        <w:rPr>
          <w:i/>
          <w:iCs/>
          <w:color w:val="000000" w:themeColor="text1"/>
          <w:sz w:val="22"/>
          <w:szCs w:val="22"/>
        </w:rPr>
        <w:t xml:space="preserve">Paris Agreement </w:t>
      </w:r>
      <w:r w:rsidR="00FF342B">
        <w:rPr>
          <w:color w:val="000000" w:themeColor="text1"/>
          <w:sz w:val="22"/>
          <w:szCs w:val="22"/>
        </w:rPr>
        <w:t>governing commitments on addressing the climate crisis by the international community.</w:t>
      </w:r>
    </w:p>
    <w:p w14:paraId="38C0A482" w14:textId="5173D6B5" w:rsidR="00FF342B" w:rsidRDefault="00FF342B" w:rsidP="00FF342B">
      <w:pPr>
        <w:spacing w:line="276" w:lineRule="auto"/>
        <w:jc w:val="both"/>
        <w:rPr>
          <w:color w:val="000000" w:themeColor="text1"/>
          <w:sz w:val="22"/>
          <w:szCs w:val="22"/>
        </w:rPr>
      </w:pPr>
    </w:p>
    <w:p w14:paraId="5A14004E" w14:textId="79807BFF" w:rsidR="00FF342B" w:rsidRDefault="00FF342B" w:rsidP="00FF342B">
      <w:pPr>
        <w:spacing w:line="276" w:lineRule="auto"/>
        <w:jc w:val="both"/>
        <w:rPr>
          <w:color w:val="000000" w:themeColor="text1"/>
          <w:sz w:val="22"/>
          <w:szCs w:val="22"/>
        </w:rPr>
      </w:pPr>
      <w:r w:rsidRPr="00790E63">
        <w:rPr>
          <w:color w:val="000000" w:themeColor="text1"/>
          <w:sz w:val="22"/>
          <w:szCs w:val="22"/>
        </w:rPr>
        <w:t>The global climate crisis is accelerating rapidly with deepening and irreversible impacts on people, nature and ecosystems.  In October 2018, the UN Intergovernmental Panel on Climate Change (IPCC) issued a landmark Report</w:t>
      </w:r>
      <w:r w:rsidR="00965895">
        <w:rPr>
          <w:color w:val="000000" w:themeColor="text1"/>
          <w:sz w:val="22"/>
          <w:szCs w:val="22"/>
        </w:rPr>
        <w:t xml:space="preserve"> on keeping global temperature increases at 1.5</w:t>
      </w:r>
      <w:r w:rsidR="00965895" w:rsidRPr="00965895">
        <w:rPr>
          <w:rFonts w:cs="Times New Roman (Body CS)"/>
          <w:color w:val="000000" w:themeColor="text1"/>
          <w:sz w:val="22"/>
          <w:szCs w:val="22"/>
          <w:vertAlign w:val="superscript"/>
        </w:rPr>
        <w:t>0</w:t>
      </w:r>
      <w:r w:rsidR="00965895">
        <w:rPr>
          <w:color w:val="000000" w:themeColor="text1"/>
          <w:sz w:val="22"/>
          <w:szCs w:val="22"/>
        </w:rPr>
        <w:t>C</w:t>
      </w:r>
      <w:r w:rsidRPr="00790E63">
        <w:rPr>
          <w:color w:val="000000" w:themeColor="text1"/>
          <w:sz w:val="22"/>
          <w:szCs w:val="22"/>
        </w:rPr>
        <w:t xml:space="preserve"> with a clarion call for transformative and unprecedented shifts in energy systems and use.  The Report concludes “with very high confidence” that severe climate change and instability “will worsen existing poverty and exacerbate inequalities, especially for those disadvantaged by gender, age, race, class, caste, indigeneity and (dis)ability.” (p. 451)</w:t>
      </w:r>
      <w:r w:rsidRPr="00790E63">
        <w:rPr>
          <w:rStyle w:val="Appeldenotedefin"/>
          <w:color w:val="000000" w:themeColor="text1"/>
          <w:sz w:val="22"/>
          <w:szCs w:val="22"/>
        </w:rPr>
        <w:endnoteReference w:id="1"/>
      </w:r>
    </w:p>
    <w:p w14:paraId="51906F50" w14:textId="2D0B24CF" w:rsidR="00790E63" w:rsidRDefault="00790E63" w:rsidP="00FF342B">
      <w:pPr>
        <w:spacing w:line="276" w:lineRule="auto"/>
        <w:jc w:val="both"/>
        <w:rPr>
          <w:color w:val="000000" w:themeColor="text1"/>
          <w:sz w:val="22"/>
          <w:szCs w:val="22"/>
        </w:rPr>
      </w:pPr>
    </w:p>
    <w:p w14:paraId="6F380624" w14:textId="6DD3632E" w:rsidR="00790E63" w:rsidRPr="00790E63" w:rsidRDefault="00790E63" w:rsidP="00790E63">
      <w:pPr>
        <w:spacing w:after="80" w:line="276" w:lineRule="auto"/>
        <w:jc w:val="both"/>
        <w:rPr>
          <w:color w:val="000000" w:themeColor="text1"/>
          <w:sz w:val="22"/>
          <w:szCs w:val="22"/>
        </w:rPr>
      </w:pPr>
      <w:r w:rsidRPr="00790E63">
        <w:rPr>
          <w:color w:val="000000" w:themeColor="text1"/>
          <w:sz w:val="22"/>
          <w:szCs w:val="22"/>
        </w:rPr>
        <w:t>In June 2019, Philip Alston, the UN Special Rapporteur on Poverty and Human Rights, suggested</w:t>
      </w:r>
      <w:r w:rsidR="006E01D9">
        <w:rPr>
          <w:color w:val="000000" w:themeColor="text1"/>
          <w:sz w:val="22"/>
          <w:szCs w:val="22"/>
        </w:rPr>
        <w:t xml:space="preserve">, </w:t>
      </w:r>
      <w:r w:rsidRPr="00790E63">
        <w:rPr>
          <w:color w:val="000000" w:themeColor="text1"/>
          <w:sz w:val="22"/>
          <w:szCs w:val="22"/>
        </w:rPr>
        <w:t>“We risk a ‘climate apartheid’ scenario where the wealthy pay to escape overheating, hunger and conflict, while the rest of the world is left to suffer.”</w:t>
      </w:r>
      <w:r w:rsidRPr="00790E63">
        <w:rPr>
          <w:rStyle w:val="Appeldenotedefin"/>
          <w:color w:val="000000" w:themeColor="text1"/>
          <w:sz w:val="22"/>
          <w:szCs w:val="22"/>
        </w:rPr>
        <w:endnoteReference w:id="2"/>
      </w:r>
      <w:r w:rsidRPr="00790E63">
        <w:rPr>
          <w:color w:val="000000" w:themeColor="text1"/>
          <w:sz w:val="22"/>
          <w:szCs w:val="22"/>
        </w:rPr>
        <w:t xml:space="preserve">  He noted the profound inequality in which developing countries would bear an estimated 75% of the cost of the climate crisis, despite the fact that the poorest half of the world’s population, mainly residing in these countries, are responsible for just 10% of historical carbon emissions.  He issued a worrying prognosis for the future of human rights:</w:t>
      </w:r>
    </w:p>
    <w:p w14:paraId="53507F6C" w14:textId="77777777" w:rsidR="00790E63" w:rsidRPr="00790E63" w:rsidRDefault="00790E63" w:rsidP="00790E63">
      <w:pPr>
        <w:spacing w:line="276" w:lineRule="auto"/>
        <w:ind w:left="720"/>
        <w:jc w:val="both"/>
        <w:rPr>
          <w:color w:val="000000" w:themeColor="text1"/>
          <w:sz w:val="22"/>
          <w:szCs w:val="22"/>
        </w:rPr>
      </w:pPr>
      <w:r w:rsidRPr="00790E63">
        <w:rPr>
          <w:color w:val="000000" w:themeColor="text1"/>
          <w:sz w:val="22"/>
          <w:szCs w:val="22"/>
        </w:rPr>
        <w:t>“Democracy and the rule of law, as well as a wide range of civil and political rights are every bit at risk.  …  The risk of community discontent, of growing inequality, and even greater levels of deprivation among some groups, will likely stimulate nationalist, xenophobic, racist and other responses.  Maintaining a balanced approach to civil and political rights will be extremely complex.”</w:t>
      </w:r>
      <w:r w:rsidRPr="00790E63">
        <w:rPr>
          <w:rStyle w:val="Appeldenotedefin"/>
          <w:color w:val="000000" w:themeColor="text1"/>
          <w:sz w:val="22"/>
          <w:szCs w:val="22"/>
        </w:rPr>
        <w:endnoteReference w:id="3"/>
      </w:r>
    </w:p>
    <w:p w14:paraId="1F8FEB06" w14:textId="77777777" w:rsidR="00790E63" w:rsidRPr="00790E63" w:rsidRDefault="00790E63" w:rsidP="00790E63">
      <w:pPr>
        <w:spacing w:line="276" w:lineRule="auto"/>
        <w:jc w:val="both"/>
        <w:rPr>
          <w:color w:val="000000" w:themeColor="text1"/>
          <w:sz w:val="22"/>
          <w:szCs w:val="22"/>
        </w:rPr>
      </w:pPr>
    </w:p>
    <w:p w14:paraId="6400C288" w14:textId="1D27055C" w:rsidR="00FF342B" w:rsidRDefault="00E6350C" w:rsidP="00FF342B">
      <w:pPr>
        <w:spacing w:line="276" w:lineRule="auto"/>
        <w:jc w:val="both"/>
        <w:rPr>
          <w:color w:val="000000" w:themeColor="text1"/>
          <w:sz w:val="22"/>
          <w:szCs w:val="22"/>
        </w:rPr>
      </w:pPr>
      <w:r>
        <w:rPr>
          <w:color w:val="000000" w:themeColor="text1"/>
          <w:sz w:val="22"/>
          <w:szCs w:val="22"/>
        </w:rPr>
        <w:t>With</w:t>
      </w:r>
      <w:r w:rsidR="00790E63">
        <w:rPr>
          <w:color w:val="000000" w:themeColor="text1"/>
          <w:sz w:val="22"/>
          <w:szCs w:val="22"/>
        </w:rPr>
        <w:t xml:space="preserve"> t</w:t>
      </w:r>
      <w:r>
        <w:rPr>
          <w:color w:val="000000" w:themeColor="text1"/>
          <w:sz w:val="22"/>
          <w:szCs w:val="22"/>
        </w:rPr>
        <w:t xml:space="preserve">he </w:t>
      </w:r>
      <w:r w:rsidR="006E01D9">
        <w:rPr>
          <w:color w:val="000000" w:themeColor="text1"/>
          <w:sz w:val="22"/>
          <w:szCs w:val="22"/>
        </w:rPr>
        <w:t>climate crisis</w:t>
      </w:r>
      <w:r w:rsidR="00790E63">
        <w:rPr>
          <w:color w:val="000000" w:themeColor="text1"/>
          <w:sz w:val="22"/>
          <w:szCs w:val="22"/>
        </w:rPr>
        <w:t xml:space="preserve"> increasingly understood as a “climate emergency,” DAC providers must respond with </w:t>
      </w:r>
      <w:r>
        <w:rPr>
          <w:color w:val="000000" w:themeColor="text1"/>
          <w:sz w:val="22"/>
          <w:szCs w:val="22"/>
        </w:rPr>
        <w:t xml:space="preserve">ambitious targets for </w:t>
      </w:r>
      <w:r w:rsidR="006E01D9">
        <w:rPr>
          <w:color w:val="000000" w:themeColor="text1"/>
          <w:sz w:val="22"/>
          <w:szCs w:val="22"/>
        </w:rPr>
        <w:t xml:space="preserve">transformative </w:t>
      </w:r>
      <w:r>
        <w:rPr>
          <w:color w:val="000000" w:themeColor="text1"/>
          <w:sz w:val="22"/>
          <w:szCs w:val="22"/>
        </w:rPr>
        <w:t xml:space="preserve">climate finance to address both mitigation (seeking the </w:t>
      </w:r>
      <w:r w:rsidR="006E01D9">
        <w:rPr>
          <w:color w:val="000000" w:themeColor="text1"/>
          <w:sz w:val="22"/>
          <w:szCs w:val="22"/>
        </w:rPr>
        <w:t xml:space="preserve">rapid </w:t>
      </w:r>
      <w:r>
        <w:rPr>
          <w:color w:val="000000" w:themeColor="text1"/>
          <w:sz w:val="22"/>
          <w:szCs w:val="22"/>
        </w:rPr>
        <w:t>reduction of emissions) and adaptation (</w:t>
      </w:r>
      <w:r w:rsidR="006E01D9">
        <w:rPr>
          <w:color w:val="000000" w:themeColor="text1"/>
          <w:sz w:val="22"/>
          <w:szCs w:val="22"/>
        </w:rPr>
        <w:t>increasing</w:t>
      </w:r>
      <w:r>
        <w:rPr>
          <w:color w:val="000000" w:themeColor="text1"/>
          <w:sz w:val="22"/>
          <w:szCs w:val="22"/>
        </w:rPr>
        <w:t xml:space="preserve"> resilience in responding to</w:t>
      </w:r>
      <w:r w:rsidR="006E01D9">
        <w:rPr>
          <w:color w:val="000000" w:themeColor="text1"/>
          <w:sz w:val="22"/>
          <w:szCs w:val="22"/>
        </w:rPr>
        <w:t xml:space="preserve"> existing</w:t>
      </w:r>
      <w:r>
        <w:rPr>
          <w:color w:val="000000" w:themeColor="text1"/>
          <w:sz w:val="22"/>
          <w:szCs w:val="22"/>
        </w:rPr>
        <w:t xml:space="preserve"> climate change impacts).  </w:t>
      </w:r>
      <w:r w:rsidR="006E01D9">
        <w:rPr>
          <w:color w:val="000000" w:themeColor="text1"/>
          <w:sz w:val="22"/>
          <w:szCs w:val="22"/>
        </w:rPr>
        <w:t xml:space="preserve">From a human rights and climate justice perspective, they must do so by giving </w:t>
      </w:r>
      <w:r>
        <w:rPr>
          <w:color w:val="000000" w:themeColor="text1"/>
          <w:sz w:val="22"/>
          <w:szCs w:val="22"/>
        </w:rPr>
        <w:t>particular priority to</w:t>
      </w:r>
      <w:r w:rsidR="006E01D9">
        <w:rPr>
          <w:color w:val="000000" w:themeColor="text1"/>
          <w:sz w:val="22"/>
          <w:szCs w:val="22"/>
        </w:rPr>
        <w:t xml:space="preserve"> the rights and interests of</w:t>
      </w:r>
      <w:r>
        <w:rPr>
          <w:color w:val="000000" w:themeColor="text1"/>
          <w:sz w:val="22"/>
          <w:szCs w:val="22"/>
        </w:rPr>
        <w:t xml:space="preserve"> countries and peoples most vulnerable to the evolving climate crisis.</w:t>
      </w:r>
    </w:p>
    <w:p w14:paraId="7D056E0A" w14:textId="545B6ABF" w:rsidR="00A40BC4" w:rsidRDefault="00A40BC4" w:rsidP="00FF342B">
      <w:pPr>
        <w:spacing w:line="276" w:lineRule="auto"/>
        <w:jc w:val="both"/>
        <w:rPr>
          <w:color w:val="000000" w:themeColor="text1"/>
          <w:sz w:val="22"/>
          <w:szCs w:val="22"/>
        </w:rPr>
      </w:pPr>
    </w:p>
    <w:p w14:paraId="521AF7A1" w14:textId="225299A5" w:rsidR="00A40BC4" w:rsidRPr="00A40BC4" w:rsidRDefault="00A40BC4" w:rsidP="00A40BC4">
      <w:pPr>
        <w:jc w:val="both"/>
        <w:rPr>
          <w:b/>
          <w:bCs/>
          <w:color w:val="7F3C05"/>
        </w:rPr>
      </w:pPr>
      <w:r w:rsidRPr="00A40BC4">
        <w:rPr>
          <w:b/>
          <w:bCs/>
          <w:color w:val="7F3C05"/>
        </w:rPr>
        <w:t>Why is climate finance important to Africa?</w:t>
      </w:r>
    </w:p>
    <w:p w14:paraId="55DD1BD1" w14:textId="033ADAE2" w:rsidR="00A40BC4" w:rsidRDefault="00A40BC4" w:rsidP="00FF342B">
      <w:pPr>
        <w:spacing w:line="276" w:lineRule="auto"/>
        <w:jc w:val="both"/>
        <w:rPr>
          <w:color w:val="000000" w:themeColor="text1"/>
          <w:sz w:val="22"/>
          <w:szCs w:val="22"/>
        </w:rPr>
      </w:pPr>
    </w:p>
    <w:p w14:paraId="03EBC9E0" w14:textId="1D30D336" w:rsidR="004E1555" w:rsidRDefault="004E1555" w:rsidP="00FF342B">
      <w:pPr>
        <w:spacing w:line="276" w:lineRule="auto"/>
        <w:jc w:val="both"/>
        <w:rPr>
          <w:color w:val="000000" w:themeColor="text1"/>
          <w:sz w:val="22"/>
          <w:szCs w:val="22"/>
        </w:rPr>
      </w:pPr>
      <w:r>
        <w:rPr>
          <w:color w:val="000000" w:themeColor="text1"/>
          <w:sz w:val="22"/>
          <w:szCs w:val="22"/>
        </w:rPr>
        <w:t>The UNFCCC describes Least Developed Countries, Small Island Developing States and Sub-Saharan Africa as particularly vulnerable to climate change impacts.</w:t>
      </w:r>
    </w:p>
    <w:p w14:paraId="7523759D" w14:textId="77777777" w:rsidR="00CA64A6" w:rsidRDefault="00CA64A6" w:rsidP="00FF342B">
      <w:pPr>
        <w:spacing w:line="276" w:lineRule="auto"/>
        <w:jc w:val="both"/>
        <w:rPr>
          <w:color w:val="000000" w:themeColor="text1"/>
          <w:sz w:val="22"/>
          <w:szCs w:val="22"/>
        </w:rPr>
      </w:pPr>
    </w:p>
    <w:p w14:paraId="641DCECD" w14:textId="01B07A5B" w:rsidR="00CA64A6" w:rsidRDefault="00CA64A6" w:rsidP="00CA64A6">
      <w:pPr>
        <w:spacing w:line="276" w:lineRule="auto"/>
        <w:jc w:val="both"/>
        <w:rPr>
          <w:color w:val="000000" w:themeColor="text1"/>
          <w:sz w:val="22"/>
          <w:szCs w:val="22"/>
        </w:rPr>
      </w:pPr>
      <w:r w:rsidRPr="00CA64A6">
        <w:rPr>
          <w:rFonts w:ascii="Times New Roman" w:eastAsia="Times New Roman" w:hAnsi="Times New Roman" w:cs="Times New Roman"/>
        </w:rPr>
        <w:t>I</w:t>
      </w:r>
      <w:r w:rsidRPr="00CA64A6">
        <w:rPr>
          <w:color w:val="000000" w:themeColor="text1"/>
          <w:sz w:val="22"/>
          <w:szCs w:val="22"/>
        </w:rPr>
        <w:t xml:space="preserve">f the global mean temperature reaches 2° C of global warming, it will cause </w:t>
      </w:r>
      <w:r w:rsidR="005E7AEC">
        <w:rPr>
          <w:color w:val="000000" w:themeColor="text1"/>
          <w:sz w:val="22"/>
          <w:szCs w:val="22"/>
        </w:rPr>
        <w:t xml:space="preserve">very </w:t>
      </w:r>
      <w:r w:rsidRPr="00CA64A6">
        <w:rPr>
          <w:color w:val="000000" w:themeColor="text1"/>
          <w:sz w:val="22"/>
          <w:szCs w:val="22"/>
        </w:rPr>
        <w:t>significant changes in the occurrence and intensity of temperature extremes in all sub-Saharan regions.</w:t>
      </w:r>
      <w:r>
        <w:rPr>
          <w:color w:val="000000" w:themeColor="text1"/>
          <w:sz w:val="22"/>
          <w:szCs w:val="22"/>
        </w:rPr>
        <w:t xml:space="preserve">  The planet is currently on track for 3</w:t>
      </w:r>
      <w:r w:rsidRPr="00CA64A6">
        <w:rPr>
          <w:color w:val="000000" w:themeColor="text1"/>
          <w:sz w:val="22"/>
          <w:szCs w:val="22"/>
        </w:rPr>
        <w:t>° C</w:t>
      </w:r>
      <w:r>
        <w:rPr>
          <w:color w:val="000000" w:themeColor="text1"/>
          <w:sz w:val="22"/>
          <w:szCs w:val="22"/>
        </w:rPr>
        <w:t xml:space="preserve"> global warming before the end of the century.</w:t>
      </w:r>
    </w:p>
    <w:p w14:paraId="39FCF065" w14:textId="77777777" w:rsidR="00CA64A6" w:rsidRPr="00CA64A6" w:rsidRDefault="00CA64A6" w:rsidP="00CA64A6">
      <w:pPr>
        <w:spacing w:line="276" w:lineRule="auto"/>
        <w:jc w:val="both"/>
        <w:rPr>
          <w:color w:val="000000" w:themeColor="text1"/>
          <w:sz w:val="22"/>
          <w:szCs w:val="22"/>
        </w:rPr>
      </w:pPr>
    </w:p>
    <w:p w14:paraId="2ED94A57" w14:textId="5D8AA771" w:rsidR="00CA64A6" w:rsidRDefault="00CA64A6" w:rsidP="005E2F20">
      <w:pPr>
        <w:spacing w:line="276" w:lineRule="auto"/>
        <w:jc w:val="both"/>
        <w:rPr>
          <w:color w:val="000000" w:themeColor="text1"/>
          <w:sz w:val="22"/>
          <w:szCs w:val="22"/>
        </w:rPr>
      </w:pPr>
      <w:r w:rsidRPr="00CA64A6">
        <w:rPr>
          <w:color w:val="000000" w:themeColor="text1"/>
          <w:sz w:val="22"/>
          <w:szCs w:val="22"/>
        </w:rPr>
        <w:t xml:space="preserve">According to the IPCC, the western Sahel region will experience the strongest drying, with </w:t>
      </w:r>
      <w:r w:rsidR="005E2F20">
        <w:rPr>
          <w:color w:val="000000" w:themeColor="text1"/>
          <w:sz w:val="22"/>
          <w:szCs w:val="22"/>
        </w:rPr>
        <w:t>long periods of</w:t>
      </w:r>
      <w:r w:rsidRPr="00CA64A6">
        <w:rPr>
          <w:color w:val="000000" w:themeColor="text1"/>
          <w:sz w:val="22"/>
          <w:szCs w:val="22"/>
        </w:rPr>
        <w:t xml:space="preserve"> maximum length of dry spells</w:t>
      </w:r>
      <w:r w:rsidR="005E2F20">
        <w:rPr>
          <w:color w:val="000000" w:themeColor="text1"/>
          <w:sz w:val="22"/>
          <w:szCs w:val="22"/>
        </w:rPr>
        <w:t xml:space="preserve">, creating </w:t>
      </w:r>
      <w:r w:rsidRPr="00CA64A6">
        <w:rPr>
          <w:color w:val="000000" w:themeColor="text1"/>
          <w:sz w:val="22"/>
          <w:szCs w:val="22"/>
        </w:rPr>
        <w:t xml:space="preserve">an environment of </w:t>
      </w:r>
      <w:r w:rsidR="005E2F20">
        <w:rPr>
          <w:color w:val="000000" w:themeColor="text1"/>
          <w:sz w:val="22"/>
          <w:szCs w:val="22"/>
        </w:rPr>
        <w:t xml:space="preserve">temperature extremes, </w:t>
      </w:r>
      <w:r w:rsidRPr="00CA64A6">
        <w:rPr>
          <w:color w:val="000000" w:themeColor="text1"/>
          <w:sz w:val="22"/>
          <w:szCs w:val="22"/>
        </w:rPr>
        <w:t>shrinking natural resources, including land and water resources.</w:t>
      </w:r>
    </w:p>
    <w:p w14:paraId="2D1E5A4C" w14:textId="77777777" w:rsidR="005E2F20" w:rsidRPr="00CA64A6" w:rsidRDefault="005E2F20" w:rsidP="005E2F20">
      <w:pPr>
        <w:spacing w:line="276" w:lineRule="auto"/>
        <w:jc w:val="both"/>
        <w:rPr>
          <w:color w:val="000000" w:themeColor="text1"/>
          <w:sz w:val="22"/>
          <w:szCs w:val="22"/>
        </w:rPr>
      </w:pPr>
    </w:p>
    <w:p w14:paraId="6CF40EBC" w14:textId="6BAAF145" w:rsidR="00CA64A6" w:rsidRPr="00CA64A6" w:rsidRDefault="00CA64A6" w:rsidP="00CA64A6">
      <w:pPr>
        <w:spacing w:line="276" w:lineRule="auto"/>
        <w:jc w:val="both"/>
        <w:rPr>
          <w:color w:val="000000" w:themeColor="text1"/>
          <w:sz w:val="22"/>
          <w:szCs w:val="22"/>
        </w:rPr>
      </w:pPr>
      <w:r w:rsidRPr="00CA64A6">
        <w:rPr>
          <w:color w:val="000000" w:themeColor="text1"/>
          <w:sz w:val="22"/>
          <w:szCs w:val="22"/>
        </w:rPr>
        <w:t xml:space="preserve">West Africa </w:t>
      </w:r>
      <w:r w:rsidR="005E7AEC">
        <w:rPr>
          <w:color w:val="000000" w:themeColor="text1"/>
          <w:sz w:val="22"/>
          <w:szCs w:val="22"/>
        </w:rPr>
        <w:t xml:space="preserve">also </w:t>
      </w:r>
      <w:r w:rsidRPr="00CA64A6">
        <w:rPr>
          <w:color w:val="000000" w:themeColor="text1"/>
          <w:sz w:val="22"/>
          <w:szCs w:val="22"/>
        </w:rPr>
        <w:t xml:space="preserve">has been identified as a climate-change hotspot, with climate change likely to lessen crop yields and production, with resultant impacts on food security.  </w:t>
      </w:r>
      <w:r w:rsidR="005E2F20">
        <w:rPr>
          <w:color w:val="000000" w:themeColor="text1"/>
          <w:sz w:val="22"/>
          <w:szCs w:val="22"/>
        </w:rPr>
        <w:t xml:space="preserve">A similar pattern is projected for the western part of Southern Africa. </w:t>
      </w:r>
      <w:r w:rsidR="00B21C01">
        <w:rPr>
          <w:color w:val="000000" w:themeColor="text1"/>
          <w:sz w:val="22"/>
          <w:szCs w:val="22"/>
        </w:rPr>
        <w:t xml:space="preserve"> Millions of hectares of agricultural land will be much less productive affecting people in areas already prone to food insecurity. </w:t>
      </w:r>
      <w:r w:rsidR="005E2F20">
        <w:rPr>
          <w:color w:val="000000" w:themeColor="text1"/>
          <w:sz w:val="22"/>
          <w:szCs w:val="22"/>
        </w:rPr>
        <w:t xml:space="preserve"> </w:t>
      </w:r>
      <w:r w:rsidRPr="00CA64A6">
        <w:rPr>
          <w:color w:val="000000" w:themeColor="text1"/>
          <w:sz w:val="22"/>
          <w:szCs w:val="22"/>
        </w:rPr>
        <w:t xml:space="preserve">Drought, desertification and scarcity of </w:t>
      </w:r>
      <w:r w:rsidR="00EF73FF">
        <w:rPr>
          <w:color w:val="000000" w:themeColor="text1"/>
          <w:sz w:val="22"/>
          <w:szCs w:val="22"/>
        </w:rPr>
        <w:t xml:space="preserve">water </w:t>
      </w:r>
      <w:r w:rsidRPr="00CA64A6">
        <w:rPr>
          <w:color w:val="000000" w:themeColor="text1"/>
          <w:sz w:val="22"/>
          <w:szCs w:val="22"/>
        </w:rPr>
        <w:t xml:space="preserve">resources have led to heightened conflicts between crop farmers and cattle herders, </w:t>
      </w:r>
      <w:r w:rsidR="005E2F20">
        <w:rPr>
          <w:color w:val="000000" w:themeColor="text1"/>
          <w:sz w:val="22"/>
          <w:szCs w:val="22"/>
        </w:rPr>
        <w:t>increasing tendencies towards</w:t>
      </w:r>
      <w:r w:rsidRPr="00CA64A6">
        <w:rPr>
          <w:color w:val="000000" w:themeColor="text1"/>
          <w:sz w:val="22"/>
          <w:szCs w:val="22"/>
        </w:rPr>
        <w:t xml:space="preserve"> weak</w:t>
      </w:r>
      <w:r w:rsidR="005E2F20">
        <w:rPr>
          <w:color w:val="000000" w:themeColor="text1"/>
          <w:sz w:val="22"/>
          <w:szCs w:val="22"/>
        </w:rPr>
        <w:t>ening</w:t>
      </w:r>
      <w:r w:rsidRPr="00CA64A6">
        <w:rPr>
          <w:color w:val="000000" w:themeColor="text1"/>
          <w:sz w:val="22"/>
          <w:szCs w:val="22"/>
        </w:rPr>
        <w:t xml:space="preserve"> governance</w:t>
      </w:r>
      <w:r w:rsidR="005E2F20">
        <w:rPr>
          <w:color w:val="000000" w:themeColor="text1"/>
          <w:sz w:val="22"/>
          <w:szCs w:val="22"/>
        </w:rPr>
        <w:t>.</w:t>
      </w:r>
    </w:p>
    <w:p w14:paraId="248A6C1E" w14:textId="13CED602" w:rsidR="004E1555" w:rsidRDefault="004E1555" w:rsidP="00FF342B">
      <w:pPr>
        <w:spacing w:line="276" w:lineRule="auto"/>
        <w:jc w:val="both"/>
        <w:rPr>
          <w:color w:val="000000" w:themeColor="text1"/>
          <w:sz w:val="22"/>
          <w:szCs w:val="22"/>
        </w:rPr>
      </w:pPr>
    </w:p>
    <w:p w14:paraId="1F022383" w14:textId="33DB72C7" w:rsidR="00967131" w:rsidRDefault="00B21C01" w:rsidP="00874B6C">
      <w:pPr>
        <w:spacing w:line="276" w:lineRule="auto"/>
        <w:jc w:val="both"/>
        <w:rPr>
          <w:color w:val="000000" w:themeColor="text1"/>
          <w:sz w:val="22"/>
          <w:szCs w:val="22"/>
        </w:rPr>
      </w:pPr>
      <w:r>
        <w:rPr>
          <w:color w:val="000000" w:themeColor="text1"/>
          <w:sz w:val="22"/>
          <w:szCs w:val="22"/>
        </w:rPr>
        <w:t xml:space="preserve">Increasing temperatures, particularly around the equator, will affect the distribution of </w:t>
      </w:r>
      <w:r w:rsidR="009D26DA">
        <w:rPr>
          <w:color w:val="000000" w:themeColor="text1"/>
          <w:sz w:val="22"/>
          <w:szCs w:val="22"/>
        </w:rPr>
        <w:t>ecologically determined</w:t>
      </w:r>
      <w:r>
        <w:rPr>
          <w:color w:val="000000" w:themeColor="text1"/>
          <w:sz w:val="22"/>
          <w:szCs w:val="22"/>
        </w:rPr>
        <w:t xml:space="preserve"> diseases into currently more temperate areas, with fragile health systems.</w:t>
      </w:r>
      <w:r w:rsidR="009D26DA">
        <w:rPr>
          <w:color w:val="000000" w:themeColor="text1"/>
          <w:sz w:val="22"/>
          <w:szCs w:val="22"/>
        </w:rPr>
        <w:t xml:space="preserve">  Health impacts will also be compounded by increasing food insecurity</w:t>
      </w:r>
      <w:r w:rsidR="0079074D">
        <w:rPr>
          <w:color w:val="000000" w:themeColor="text1"/>
          <w:sz w:val="22"/>
          <w:szCs w:val="22"/>
        </w:rPr>
        <w:t xml:space="preserve"> and potential climate induced migration.</w:t>
      </w:r>
    </w:p>
    <w:p w14:paraId="0691EEF1" w14:textId="278834D2" w:rsidR="00B21C01" w:rsidRDefault="00B21C01" w:rsidP="00874B6C">
      <w:pPr>
        <w:spacing w:line="276" w:lineRule="auto"/>
        <w:jc w:val="both"/>
        <w:rPr>
          <w:color w:val="000000" w:themeColor="text1"/>
          <w:sz w:val="22"/>
          <w:szCs w:val="22"/>
        </w:rPr>
      </w:pPr>
    </w:p>
    <w:p w14:paraId="3F620EFD" w14:textId="65A95826" w:rsidR="00B21C01" w:rsidRDefault="00EF73FF" w:rsidP="00874B6C">
      <w:pPr>
        <w:spacing w:line="276" w:lineRule="auto"/>
        <w:jc w:val="both"/>
        <w:rPr>
          <w:rFonts w:ascii="ø¥∆Ñ˛" w:hAnsi="ø¥∆Ñ˛" w:cs="ø¥∆Ñ˛"/>
          <w:color w:val="414142"/>
          <w:sz w:val="18"/>
          <w:szCs w:val="18"/>
          <w:lang w:val="en-US"/>
        </w:rPr>
      </w:pPr>
      <w:r>
        <w:rPr>
          <w:color w:val="000000" w:themeColor="text1"/>
          <w:sz w:val="22"/>
          <w:szCs w:val="22"/>
        </w:rPr>
        <w:t xml:space="preserve">The Kenyan economy, for example, is already </w:t>
      </w:r>
      <w:r w:rsidR="0079074D">
        <w:rPr>
          <w:color w:val="000000" w:themeColor="text1"/>
          <w:sz w:val="22"/>
          <w:szCs w:val="22"/>
        </w:rPr>
        <w:t>being affected</w:t>
      </w:r>
      <w:r>
        <w:rPr>
          <w:color w:val="000000" w:themeColor="text1"/>
          <w:sz w:val="22"/>
          <w:szCs w:val="22"/>
        </w:rPr>
        <w:t xml:space="preserve"> by c</w:t>
      </w:r>
      <w:r w:rsidR="00B21C01">
        <w:rPr>
          <w:color w:val="000000" w:themeColor="text1"/>
          <w:sz w:val="22"/>
          <w:szCs w:val="22"/>
        </w:rPr>
        <w:t>limate change</w:t>
      </w:r>
      <w:r>
        <w:rPr>
          <w:color w:val="000000" w:themeColor="text1"/>
          <w:sz w:val="22"/>
          <w:szCs w:val="22"/>
        </w:rPr>
        <w:t xml:space="preserve"> from persistent drought.  One estimate is that the economy lost US$12.1 billion across a four-year drought from 2008 to 2011, with the poorest people suffering the greatest losses.  These losses are expected to rise and claim at least 3% of the Kenyan economy by 2030.  Overall, loss and damages may cost Africa up to US$100 billion per year by </w:t>
      </w:r>
      <w:r w:rsidR="007F3313">
        <w:rPr>
          <w:color w:val="000000" w:themeColor="text1"/>
          <w:sz w:val="22"/>
          <w:szCs w:val="22"/>
        </w:rPr>
        <w:t xml:space="preserve">2050 at </w:t>
      </w:r>
      <w:r w:rsidR="0079074D">
        <w:rPr>
          <w:color w:val="000000" w:themeColor="text1"/>
          <w:sz w:val="22"/>
          <w:szCs w:val="22"/>
        </w:rPr>
        <w:t xml:space="preserve">a </w:t>
      </w:r>
      <w:r w:rsidR="007F3313">
        <w:rPr>
          <w:color w:val="000000" w:themeColor="text1"/>
          <w:sz w:val="22"/>
          <w:szCs w:val="22"/>
        </w:rPr>
        <w:t>2</w:t>
      </w:r>
      <w:r w:rsidR="007F3313" w:rsidRPr="007F3313">
        <w:rPr>
          <w:rFonts w:cs="Times New Roman (Body CS)"/>
          <w:color w:val="000000" w:themeColor="text1"/>
          <w:sz w:val="22"/>
          <w:szCs w:val="22"/>
          <w:vertAlign w:val="superscript"/>
        </w:rPr>
        <w:t>o</w:t>
      </w:r>
      <w:r w:rsidR="007F3313">
        <w:rPr>
          <w:color w:val="000000" w:themeColor="text1"/>
          <w:sz w:val="22"/>
          <w:szCs w:val="22"/>
        </w:rPr>
        <w:t xml:space="preserve"> C</w:t>
      </w:r>
      <w:r w:rsidR="0079074D">
        <w:rPr>
          <w:color w:val="000000" w:themeColor="text1"/>
          <w:sz w:val="22"/>
          <w:szCs w:val="22"/>
        </w:rPr>
        <w:t xml:space="preserve"> increase</w:t>
      </w:r>
      <w:r w:rsidR="007F3313">
        <w:rPr>
          <w:color w:val="000000" w:themeColor="text1"/>
          <w:sz w:val="22"/>
          <w:szCs w:val="22"/>
        </w:rPr>
        <w:t xml:space="preserve">, and much more if average temperatures exceed this </w:t>
      </w:r>
      <w:r w:rsidR="0079074D">
        <w:rPr>
          <w:color w:val="000000" w:themeColor="text1"/>
          <w:sz w:val="22"/>
          <w:szCs w:val="22"/>
        </w:rPr>
        <w:t>level</w:t>
      </w:r>
      <w:r w:rsidR="007F3313">
        <w:rPr>
          <w:color w:val="000000" w:themeColor="text1"/>
          <w:sz w:val="22"/>
          <w:szCs w:val="22"/>
        </w:rPr>
        <w:t>.</w:t>
      </w:r>
      <w:r w:rsidR="005C6698">
        <w:rPr>
          <w:rStyle w:val="Appeldenotedefin"/>
          <w:color w:val="000000" w:themeColor="text1"/>
          <w:sz w:val="22"/>
          <w:szCs w:val="22"/>
        </w:rPr>
        <w:endnoteReference w:id="4"/>
      </w:r>
    </w:p>
    <w:p w14:paraId="66A94309" w14:textId="14A907A2" w:rsidR="000B46A2" w:rsidRDefault="000B46A2" w:rsidP="000B46A2">
      <w:pPr>
        <w:spacing w:line="276" w:lineRule="auto"/>
        <w:jc w:val="both"/>
        <w:rPr>
          <w:color w:val="000000" w:themeColor="text1"/>
          <w:sz w:val="22"/>
          <w:szCs w:val="22"/>
        </w:rPr>
      </w:pPr>
    </w:p>
    <w:p w14:paraId="2270A922" w14:textId="68D0B0FC" w:rsidR="00A40BC4" w:rsidRPr="00A40BC4" w:rsidRDefault="00A40BC4" w:rsidP="00FF342B">
      <w:pPr>
        <w:spacing w:line="276" w:lineRule="auto"/>
        <w:jc w:val="both"/>
        <w:rPr>
          <w:b/>
          <w:bCs/>
          <w:color w:val="7F3C05"/>
        </w:rPr>
      </w:pPr>
      <w:r w:rsidRPr="00CA64A6">
        <w:rPr>
          <w:b/>
          <w:bCs/>
          <w:color w:val="833C0B" w:themeColor="accent2" w:themeShade="80"/>
          <w:sz w:val="22"/>
          <w:szCs w:val="22"/>
        </w:rPr>
        <w:t>W</w:t>
      </w:r>
      <w:r w:rsidRPr="00A40BC4">
        <w:rPr>
          <w:b/>
          <w:bCs/>
          <w:color w:val="7F3C05"/>
        </w:rPr>
        <w:t xml:space="preserve">hat are </w:t>
      </w:r>
      <w:r w:rsidR="004E1555">
        <w:rPr>
          <w:b/>
          <w:bCs/>
          <w:color w:val="7F3C05"/>
        </w:rPr>
        <w:t>some</w:t>
      </w:r>
      <w:r w:rsidRPr="00A40BC4">
        <w:rPr>
          <w:b/>
          <w:bCs/>
          <w:color w:val="7F3C05"/>
        </w:rPr>
        <w:t xml:space="preserve"> key issues in</w:t>
      </w:r>
      <w:r w:rsidR="004E1555">
        <w:rPr>
          <w:b/>
          <w:bCs/>
          <w:color w:val="7F3C05"/>
        </w:rPr>
        <w:t xml:space="preserve"> international</w:t>
      </w:r>
      <w:r w:rsidRPr="00A40BC4">
        <w:rPr>
          <w:b/>
          <w:bCs/>
          <w:color w:val="7F3C05"/>
        </w:rPr>
        <w:t xml:space="preserve"> climate finance?</w:t>
      </w:r>
    </w:p>
    <w:p w14:paraId="58E424FE" w14:textId="436C0DD9" w:rsidR="00A40BC4" w:rsidRDefault="00A40BC4" w:rsidP="00FF342B">
      <w:pPr>
        <w:spacing w:line="276" w:lineRule="auto"/>
        <w:jc w:val="both"/>
        <w:rPr>
          <w:color w:val="000000" w:themeColor="text1"/>
          <w:sz w:val="22"/>
          <w:szCs w:val="22"/>
        </w:rPr>
      </w:pPr>
    </w:p>
    <w:p w14:paraId="42BA690F" w14:textId="1818C554" w:rsidR="001154E9" w:rsidRPr="001154E9" w:rsidRDefault="001154E9" w:rsidP="00026759">
      <w:pPr>
        <w:numPr>
          <w:ilvl w:val="0"/>
          <w:numId w:val="1"/>
        </w:numPr>
        <w:tabs>
          <w:tab w:val="clear" w:pos="720"/>
          <w:tab w:val="num" w:pos="360"/>
        </w:tabs>
        <w:spacing w:after="80" w:line="276" w:lineRule="auto"/>
        <w:ind w:left="360" w:hanging="357"/>
        <w:jc w:val="both"/>
        <w:rPr>
          <w:color w:val="000000" w:themeColor="text1"/>
          <w:sz w:val="22"/>
          <w:szCs w:val="22"/>
        </w:rPr>
      </w:pPr>
      <w:r w:rsidRPr="001154E9">
        <w:rPr>
          <w:b/>
          <w:bCs/>
          <w:color w:val="000000" w:themeColor="text1"/>
          <w:sz w:val="22"/>
          <w:szCs w:val="22"/>
          <w:lang w:val="en-US"/>
        </w:rPr>
        <w:t xml:space="preserve">Assessing climate finance: </w:t>
      </w:r>
      <w:r w:rsidR="006216DC">
        <w:rPr>
          <w:b/>
          <w:bCs/>
          <w:color w:val="000000" w:themeColor="text1"/>
          <w:sz w:val="22"/>
          <w:szCs w:val="22"/>
          <w:lang w:val="en-US"/>
        </w:rPr>
        <w:t xml:space="preserve"> </w:t>
      </w:r>
      <w:r w:rsidRPr="001154E9">
        <w:rPr>
          <w:color w:val="000000" w:themeColor="text1"/>
          <w:sz w:val="22"/>
          <w:szCs w:val="22"/>
          <w:lang w:val="en-US"/>
        </w:rPr>
        <w:t>Ten years after Copenhagen</w:t>
      </w:r>
      <w:r w:rsidR="00026759">
        <w:rPr>
          <w:color w:val="000000" w:themeColor="text1"/>
          <w:sz w:val="22"/>
          <w:szCs w:val="22"/>
          <w:lang w:val="en-US"/>
        </w:rPr>
        <w:t xml:space="preserve"> it is</w:t>
      </w:r>
      <w:r w:rsidRPr="001154E9">
        <w:rPr>
          <w:color w:val="000000" w:themeColor="text1"/>
          <w:sz w:val="22"/>
          <w:szCs w:val="22"/>
          <w:lang w:val="en-US"/>
        </w:rPr>
        <w:t xml:space="preserve"> still very difficult to assess even the basics of climate finance.</w:t>
      </w:r>
      <w:r w:rsidR="006216DC">
        <w:rPr>
          <w:color w:val="000000" w:themeColor="text1"/>
          <w:sz w:val="22"/>
          <w:szCs w:val="22"/>
          <w:lang w:val="en-US"/>
        </w:rPr>
        <w:t xml:space="preserve">  DAC providers submit a biennial report to the UNFCCC detailing their performance, including international climate finance.  While the transparency of these reports have improved, there is still no agreement on what can be included as climate finance (e.g. support for clean coal) or the method for calculating this finance (e.g. to what degree the budget of projects with one climate objective among other objectives is included).</w:t>
      </w:r>
      <w:r w:rsidR="00D46DD7">
        <w:rPr>
          <w:color w:val="000000" w:themeColor="text1"/>
          <w:sz w:val="22"/>
          <w:szCs w:val="22"/>
          <w:lang w:val="en-US"/>
        </w:rPr>
        <w:t xml:space="preserve">  The OECD DAC produces an annual report on climate finance against the US$100 billion target based on these </w:t>
      </w:r>
      <w:r w:rsidR="001269E4">
        <w:rPr>
          <w:color w:val="000000" w:themeColor="text1"/>
          <w:sz w:val="22"/>
          <w:szCs w:val="22"/>
          <w:lang w:val="en-US"/>
        </w:rPr>
        <w:t xml:space="preserve">UNFCCC </w:t>
      </w:r>
      <w:r w:rsidR="00D46DD7">
        <w:rPr>
          <w:color w:val="000000" w:themeColor="text1"/>
          <w:sz w:val="22"/>
          <w:szCs w:val="22"/>
          <w:lang w:val="en-US"/>
        </w:rPr>
        <w:t xml:space="preserve">reports, the Rio Marker for climate change in the </w:t>
      </w:r>
      <w:r w:rsidR="008A547E">
        <w:rPr>
          <w:color w:val="000000" w:themeColor="text1"/>
          <w:sz w:val="22"/>
          <w:szCs w:val="22"/>
          <w:lang w:val="en-US"/>
        </w:rPr>
        <w:t xml:space="preserve">OECD database (the </w:t>
      </w:r>
      <w:r w:rsidR="00D46DD7">
        <w:rPr>
          <w:color w:val="000000" w:themeColor="text1"/>
          <w:sz w:val="22"/>
          <w:szCs w:val="22"/>
          <w:lang w:val="en-US"/>
        </w:rPr>
        <w:t>C</w:t>
      </w:r>
      <w:r w:rsidR="008A547E">
        <w:rPr>
          <w:color w:val="000000" w:themeColor="text1"/>
          <w:sz w:val="22"/>
          <w:szCs w:val="22"/>
          <w:lang w:val="en-US"/>
        </w:rPr>
        <w:t xml:space="preserve">reditor </w:t>
      </w:r>
      <w:r w:rsidR="00D46DD7">
        <w:rPr>
          <w:color w:val="000000" w:themeColor="text1"/>
          <w:sz w:val="22"/>
          <w:szCs w:val="22"/>
          <w:lang w:val="en-US"/>
        </w:rPr>
        <w:t>R</w:t>
      </w:r>
      <w:r w:rsidR="008A547E">
        <w:rPr>
          <w:color w:val="000000" w:themeColor="text1"/>
          <w:sz w:val="22"/>
          <w:szCs w:val="22"/>
          <w:lang w:val="en-US"/>
        </w:rPr>
        <w:t xml:space="preserve">eporting </w:t>
      </w:r>
      <w:r w:rsidR="00D46DD7">
        <w:rPr>
          <w:color w:val="000000" w:themeColor="text1"/>
          <w:sz w:val="22"/>
          <w:szCs w:val="22"/>
          <w:lang w:val="en-US"/>
        </w:rPr>
        <w:t>S</w:t>
      </w:r>
      <w:r w:rsidR="008A547E">
        <w:rPr>
          <w:color w:val="000000" w:themeColor="text1"/>
          <w:sz w:val="22"/>
          <w:szCs w:val="22"/>
          <w:lang w:val="en-US"/>
        </w:rPr>
        <w:t>ystem, CRS)</w:t>
      </w:r>
      <w:r w:rsidR="00D46DD7">
        <w:rPr>
          <w:color w:val="000000" w:themeColor="text1"/>
          <w:sz w:val="22"/>
          <w:szCs w:val="22"/>
          <w:lang w:val="en-US"/>
        </w:rPr>
        <w:t>, and their own research.</w:t>
      </w:r>
      <w:r w:rsidR="00D46DD7">
        <w:rPr>
          <w:rStyle w:val="Appeldenotedefin"/>
          <w:color w:val="000000" w:themeColor="text1"/>
          <w:sz w:val="22"/>
          <w:szCs w:val="22"/>
          <w:lang w:val="en-US"/>
        </w:rPr>
        <w:endnoteReference w:id="5"/>
      </w:r>
    </w:p>
    <w:p w14:paraId="045D3048" w14:textId="3C5723EB" w:rsidR="001154E9" w:rsidRPr="001154E9" w:rsidRDefault="001154E9" w:rsidP="00026759">
      <w:pPr>
        <w:numPr>
          <w:ilvl w:val="0"/>
          <w:numId w:val="1"/>
        </w:numPr>
        <w:tabs>
          <w:tab w:val="clear" w:pos="720"/>
          <w:tab w:val="num" w:pos="360"/>
        </w:tabs>
        <w:spacing w:after="80" w:line="276" w:lineRule="auto"/>
        <w:ind w:left="360" w:hanging="357"/>
        <w:jc w:val="both"/>
        <w:rPr>
          <w:color w:val="000000" w:themeColor="text1"/>
          <w:sz w:val="22"/>
          <w:szCs w:val="22"/>
        </w:rPr>
      </w:pPr>
      <w:r w:rsidRPr="001154E9">
        <w:rPr>
          <w:b/>
          <w:bCs/>
          <w:color w:val="000000" w:themeColor="text1"/>
          <w:sz w:val="22"/>
          <w:szCs w:val="22"/>
          <w:lang w:val="en-US"/>
        </w:rPr>
        <w:t xml:space="preserve">Estimates of provider performance </w:t>
      </w:r>
      <w:r w:rsidRPr="001154E9">
        <w:rPr>
          <w:color w:val="000000" w:themeColor="text1"/>
          <w:sz w:val="22"/>
          <w:szCs w:val="22"/>
          <w:lang w:val="en-US"/>
        </w:rPr>
        <w:t xml:space="preserve">relative to the US$100 billion goal is under-whelming – at best </w:t>
      </w:r>
      <w:r w:rsidR="00EE1194">
        <w:rPr>
          <w:color w:val="000000" w:themeColor="text1"/>
          <w:sz w:val="22"/>
          <w:szCs w:val="22"/>
          <w:lang w:val="en-US"/>
        </w:rPr>
        <w:t>reaching</w:t>
      </w:r>
      <w:r w:rsidRPr="001154E9">
        <w:rPr>
          <w:color w:val="000000" w:themeColor="text1"/>
          <w:sz w:val="22"/>
          <w:szCs w:val="22"/>
          <w:lang w:val="en-US"/>
        </w:rPr>
        <w:t xml:space="preserve"> two-thirds of the target in 2017</w:t>
      </w:r>
      <w:r w:rsidR="00EE1194">
        <w:rPr>
          <w:color w:val="000000" w:themeColor="text1"/>
          <w:sz w:val="22"/>
          <w:szCs w:val="22"/>
          <w:lang w:val="en-US"/>
        </w:rPr>
        <w:t xml:space="preserve"> (US$56.7 billion)</w:t>
      </w:r>
      <w:r w:rsidRPr="001154E9">
        <w:rPr>
          <w:color w:val="000000" w:themeColor="text1"/>
          <w:sz w:val="22"/>
          <w:szCs w:val="22"/>
          <w:lang w:val="en-US"/>
        </w:rPr>
        <w:t xml:space="preserve"> and highly concentrated among six major providers.</w:t>
      </w:r>
      <w:r w:rsidR="00753D0B">
        <w:rPr>
          <w:color w:val="000000" w:themeColor="text1"/>
          <w:sz w:val="22"/>
          <w:szCs w:val="22"/>
          <w:lang w:val="en-US"/>
        </w:rPr>
        <w:t xml:space="preserve">  </w:t>
      </w:r>
      <w:r w:rsidR="00D46DD7">
        <w:rPr>
          <w:color w:val="000000" w:themeColor="text1"/>
          <w:sz w:val="22"/>
          <w:szCs w:val="22"/>
          <w:lang w:val="en-US"/>
        </w:rPr>
        <w:t xml:space="preserve">In 2016, </w:t>
      </w:r>
      <w:r w:rsidR="00753D0B">
        <w:rPr>
          <w:color w:val="000000" w:themeColor="text1"/>
          <w:sz w:val="22"/>
          <w:szCs w:val="22"/>
          <w:lang w:val="en-US"/>
        </w:rPr>
        <w:t xml:space="preserve">DAC members produced a Roadmap setting out proxy targets for bilateral contributions (US$37.3 billion), multilateral contributions attributed to bilateral providers (US$29.5 </w:t>
      </w:r>
      <w:r w:rsidR="00D46DD7">
        <w:rPr>
          <w:color w:val="000000" w:themeColor="text1"/>
          <w:sz w:val="22"/>
          <w:szCs w:val="22"/>
          <w:lang w:val="en-US"/>
        </w:rPr>
        <w:t>billion</w:t>
      </w:r>
      <w:r w:rsidR="00753D0B">
        <w:rPr>
          <w:color w:val="000000" w:themeColor="text1"/>
          <w:sz w:val="22"/>
          <w:szCs w:val="22"/>
          <w:lang w:val="en-US"/>
        </w:rPr>
        <w:t>), and mobilized finance from the private sector (</w:t>
      </w:r>
      <w:r w:rsidR="00D46DD7">
        <w:rPr>
          <w:color w:val="000000" w:themeColor="text1"/>
          <w:sz w:val="22"/>
          <w:szCs w:val="22"/>
          <w:lang w:val="en-US"/>
        </w:rPr>
        <w:t xml:space="preserve">US$33.2 billion).  </w:t>
      </w:r>
      <w:r w:rsidR="00EE1194">
        <w:rPr>
          <w:color w:val="000000" w:themeColor="text1"/>
          <w:sz w:val="22"/>
          <w:szCs w:val="22"/>
          <w:lang w:val="en-US"/>
        </w:rPr>
        <w:t>Using a common framework for climate finance (see footnote #6 above), it is estimated that DAC providers contributed US$18.5 billion in bilateral climate finance</w:t>
      </w:r>
      <w:r w:rsidR="00026759">
        <w:rPr>
          <w:color w:val="000000" w:themeColor="text1"/>
          <w:sz w:val="22"/>
          <w:szCs w:val="22"/>
          <w:lang w:val="en-US"/>
        </w:rPr>
        <w:t xml:space="preserve">, </w:t>
      </w:r>
      <w:r w:rsidR="00026759">
        <w:rPr>
          <w:color w:val="000000" w:themeColor="text1"/>
          <w:sz w:val="22"/>
          <w:szCs w:val="22"/>
        </w:rPr>
        <w:t>of which 30% (US$5.4 billion) was directed to Africa.  Slightly more than a third (35%) of adaptation finance was directed to Africa in that year.</w:t>
      </w:r>
      <w:r w:rsidR="00026759">
        <w:rPr>
          <w:rStyle w:val="Appeldenotedefin"/>
          <w:color w:val="000000" w:themeColor="text1"/>
          <w:sz w:val="22"/>
          <w:szCs w:val="22"/>
        </w:rPr>
        <w:endnoteReference w:id="6"/>
      </w:r>
    </w:p>
    <w:p w14:paraId="0611E6BE" w14:textId="77777777" w:rsidR="001154E9" w:rsidRPr="001154E9" w:rsidRDefault="001154E9" w:rsidP="00026759">
      <w:pPr>
        <w:numPr>
          <w:ilvl w:val="0"/>
          <w:numId w:val="1"/>
        </w:numPr>
        <w:tabs>
          <w:tab w:val="clear" w:pos="720"/>
          <w:tab w:val="num" w:pos="360"/>
        </w:tabs>
        <w:spacing w:after="80" w:line="276" w:lineRule="auto"/>
        <w:ind w:left="360" w:hanging="357"/>
        <w:jc w:val="both"/>
        <w:rPr>
          <w:color w:val="000000" w:themeColor="text1"/>
          <w:sz w:val="22"/>
          <w:szCs w:val="22"/>
        </w:rPr>
      </w:pPr>
      <w:r w:rsidRPr="001154E9">
        <w:rPr>
          <w:b/>
          <w:bCs/>
          <w:color w:val="000000" w:themeColor="text1"/>
          <w:sz w:val="22"/>
          <w:szCs w:val="22"/>
          <w:lang w:val="en-US"/>
        </w:rPr>
        <w:t>Mixed performance in climate justice allocations</w:t>
      </w:r>
      <w:r w:rsidRPr="001154E9">
        <w:rPr>
          <w:color w:val="000000" w:themeColor="text1"/>
          <w:sz w:val="22"/>
          <w:szCs w:val="22"/>
          <w:lang w:val="en-US"/>
        </w:rPr>
        <w:t>, targeting the rights and interests of the most vulnerable people and countries:</w:t>
      </w:r>
    </w:p>
    <w:p w14:paraId="77CDBD6B" w14:textId="6BF2CE98" w:rsidR="001154E9" w:rsidRPr="001154E9" w:rsidRDefault="001154E9" w:rsidP="00026759">
      <w:pPr>
        <w:numPr>
          <w:ilvl w:val="1"/>
          <w:numId w:val="1"/>
        </w:numPr>
        <w:tabs>
          <w:tab w:val="clear" w:pos="1440"/>
          <w:tab w:val="num" w:pos="1080"/>
        </w:tabs>
        <w:spacing w:after="80" w:line="276" w:lineRule="auto"/>
        <w:ind w:left="1080" w:hanging="357"/>
        <w:jc w:val="both"/>
        <w:rPr>
          <w:color w:val="000000" w:themeColor="text1"/>
          <w:sz w:val="22"/>
          <w:szCs w:val="22"/>
        </w:rPr>
      </w:pPr>
      <w:r w:rsidRPr="001154E9">
        <w:rPr>
          <w:color w:val="000000" w:themeColor="text1"/>
          <w:sz w:val="22"/>
          <w:szCs w:val="22"/>
          <w:lang w:val="en-US"/>
        </w:rPr>
        <w:t>Less than a third</w:t>
      </w:r>
      <w:r w:rsidR="00A55774">
        <w:rPr>
          <w:color w:val="000000" w:themeColor="text1"/>
          <w:sz w:val="22"/>
          <w:szCs w:val="22"/>
          <w:lang w:val="en-US"/>
        </w:rPr>
        <w:t xml:space="preserve"> (27%) of total finance dedicated to</w:t>
      </w:r>
      <w:r w:rsidRPr="001154E9">
        <w:rPr>
          <w:color w:val="000000" w:themeColor="text1"/>
          <w:sz w:val="22"/>
          <w:szCs w:val="22"/>
          <w:lang w:val="en-US"/>
        </w:rPr>
        <w:t xml:space="preserve"> adaption to countries most vulnerable</w:t>
      </w:r>
      <w:r w:rsidR="00A55774">
        <w:rPr>
          <w:color w:val="000000" w:themeColor="text1"/>
          <w:sz w:val="22"/>
          <w:szCs w:val="22"/>
          <w:lang w:val="en-US"/>
        </w:rPr>
        <w:t>.</w:t>
      </w:r>
    </w:p>
    <w:p w14:paraId="2AE8AD21" w14:textId="0C6CB94B" w:rsidR="001154E9" w:rsidRPr="001154E9" w:rsidRDefault="001154E9" w:rsidP="00026759">
      <w:pPr>
        <w:numPr>
          <w:ilvl w:val="1"/>
          <w:numId w:val="1"/>
        </w:numPr>
        <w:tabs>
          <w:tab w:val="clear" w:pos="1440"/>
          <w:tab w:val="num" w:pos="1080"/>
        </w:tabs>
        <w:spacing w:after="80" w:line="276" w:lineRule="auto"/>
        <w:ind w:left="1080" w:hanging="357"/>
        <w:jc w:val="both"/>
        <w:rPr>
          <w:color w:val="000000" w:themeColor="text1"/>
          <w:sz w:val="22"/>
          <w:szCs w:val="22"/>
        </w:rPr>
      </w:pPr>
      <w:r w:rsidRPr="001154E9">
        <w:rPr>
          <w:color w:val="000000" w:themeColor="text1"/>
          <w:sz w:val="22"/>
          <w:szCs w:val="22"/>
          <w:lang w:val="en-US"/>
        </w:rPr>
        <w:t>Loans not grants are a major modality for climate finance</w:t>
      </w:r>
      <w:r w:rsidR="00A55774">
        <w:rPr>
          <w:color w:val="000000" w:themeColor="text1"/>
          <w:sz w:val="22"/>
          <w:szCs w:val="22"/>
          <w:lang w:val="en-US"/>
        </w:rPr>
        <w:t>, particularly for mitigation.</w:t>
      </w:r>
    </w:p>
    <w:p w14:paraId="3B469D2F" w14:textId="21F2B70A" w:rsidR="001154E9" w:rsidRPr="001154E9" w:rsidRDefault="001154E9" w:rsidP="00026759">
      <w:pPr>
        <w:numPr>
          <w:ilvl w:val="1"/>
          <w:numId w:val="1"/>
        </w:numPr>
        <w:tabs>
          <w:tab w:val="clear" w:pos="1440"/>
          <w:tab w:val="num" w:pos="1080"/>
        </w:tabs>
        <w:spacing w:after="80" w:line="276" w:lineRule="auto"/>
        <w:ind w:left="1080" w:hanging="357"/>
        <w:jc w:val="both"/>
        <w:rPr>
          <w:color w:val="000000" w:themeColor="text1"/>
          <w:sz w:val="22"/>
          <w:szCs w:val="22"/>
        </w:rPr>
      </w:pPr>
      <w:r w:rsidRPr="001154E9">
        <w:rPr>
          <w:color w:val="000000" w:themeColor="text1"/>
          <w:sz w:val="22"/>
          <w:szCs w:val="22"/>
          <w:lang w:val="en-US"/>
        </w:rPr>
        <w:t>Women and girls receive no particular priority in climate finance with two thirds</w:t>
      </w:r>
      <w:r w:rsidR="00A55774">
        <w:rPr>
          <w:color w:val="000000" w:themeColor="text1"/>
          <w:sz w:val="22"/>
          <w:szCs w:val="22"/>
          <w:lang w:val="en-US"/>
        </w:rPr>
        <w:t xml:space="preserve"> of projects</w:t>
      </w:r>
      <w:r w:rsidRPr="001154E9">
        <w:rPr>
          <w:color w:val="000000" w:themeColor="text1"/>
          <w:sz w:val="22"/>
          <w:szCs w:val="22"/>
          <w:lang w:val="en-US"/>
        </w:rPr>
        <w:t xml:space="preserve"> having no gender objectives</w:t>
      </w:r>
      <w:r w:rsidR="00A55774">
        <w:rPr>
          <w:color w:val="000000" w:themeColor="text1"/>
          <w:sz w:val="22"/>
          <w:szCs w:val="22"/>
          <w:lang w:val="en-US"/>
        </w:rPr>
        <w:t>.</w:t>
      </w:r>
    </w:p>
    <w:p w14:paraId="1F08F7E2" w14:textId="5768C6CB" w:rsidR="001154E9" w:rsidRPr="001154E9" w:rsidRDefault="001154E9" w:rsidP="00026759">
      <w:pPr>
        <w:numPr>
          <w:ilvl w:val="1"/>
          <w:numId w:val="1"/>
        </w:numPr>
        <w:tabs>
          <w:tab w:val="clear" w:pos="1440"/>
          <w:tab w:val="num" w:pos="1080"/>
        </w:tabs>
        <w:spacing w:after="80" w:line="276" w:lineRule="auto"/>
        <w:ind w:left="1080" w:hanging="357"/>
        <w:jc w:val="both"/>
        <w:rPr>
          <w:color w:val="000000" w:themeColor="text1"/>
          <w:sz w:val="22"/>
          <w:szCs w:val="22"/>
        </w:rPr>
      </w:pPr>
      <w:r w:rsidRPr="001154E9">
        <w:rPr>
          <w:color w:val="000000" w:themeColor="text1"/>
          <w:sz w:val="22"/>
          <w:szCs w:val="22"/>
          <w:lang w:val="en-US"/>
        </w:rPr>
        <w:t>Climate finance</w:t>
      </w:r>
      <w:r w:rsidR="00A55774">
        <w:rPr>
          <w:color w:val="000000" w:themeColor="text1"/>
          <w:sz w:val="22"/>
          <w:szCs w:val="22"/>
          <w:lang w:val="en-US"/>
        </w:rPr>
        <w:t xml:space="preserve"> </w:t>
      </w:r>
      <w:r w:rsidR="008A547E">
        <w:rPr>
          <w:color w:val="000000" w:themeColor="text1"/>
          <w:sz w:val="22"/>
          <w:szCs w:val="22"/>
          <w:lang w:val="en-US"/>
        </w:rPr>
        <w:t xml:space="preserve">is </w:t>
      </w:r>
      <w:r w:rsidR="00A55774">
        <w:rPr>
          <w:color w:val="000000" w:themeColor="text1"/>
          <w:sz w:val="22"/>
          <w:szCs w:val="22"/>
          <w:lang w:val="en-US"/>
        </w:rPr>
        <w:t>not additional, but</w:t>
      </w:r>
      <w:r w:rsidR="001269E4">
        <w:rPr>
          <w:color w:val="000000" w:themeColor="text1"/>
          <w:sz w:val="22"/>
          <w:szCs w:val="22"/>
          <w:lang w:val="en-US"/>
        </w:rPr>
        <w:t xml:space="preserve"> is</w:t>
      </w:r>
      <w:r w:rsidRPr="001154E9">
        <w:rPr>
          <w:color w:val="000000" w:themeColor="text1"/>
          <w:sz w:val="22"/>
          <w:szCs w:val="22"/>
          <w:lang w:val="en-US"/>
        </w:rPr>
        <w:t xml:space="preserve"> taking an increasing proportion of ODA for other purposes</w:t>
      </w:r>
      <w:r w:rsidR="00A55774">
        <w:rPr>
          <w:color w:val="000000" w:themeColor="text1"/>
          <w:sz w:val="22"/>
          <w:szCs w:val="22"/>
          <w:lang w:val="en-US"/>
        </w:rPr>
        <w:t xml:space="preserve"> (11% in 2017)</w:t>
      </w:r>
    </w:p>
    <w:p w14:paraId="361A4A7B" w14:textId="0956F4FF" w:rsidR="001154E9" w:rsidRPr="001154E9" w:rsidRDefault="001154E9" w:rsidP="00026759">
      <w:pPr>
        <w:numPr>
          <w:ilvl w:val="0"/>
          <w:numId w:val="1"/>
        </w:numPr>
        <w:tabs>
          <w:tab w:val="clear" w:pos="720"/>
          <w:tab w:val="num" w:pos="360"/>
        </w:tabs>
        <w:spacing w:after="80" w:line="276" w:lineRule="auto"/>
        <w:ind w:left="360" w:hanging="357"/>
        <w:jc w:val="both"/>
        <w:rPr>
          <w:color w:val="000000" w:themeColor="text1"/>
          <w:sz w:val="22"/>
          <w:szCs w:val="22"/>
        </w:rPr>
      </w:pPr>
      <w:r w:rsidRPr="001154E9">
        <w:rPr>
          <w:b/>
          <w:bCs/>
          <w:color w:val="000000" w:themeColor="text1"/>
          <w:sz w:val="22"/>
          <w:szCs w:val="22"/>
          <w:lang w:val="en-US"/>
        </w:rPr>
        <w:t xml:space="preserve">Further research is needed to elaborate the implications of good practice approaches in effective development cooperation </w:t>
      </w:r>
      <w:r w:rsidRPr="001154E9">
        <w:rPr>
          <w:color w:val="000000" w:themeColor="text1"/>
          <w:sz w:val="22"/>
          <w:szCs w:val="22"/>
          <w:lang w:val="en-US"/>
        </w:rPr>
        <w:t>for implementing climate finance and assess impact at country level.</w:t>
      </w:r>
    </w:p>
    <w:p w14:paraId="29A81F0F" w14:textId="121C640C" w:rsidR="001154E9" w:rsidRPr="001154E9" w:rsidRDefault="001154E9" w:rsidP="00026759">
      <w:pPr>
        <w:numPr>
          <w:ilvl w:val="0"/>
          <w:numId w:val="1"/>
        </w:numPr>
        <w:tabs>
          <w:tab w:val="clear" w:pos="720"/>
          <w:tab w:val="num" w:pos="360"/>
        </w:tabs>
        <w:spacing w:after="80" w:line="276" w:lineRule="auto"/>
        <w:ind w:left="360" w:hanging="357"/>
        <w:jc w:val="both"/>
        <w:rPr>
          <w:color w:val="000000" w:themeColor="text1"/>
          <w:sz w:val="22"/>
          <w:szCs w:val="22"/>
        </w:rPr>
      </w:pPr>
      <w:r w:rsidRPr="001154E9">
        <w:rPr>
          <w:b/>
          <w:bCs/>
          <w:color w:val="000000" w:themeColor="text1"/>
          <w:sz w:val="22"/>
          <w:szCs w:val="22"/>
          <w:lang w:val="en-US"/>
        </w:rPr>
        <w:t xml:space="preserve">Preliminary evidence that major challenges may limit the effective delivery of climate aid </w:t>
      </w:r>
      <w:r w:rsidRPr="001154E9">
        <w:rPr>
          <w:color w:val="000000" w:themeColor="text1"/>
          <w:sz w:val="22"/>
          <w:szCs w:val="22"/>
          <w:lang w:val="en-US"/>
        </w:rPr>
        <w:t>and its sustainable impact at the country level</w:t>
      </w:r>
      <w:r w:rsidR="001269E4">
        <w:rPr>
          <w:rStyle w:val="Appeldenotedefin"/>
          <w:color w:val="000000" w:themeColor="text1"/>
          <w:sz w:val="22"/>
          <w:szCs w:val="22"/>
          <w:lang w:val="en-US"/>
        </w:rPr>
        <w:endnoteReference w:id="7"/>
      </w:r>
      <w:r w:rsidRPr="001154E9">
        <w:rPr>
          <w:color w:val="000000" w:themeColor="text1"/>
          <w:sz w:val="22"/>
          <w:szCs w:val="22"/>
          <w:lang w:val="en-US"/>
        </w:rPr>
        <w:t>:</w:t>
      </w:r>
    </w:p>
    <w:p w14:paraId="31BC5C24" w14:textId="00B6649D" w:rsidR="001154E9" w:rsidRPr="001154E9" w:rsidRDefault="001154E9" w:rsidP="00026759">
      <w:pPr>
        <w:numPr>
          <w:ilvl w:val="1"/>
          <w:numId w:val="1"/>
        </w:numPr>
        <w:tabs>
          <w:tab w:val="clear" w:pos="1440"/>
          <w:tab w:val="num" w:pos="1080"/>
        </w:tabs>
        <w:spacing w:after="80" w:line="276" w:lineRule="auto"/>
        <w:ind w:left="1080" w:hanging="357"/>
        <w:jc w:val="both"/>
        <w:rPr>
          <w:color w:val="000000" w:themeColor="text1"/>
          <w:sz w:val="22"/>
          <w:szCs w:val="22"/>
        </w:rPr>
      </w:pPr>
      <w:r w:rsidRPr="001154E9">
        <w:rPr>
          <w:color w:val="000000" w:themeColor="text1"/>
          <w:sz w:val="22"/>
          <w:szCs w:val="22"/>
          <w:lang w:val="en-US"/>
        </w:rPr>
        <w:t xml:space="preserve">Evidence of limited </w:t>
      </w:r>
      <w:r w:rsidR="00126FC3">
        <w:rPr>
          <w:color w:val="000000" w:themeColor="text1"/>
          <w:sz w:val="22"/>
          <w:szCs w:val="22"/>
          <w:lang w:val="en-US"/>
        </w:rPr>
        <w:t xml:space="preserve">progress in the </w:t>
      </w:r>
      <w:r w:rsidRPr="001154E9">
        <w:rPr>
          <w:color w:val="000000" w:themeColor="text1"/>
          <w:sz w:val="22"/>
          <w:szCs w:val="22"/>
          <w:lang w:val="en-US"/>
        </w:rPr>
        <w:t>alignment of provider aid with country priorities</w:t>
      </w:r>
      <w:r w:rsidR="00126FC3">
        <w:rPr>
          <w:color w:val="000000" w:themeColor="text1"/>
          <w:sz w:val="22"/>
          <w:szCs w:val="22"/>
          <w:lang w:val="en-US"/>
        </w:rPr>
        <w:t xml:space="preserve"> (GPEDC).  To what degree is climate finance aligned with countries’ Nationally Determined Contribution priorities?  How inclusive is the process in developing NDCs (democratic country ownership)?</w:t>
      </w:r>
    </w:p>
    <w:p w14:paraId="222794D1" w14:textId="62F36287" w:rsidR="001154E9" w:rsidRPr="00CD1D8A" w:rsidRDefault="001154E9" w:rsidP="00026759">
      <w:pPr>
        <w:numPr>
          <w:ilvl w:val="1"/>
          <w:numId w:val="1"/>
        </w:numPr>
        <w:tabs>
          <w:tab w:val="clear" w:pos="1440"/>
          <w:tab w:val="num" w:pos="1080"/>
        </w:tabs>
        <w:spacing w:after="80" w:line="276" w:lineRule="auto"/>
        <w:ind w:left="1080" w:hanging="357"/>
        <w:jc w:val="both"/>
        <w:rPr>
          <w:color w:val="000000" w:themeColor="text1"/>
          <w:sz w:val="22"/>
          <w:szCs w:val="22"/>
          <w:lang w:val="en-US"/>
        </w:rPr>
      </w:pPr>
      <w:r w:rsidRPr="001154E9">
        <w:rPr>
          <w:color w:val="000000" w:themeColor="text1"/>
          <w:sz w:val="22"/>
          <w:szCs w:val="22"/>
          <w:lang w:val="en-US"/>
        </w:rPr>
        <w:t>Increasingly constrained space for civil society actors and attacks on HRDs</w:t>
      </w:r>
      <w:r w:rsidR="00026759">
        <w:rPr>
          <w:color w:val="000000" w:themeColor="text1"/>
          <w:sz w:val="22"/>
          <w:szCs w:val="22"/>
          <w:lang w:val="en-US"/>
        </w:rPr>
        <w:t xml:space="preserve"> addressing environmental issues</w:t>
      </w:r>
      <w:r w:rsidR="00126FC3">
        <w:rPr>
          <w:color w:val="000000" w:themeColor="text1"/>
          <w:sz w:val="22"/>
          <w:szCs w:val="22"/>
          <w:lang w:val="en-US"/>
        </w:rPr>
        <w:t xml:space="preserve">.  </w:t>
      </w:r>
      <w:r w:rsidR="00CD1D8A">
        <w:rPr>
          <w:color w:val="000000" w:themeColor="text1"/>
          <w:sz w:val="22"/>
          <w:szCs w:val="22"/>
          <w:lang w:val="en-US"/>
        </w:rPr>
        <w:t>N</w:t>
      </w:r>
      <w:r w:rsidR="00CD1D8A" w:rsidRPr="00CD1D8A">
        <w:rPr>
          <w:color w:val="000000" w:themeColor="text1"/>
          <w:sz w:val="22"/>
          <w:szCs w:val="22"/>
          <w:lang w:val="en-US"/>
        </w:rPr>
        <w:t xml:space="preserve">early three-quarters (72%) </w:t>
      </w:r>
      <w:r w:rsidR="00CD1D8A">
        <w:rPr>
          <w:color w:val="000000" w:themeColor="text1"/>
          <w:sz w:val="22"/>
          <w:szCs w:val="22"/>
          <w:lang w:val="en-US"/>
        </w:rPr>
        <w:t xml:space="preserve">of the 633 human rights defenders killed in 2017 and 2018 </w:t>
      </w:r>
      <w:r w:rsidR="00CD1D8A" w:rsidRPr="00CD1D8A">
        <w:rPr>
          <w:color w:val="000000" w:themeColor="text1"/>
          <w:sz w:val="22"/>
          <w:szCs w:val="22"/>
          <w:lang w:val="en-US"/>
        </w:rPr>
        <w:t>were “defenders working on land, indigenous peoples’ and environmental rights</w:t>
      </w:r>
      <w:r w:rsidR="00CD1D8A">
        <w:rPr>
          <w:color w:val="000000" w:themeColor="text1"/>
          <w:sz w:val="22"/>
          <w:szCs w:val="22"/>
          <w:lang w:val="en-US"/>
        </w:rPr>
        <w:t xml:space="preserve"> [Frontline Defenders, 2019].  </w:t>
      </w:r>
      <w:r w:rsidR="00CD1D8A">
        <w:t>Altogether more than 60% of the world’s population – 4.5 billion people – live in countries where civic space is closed, repressed or obstructed [Civicus Monitor, 2019]</w:t>
      </w:r>
    </w:p>
    <w:p w14:paraId="6384D131" w14:textId="0AC40C7E" w:rsidR="001154E9" w:rsidRPr="001154E9" w:rsidRDefault="001154E9" w:rsidP="00026759">
      <w:pPr>
        <w:numPr>
          <w:ilvl w:val="1"/>
          <w:numId w:val="1"/>
        </w:numPr>
        <w:tabs>
          <w:tab w:val="clear" w:pos="1440"/>
          <w:tab w:val="num" w:pos="1080"/>
        </w:tabs>
        <w:spacing w:after="80" w:line="276" w:lineRule="auto"/>
        <w:ind w:left="1080" w:hanging="357"/>
        <w:jc w:val="both"/>
        <w:rPr>
          <w:color w:val="000000" w:themeColor="text1"/>
          <w:sz w:val="22"/>
          <w:szCs w:val="22"/>
        </w:rPr>
      </w:pPr>
      <w:r w:rsidRPr="001154E9">
        <w:rPr>
          <w:color w:val="000000" w:themeColor="text1"/>
          <w:sz w:val="22"/>
          <w:szCs w:val="22"/>
          <w:lang w:val="en-US"/>
        </w:rPr>
        <w:t>Little assessment of development impacts of</w:t>
      </w:r>
      <w:r w:rsidR="00CD1D8A">
        <w:rPr>
          <w:color w:val="000000" w:themeColor="text1"/>
          <w:sz w:val="22"/>
          <w:szCs w:val="22"/>
          <w:lang w:val="en-US"/>
        </w:rPr>
        <w:t xml:space="preserve"> partnerships based on</w:t>
      </w:r>
      <w:r w:rsidRPr="001154E9">
        <w:rPr>
          <w:color w:val="000000" w:themeColor="text1"/>
          <w:sz w:val="22"/>
          <w:szCs w:val="22"/>
          <w:lang w:val="en-US"/>
        </w:rPr>
        <w:t xml:space="preserve"> blended finance, </w:t>
      </w:r>
      <w:r w:rsidR="00CD1D8A">
        <w:rPr>
          <w:color w:val="000000" w:themeColor="text1"/>
          <w:sz w:val="22"/>
          <w:szCs w:val="22"/>
          <w:lang w:val="en-US"/>
        </w:rPr>
        <w:t>which is an increasing modality</w:t>
      </w:r>
      <w:r w:rsidRPr="001154E9">
        <w:rPr>
          <w:color w:val="000000" w:themeColor="text1"/>
          <w:sz w:val="22"/>
          <w:szCs w:val="22"/>
          <w:lang w:val="en-US"/>
        </w:rPr>
        <w:t xml:space="preserve"> for mitigation and adaptation</w:t>
      </w:r>
      <w:r w:rsidR="00CD1D8A">
        <w:rPr>
          <w:color w:val="000000" w:themeColor="text1"/>
          <w:sz w:val="22"/>
          <w:szCs w:val="22"/>
          <w:lang w:val="en-US"/>
        </w:rPr>
        <w:t xml:space="preserve"> finance.</w:t>
      </w:r>
    </w:p>
    <w:p w14:paraId="0850A4C0" w14:textId="4243CA45" w:rsidR="00A40BC4" w:rsidRPr="001154E9" w:rsidRDefault="001154E9" w:rsidP="00026759">
      <w:pPr>
        <w:numPr>
          <w:ilvl w:val="1"/>
          <w:numId w:val="1"/>
        </w:numPr>
        <w:tabs>
          <w:tab w:val="clear" w:pos="1440"/>
          <w:tab w:val="num" w:pos="1080"/>
        </w:tabs>
        <w:spacing w:line="276" w:lineRule="auto"/>
        <w:ind w:left="1083" w:hanging="357"/>
        <w:jc w:val="both"/>
        <w:rPr>
          <w:color w:val="000000" w:themeColor="text1"/>
          <w:sz w:val="22"/>
          <w:szCs w:val="22"/>
        </w:rPr>
      </w:pPr>
      <w:r w:rsidRPr="001154E9">
        <w:rPr>
          <w:color w:val="000000" w:themeColor="text1"/>
          <w:sz w:val="22"/>
          <w:szCs w:val="22"/>
          <w:lang w:val="en-US"/>
        </w:rPr>
        <w:t>Accountability structures for climate finance are very weak or non-existent.</w:t>
      </w:r>
    </w:p>
    <w:p w14:paraId="2A5340A6" w14:textId="77777777" w:rsidR="00026759" w:rsidRDefault="00026759" w:rsidP="00A40BC4">
      <w:pPr>
        <w:jc w:val="both"/>
        <w:rPr>
          <w:b/>
          <w:bCs/>
          <w:color w:val="7F3C05"/>
        </w:rPr>
      </w:pPr>
    </w:p>
    <w:p w14:paraId="19075CC0" w14:textId="44D7EAB0" w:rsidR="00A40BC4" w:rsidRPr="009E51A7" w:rsidRDefault="00A40BC4" w:rsidP="00A40BC4">
      <w:pPr>
        <w:jc w:val="both"/>
        <w:rPr>
          <w:b/>
          <w:bCs/>
          <w:color w:val="7F3C05"/>
        </w:rPr>
      </w:pPr>
      <w:r w:rsidRPr="009E51A7">
        <w:rPr>
          <w:b/>
          <w:bCs/>
          <w:color w:val="7F3C05"/>
        </w:rPr>
        <w:t xml:space="preserve">What are the main priorities for the DAC CSO Reference Group on </w:t>
      </w:r>
      <w:r>
        <w:rPr>
          <w:b/>
          <w:bCs/>
          <w:color w:val="7F3C05"/>
        </w:rPr>
        <w:t>climate finance</w:t>
      </w:r>
      <w:r w:rsidRPr="009E51A7">
        <w:rPr>
          <w:b/>
          <w:bCs/>
          <w:color w:val="7F3C05"/>
        </w:rPr>
        <w:t>?</w:t>
      </w:r>
    </w:p>
    <w:p w14:paraId="0F8C6435" w14:textId="442B7560" w:rsidR="00A40BC4" w:rsidRDefault="00A40BC4" w:rsidP="00FF342B">
      <w:pPr>
        <w:spacing w:line="276" w:lineRule="auto"/>
        <w:jc w:val="both"/>
        <w:rPr>
          <w:color w:val="000000" w:themeColor="text1"/>
          <w:sz w:val="22"/>
          <w:szCs w:val="22"/>
        </w:rPr>
      </w:pPr>
    </w:p>
    <w:p w14:paraId="5242B5EC" w14:textId="559DBDF8" w:rsidR="00DD7B49" w:rsidRPr="00501310" w:rsidRDefault="00DD7B49" w:rsidP="00FF342B">
      <w:pPr>
        <w:spacing w:line="276" w:lineRule="auto"/>
        <w:jc w:val="both"/>
        <w:rPr>
          <w:sz w:val="22"/>
          <w:szCs w:val="22"/>
        </w:rPr>
      </w:pPr>
      <w:r w:rsidRPr="00501310">
        <w:rPr>
          <w:sz w:val="22"/>
          <w:szCs w:val="22"/>
        </w:rPr>
        <w:t>The OECD</w:t>
      </w:r>
      <w:r w:rsidR="00026759" w:rsidRPr="00501310">
        <w:rPr>
          <w:sz w:val="22"/>
          <w:szCs w:val="22"/>
        </w:rPr>
        <w:t>/</w:t>
      </w:r>
      <w:r w:rsidR="00D16627" w:rsidRPr="00501310">
        <w:rPr>
          <w:sz w:val="22"/>
          <w:szCs w:val="22"/>
        </w:rPr>
        <w:t xml:space="preserve"> DAC</w:t>
      </w:r>
      <w:r w:rsidRPr="00501310">
        <w:rPr>
          <w:sz w:val="22"/>
          <w:szCs w:val="22"/>
        </w:rPr>
        <w:t xml:space="preserve"> </w:t>
      </w:r>
      <w:r w:rsidR="00D16627" w:rsidRPr="00501310">
        <w:rPr>
          <w:sz w:val="22"/>
          <w:szCs w:val="22"/>
        </w:rPr>
        <w:t xml:space="preserve">play a significant role in </w:t>
      </w:r>
      <w:r w:rsidRPr="00501310">
        <w:rPr>
          <w:sz w:val="22"/>
          <w:szCs w:val="22"/>
        </w:rPr>
        <w:t xml:space="preserve">technical </w:t>
      </w:r>
      <w:r w:rsidR="00D16627" w:rsidRPr="00501310">
        <w:rPr>
          <w:sz w:val="22"/>
          <w:szCs w:val="22"/>
        </w:rPr>
        <w:t>analysis</w:t>
      </w:r>
      <w:r w:rsidRPr="00501310">
        <w:rPr>
          <w:sz w:val="22"/>
          <w:szCs w:val="22"/>
        </w:rPr>
        <w:t xml:space="preserve"> </w:t>
      </w:r>
      <w:r w:rsidR="00D16627" w:rsidRPr="00501310">
        <w:rPr>
          <w:sz w:val="22"/>
          <w:szCs w:val="22"/>
        </w:rPr>
        <w:t>of</w:t>
      </w:r>
      <w:r w:rsidRPr="00501310">
        <w:rPr>
          <w:sz w:val="22"/>
          <w:szCs w:val="22"/>
        </w:rPr>
        <w:t xml:space="preserve"> public and private climate finance, with an annual report on climate finance, 2013 -2017</w:t>
      </w:r>
      <w:r w:rsidR="00D16627" w:rsidRPr="00501310">
        <w:rPr>
          <w:sz w:val="22"/>
          <w:szCs w:val="22"/>
        </w:rPr>
        <w:t xml:space="preserve"> (against the </w:t>
      </w:r>
      <w:r w:rsidRPr="00501310">
        <w:rPr>
          <w:sz w:val="22"/>
          <w:szCs w:val="22"/>
        </w:rPr>
        <w:t>global target of US$100 billion by 2020</w:t>
      </w:r>
      <w:r w:rsidR="00D16627" w:rsidRPr="00501310">
        <w:rPr>
          <w:sz w:val="22"/>
          <w:szCs w:val="22"/>
        </w:rPr>
        <w:t>)</w:t>
      </w:r>
      <w:r w:rsidRPr="00501310">
        <w:rPr>
          <w:sz w:val="22"/>
          <w:szCs w:val="22"/>
        </w:rPr>
        <w:t xml:space="preserve">.  It </w:t>
      </w:r>
      <w:r w:rsidR="00D16627" w:rsidRPr="00501310">
        <w:rPr>
          <w:sz w:val="22"/>
          <w:szCs w:val="22"/>
        </w:rPr>
        <w:t>maintains</w:t>
      </w:r>
      <w:r w:rsidRPr="00501310">
        <w:rPr>
          <w:sz w:val="22"/>
          <w:szCs w:val="22"/>
        </w:rPr>
        <w:t xml:space="preserve"> annual datasets on climate finance, based on the Rio Marker for climate.  It researches data on private finance for development, including climate finance, and works with providers on best practice in blended finance with the private sector.  Finally, the OECD is developing a policy framework on the alignment of </w:t>
      </w:r>
      <w:r w:rsidR="004B0EC2" w:rsidRPr="00501310">
        <w:rPr>
          <w:sz w:val="22"/>
          <w:szCs w:val="22"/>
        </w:rPr>
        <w:t xml:space="preserve">development cooperation with the objectives of the </w:t>
      </w:r>
      <w:r w:rsidR="004B0EC2" w:rsidRPr="00501310">
        <w:rPr>
          <w:i/>
          <w:iCs/>
          <w:sz w:val="22"/>
          <w:szCs w:val="22"/>
        </w:rPr>
        <w:t xml:space="preserve">Paris Agreement </w:t>
      </w:r>
      <w:r w:rsidR="004B0EC2" w:rsidRPr="00501310">
        <w:rPr>
          <w:sz w:val="22"/>
          <w:szCs w:val="22"/>
        </w:rPr>
        <w:t xml:space="preserve">(a preliminary summary available </w:t>
      </w:r>
      <w:hyperlink r:id="rId7" w:history="1">
        <w:r w:rsidR="004B0EC2" w:rsidRPr="00501310">
          <w:rPr>
            <w:rStyle w:val="Lienhypertexte"/>
            <w:sz w:val="22"/>
            <w:szCs w:val="22"/>
          </w:rPr>
          <w:t>here</w:t>
        </w:r>
      </w:hyperlink>
      <w:r w:rsidR="004B0EC2" w:rsidRPr="00501310">
        <w:rPr>
          <w:sz w:val="22"/>
          <w:szCs w:val="22"/>
        </w:rPr>
        <w:t>).</w:t>
      </w:r>
    </w:p>
    <w:p w14:paraId="2D55D0BF" w14:textId="503602A2" w:rsidR="00D16627" w:rsidRDefault="00D16627" w:rsidP="00FF342B">
      <w:pPr>
        <w:spacing w:line="276" w:lineRule="auto"/>
        <w:jc w:val="both"/>
      </w:pPr>
    </w:p>
    <w:p w14:paraId="3AF451C5" w14:textId="19E6479C" w:rsidR="006C2912" w:rsidRDefault="004B0EC2" w:rsidP="00DB2D4C">
      <w:pPr>
        <w:spacing w:after="120" w:line="276" w:lineRule="auto"/>
        <w:jc w:val="both"/>
      </w:pPr>
      <w:r>
        <w:rPr>
          <w:color w:val="000000" w:themeColor="text1"/>
          <w:sz w:val="22"/>
          <w:szCs w:val="22"/>
        </w:rPr>
        <w:t xml:space="preserve">In developing a strategy on climate finance and the DAC, the Reference Group is sensitive to issues relating to the legitimacy / mandate of the DAC and </w:t>
      </w:r>
      <w:r>
        <w:t>the</w:t>
      </w:r>
      <w:r w:rsidR="00987D45">
        <w:t xml:space="preserve"> </w:t>
      </w:r>
      <w:r>
        <w:t>pre-eminence</w:t>
      </w:r>
      <w:r w:rsidR="00317260">
        <w:t>, responsibilities</w:t>
      </w:r>
      <w:r>
        <w:t xml:space="preserve"> and politics of the UNFCCC</w:t>
      </w:r>
      <w:r w:rsidR="00987D45">
        <w:t>.</w:t>
      </w:r>
      <w:r w:rsidR="006C2912">
        <w:t xml:space="preserve">  The focus with the DAC will have </w:t>
      </w:r>
      <w:r w:rsidR="00501310">
        <w:t>several</w:t>
      </w:r>
      <w:r w:rsidR="006C2912">
        <w:t xml:space="preserve"> dimensions:</w:t>
      </w:r>
    </w:p>
    <w:p w14:paraId="5D9D138B" w14:textId="01CF1F75" w:rsidR="006C2912" w:rsidRDefault="003602BF" w:rsidP="00DB2D4C">
      <w:pPr>
        <w:pStyle w:val="Paragraphedeliste"/>
        <w:numPr>
          <w:ilvl w:val="0"/>
          <w:numId w:val="2"/>
        </w:numPr>
        <w:spacing w:after="120" w:line="276" w:lineRule="auto"/>
        <w:contextualSpacing w:val="0"/>
        <w:jc w:val="both"/>
        <w:rPr>
          <w:color w:val="000000" w:themeColor="text1"/>
          <w:sz w:val="22"/>
          <w:szCs w:val="22"/>
        </w:rPr>
      </w:pPr>
      <w:r>
        <w:rPr>
          <w:color w:val="000000" w:themeColor="text1"/>
          <w:sz w:val="22"/>
          <w:szCs w:val="22"/>
        </w:rPr>
        <w:t xml:space="preserve">Advocate with DAC members for increased climate finance, based on shared rules as to what can be included and how to count projects with Rio Climate Marker #1, </w:t>
      </w:r>
      <w:r w:rsidR="00501310">
        <w:rPr>
          <w:color w:val="000000" w:themeColor="text1"/>
          <w:sz w:val="22"/>
          <w:szCs w:val="22"/>
        </w:rPr>
        <w:t>at least mitigation finance</w:t>
      </w:r>
      <w:r w:rsidR="00317260">
        <w:rPr>
          <w:color w:val="000000" w:themeColor="text1"/>
          <w:sz w:val="22"/>
          <w:szCs w:val="22"/>
        </w:rPr>
        <w:t xml:space="preserve"> in</w:t>
      </w:r>
      <w:r>
        <w:rPr>
          <w:color w:val="000000" w:themeColor="text1"/>
          <w:sz w:val="22"/>
          <w:szCs w:val="22"/>
        </w:rPr>
        <w:t xml:space="preserve"> addition to current levels of ODA.</w:t>
      </w:r>
    </w:p>
    <w:p w14:paraId="1BE4BF40" w14:textId="7CFA48A1" w:rsidR="003602BF" w:rsidRDefault="003602BF" w:rsidP="00DB2D4C">
      <w:pPr>
        <w:pStyle w:val="Paragraphedeliste"/>
        <w:numPr>
          <w:ilvl w:val="0"/>
          <w:numId w:val="2"/>
        </w:numPr>
        <w:spacing w:after="120" w:line="276" w:lineRule="auto"/>
        <w:contextualSpacing w:val="0"/>
        <w:jc w:val="both"/>
        <w:rPr>
          <w:color w:val="000000" w:themeColor="text1"/>
          <w:sz w:val="22"/>
          <w:szCs w:val="22"/>
        </w:rPr>
      </w:pPr>
      <w:r>
        <w:rPr>
          <w:color w:val="000000" w:themeColor="text1"/>
          <w:sz w:val="22"/>
          <w:szCs w:val="22"/>
        </w:rPr>
        <w:t>Advocate</w:t>
      </w:r>
      <w:r w:rsidR="00317260">
        <w:rPr>
          <w:color w:val="000000" w:themeColor="text1"/>
          <w:sz w:val="22"/>
          <w:szCs w:val="22"/>
        </w:rPr>
        <w:t xml:space="preserve"> a climate justice framework </w:t>
      </w:r>
      <w:r>
        <w:rPr>
          <w:color w:val="000000" w:themeColor="text1"/>
          <w:sz w:val="22"/>
          <w:szCs w:val="22"/>
        </w:rPr>
        <w:t xml:space="preserve">for the allocation of </w:t>
      </w:r>
      <w:r w:rsidR="00317260">
        <w:rPr>
          <w:color w:val="000000" w:themeColor="text1"/>
          <w:sz w:val="22"/>
          <w:szCs w:val="22"/>
        </w:rPr>
        <w:t xml:space="preserve">DAC </w:t>
      </w:r>
      <w:r>
        <w:rPr>
          <w:color w:val="000000" w:themeColor="text1"/>
          <w:sz w:val="22"/>
          <w:szCs w:val="22"/>
        </w:rPr>
        <w:t>climate</w:t>
      </w:r>
      <w:r w:rsidR="00317260">
        <w:rPr>
          <w:color w:val="000000" w:themeColor="text1"/>
          <w:sz w:val="22"/>
          <w:szCs w:val="22"/>
        </w:rPr>
        <w:t xml:space="preserve"> finance — balance </w:t>
      </w:r>
      <w:r>
        <w:rPr>
          <w:color w:val="000000" w:themeColor="text1"/>
          <w:sz w:val="22"/>
          <w:szCs w:val="22"/>
        </w:rPr>
        <w:t xml:space="preserve"> between mitigation and adaptation, priority to LDCs, </w:t>
      </w:r>
      <w:r w:rsidR="00DB2D4C">
        <w:rPr>
          <w:color w:val="000000" w:themeColor="text1"/>
          <w:sz w:val="22"/>
          <w:szCs w:val="22"/>
        </w:rPr>
        <w:t xml:space="preserve">SIDSs, and Sub-Saharan Africa in adaptation finance commiserate with needs, </w:t>
      </w:r>
      <w:r>
        <w:rPr>
          <w:color w:val="000000" w:themeColor="text1"/>
          <w:sz w:val="22"/>
          <w:szCs w:val="22"/>
        </w:rPr>
        <w:t>support for loss and damage finance in addition to adaptation, attention to gender equality and women’s empowerment in climate action, and priority to grants over loans.</w:t>
      </w:r>
    </w:p>
    <w:p w14:paraId="5D43DC6A" w14:textId="17DB1966" w:rsidR="00DB2D4C" w:rsidRDefault="00DB2D4C" w:rsidP="00DB2D4C">
      <w:pPr>
        <w:pStyle w:val="Paragraphedeliste"/>
        <w:numPr>
          <w:ilvl w:val="0"/>
          <w:numId w:val="2"/>
        </w:numPr>
        <w:spacing w:after="120" w:line="276" w:lineRule="auto"/>
        <w:contextualSpacing w:val="0"/>
        <w:jc w:val="both"/>
        <w:rPr>
          <w:color w:val="000000" w:themeColor="text1"/>
          <w:sz w:val="22"/>
          <w:szCs w:val="22"/>
        </w:rPr>
      </w:pPr>
      <w:r>
        <w:rPr>
          <w:color w:val="000000" w:themeColor="text1"/>
          <w:sz w:val="22"/>
          <w:szCs w:val="22"/>
        </w:rPr>
        <w:t xml:space="preserve">Dialogue with DAC members on the implications of aligning development cooperation with the objectives of the </w:t>
      </w:r>
      <w:r w:rsidRPr="00317260">
        <w:rPr>
          <w:i/>
          <w:iCs/>
          <w:color w:val="000000" w:themeColor="text1"/>
          <w:sz w:val="22"/>
          <w:szCs w:val="22"/>
        </w:rPr>
        <w:t>Paris Agreemen</w:t>
      </w:r>
      <w:r>
        <w:rPr>
          <w:color w:val="000000" w:themeColor="text1"/>
          <w:sz w:val="22"/>
          <w:szCs w:val="22"/>
        </w:rPr>
        <w:t>t</w:t>
      </w:r>
      <w:r w:rsidR="00317260">
        <w:rPr>
          <w:color w:val="000000" w:themeColor="text1"/>
          <w:sz w:val="22"/>
          <w:szCs w:val="22"/>
        </w:rPr>
        <w:t>.</w:t>
      </w:r>
    </w:p>
    <w:p w14:paraId="3DE2FA51" w14:textId="65A41780" w:rsidR="00DB2D4C" w:rsidRPr="006C2912" w:rsidRDefault="00DB2D4C" w:rsidP="006C2912">
      <w:pPr>
        <w:pStyle w:val="Paragraphedeliste"/>
        <w:numPr>
          <w:ilvl w:val="0"/>
          <w:numId w:val="2"/>
        </w:numPr>
        <w:spacing w:line="276" w:lineRule="auto"/>
        <w:jc w:val="both"/>
        <w:rPr>
          <w:color w:val="000000" w:themeColor="text1"/>
          <w:sz w:val="22"/>
          <w:szCs w:val="22"/>
        </w:rPr>
      </w:pPr>
      <w:r>
        <w:rPr>
          <w:color w:val="000000" w:themeColor="text1"/>
          <w:sz w:val="22"/>
          <w:szCs w:val="22"/>
        </w:rPr>
        <w:t>Dialogue, analysis and</w:t>
      </w:r>
      <w:r w:rsidR="00317260">
        <w:rPr>
          <w:color w:val="000000" w:themeColor="text1"/>
          <w:sz w:val="22"/>
          <w:szCs w:val="22"/>
        </w:rPr>
        <w:t xml:space="preserve"> develop</w:t>
      </w:r>
      <w:r>
        <w:rPr>
          <w:color w:val="000000" w:themeColor="text1"/>
          <w:sz w:val="22"/>
          <w:szCs w:val="22"/>
        </w:rPr>
        <w:t xml:space="preserve"> Reference Group proposals relating to the current emphasis on blending modalities for private sector engagement in climate action, consistent with the Kampala Principles for Effective Engagement of the Private Sector.</w:t>
      </w:r>
    </w:p>
    <w:p w14:paraId="4975354F" w14:textId="77777777" w:rsidR="00345916" w:rsidRPr="00790E63" w:rsidRDefault="00345916" w:rsidP="00FF342B">
      <w:pPr>
        <w:spacing w:line="276" w:lineRule="auto"/>
        <w:jc w:val="both"/>
        <w:rPr>
          <w:color w:val="000000" w:themeColor="text1"/>
          <w:sz w:val="22"/>
          <w:szCs w:val="22"/>
        </w:rPr>
      </w:pPr>
    </w:p>
    <w:sectPr w:rsidR="00345916" w:rsidRPr="00790E63" w:rsidSect="008B4BCF">
      <w:footerReference w:type="even" r:id="rId8"/>
      <w:footerReference w:type="default" r:id="rId9"/>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778D7" w14:textId="77777777" w:rsidR="005D089F" w:rsidRDefault="005D089F" w:rsidP="00FF342B">
      <w:r>
        <w:separator/>
      </w:r>
    </w:p>
  </w:endnote>
  <w:endnote w:type="continuationSeparator" w:id="0">
    <w:p w14:paraId="48D409A5" w14:textId="77777777" w:rsidR="005D089F" w:rsidRDefault="005D089F" w:rsidP="00FF342B">
      <w:r>
        <w:continuationSeparator/>
      </w:r>
    </w:p>
  </w:endnote>
  <w:endnote w:id="1">
    <w:p w14:paraId="107C033E" w14:textId="54879B3F" w:rsidR="00FF342B" w:rsidRPr="005C6698" w:rsidRDefault="00FF342B" w:rsidP="004E1705">
      <w:pPr>
        <w:pStyle w:val="Notedefin"/>
        <w:spacing w:after="120"/>
        <w:rPr>
          <w:rFonts w:cstheme="minorHAnsi"/>
        </w:rPr>
      </w:pPr>
      <w:r w:rsidRPr="005C6698">
        <w:rPr>
          <w:rStyle w:val="Appeldenotedefin"/>
          <w:rFonts w:cstheme="minorHAnsi"/>
        </w:rPr>
        <w:endnoteRef/>
      </w:r>
      <w:r w:rsidRPr="005C6698">
        <w:rPr>
          <w:rFonts w:cstheme="minorHAnsi"/>
        </w:rPr>
        <w:t xml:space="preserve"> </w:t>
      </w:r>
      <w:r w:rsidRPr="005C6698">
        <w:rPr>
          <w:rFonts w:cstheme="minorHAnsi"/>
          <w:lang w:val="en-US"/>
        </w:rPr>
        <w:t xml:space="preserve">IPCC, 2018.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October 2018, accessed August 2019 at </w:t>
      </w:r>
      <w:hyperlink r:id="rId1" w:history="1">
        <w:r w:rsidRPr="005C6698">
          <w:rPr>
            <w:rStyle w:val="Lienhypertexte"/>
            <w:rFonts w:cstheme="minorHAnsi"/>
            <w:lang w:val="en-US"/>
          </w:rPr>
          <w:t>https://www.ipcc.ch/sr15/</w:t>
        </w:r>
      </w:hyperlink>
      <w:r w:rsidRPr="005C6698">
        <w:rPr>
          <w:rFonts w:cstheme="minorHAnsi"/>
          <w:lang w:val="en-US"/>
        </w:rPr>
        <w:t>.</w:t>
      </w:r>
    </w:p>
  </w:endnote>
  <w:endnote w:id="2">
    <w:p w14:paraId="52354540" w14:textId="77777777" w:rsidR="00790E63" w:rsidRPr="005C6698" w:rsidRDefault="00790E63" w:rsidP="004E1705">
      <w:pPr>
        <w:pStyle w:val="Notedefin"/>
        <w:spacing w:after="120"/>
        <w:rPr>
          <w:rFonts w:cstheme="minorHAnsi"/>
          <w:lang w:val="en-US"/>
        </w:rPr>
      </w:pPr>
      <w:r w:rsidRPr="005C6698">
        <w:rPr>
          <w:rStyle w:val="Appeldenotedefin"/>
          <w:rFonts w:cstheme="minorHAnsi"/>
        </w:rPr>
        <w:endnoteRef/>
      </w:r>
      <w:r w:rsidRPr="005C6698">
        <w:rPr>
          <w:rFonts w:cstheme="minorHAnsi"/>
        </w:rPr>
        <w:t xml:space="preserve">  Philip Alston, “</w:t>
      </w:r>
      <w:r w:rsidRPr="005C6698">
        <w:rPr>
          <w:rFonts w:eastAsia="Times New Roman" w:cstheme="minorHAnsi"/>
        </w:rPr>
        <w:t>Climate change and poverty: Report of the Special Rapporteur on extreme poverty and human rights”, A/HRC/41/39, June 25, 2019, page 14, accessed August 2019 at</w:t>
      </w:r>
      <w:r w:rsidRPr="005C6698">
        <w:rPr>
          <w:rFonts w:cstheme="minorHAnsi"/>
        </w:rPr>
        <w:t xml:space="preserve"> </w:t>
      </w:r>
      <w:hyperlink r:id="rId2" w:history="1">
        <w:r w:rsidRPr="005C6698">
          <w:rPr>
            <w:rStyle w:val="Lienhypertexte"/>
            <w:rFonts w:cstheme="minorHAnsi"/>
          </w:rPr>
          <w:t>https://www.ohchr.org/Documents/Issues/Poverty/A_HRC_41_39.pdf</w:t>
        </w:r>
      </w:hyperlink>
      <w:r w:rsidRPr="005C6698">
        <w:rPr>
          <w:rFonts w:cstheme="minorHAnsi"/>
        </w:rPr>
        <w:t xml:space="preserve">. </w:t>
      </w:r>
    </w:p>
  </w:endnote>
  <w:endnote w:id="3">
    <w:p w14:paraId="60AE7B1E" w14:textId="77777777" w:rsidR="00790E63" w:rsidRPr="005C6698" w:rsidRDefault="00790E63" w:rsidP="004E1705">
      <w:pPr>
        <w:pStyle w:val="Notedefin"/>
        <w:spacing w:after="120"/>
        <w:rPr>
          <w:rFonts w:cstheme="minorHAnsi"/>
          <w:lang w:val="en-US"/>
        </w:rPr>
      </w:pPr>
      <w:r w:rsidRPr="005C6698">
        <w:rPr>
          <w:rStyle w:val="Appeldenotedefin"/>
          <w:rFonts w:cstheme="minorHAnsi"/>
        </w:rPr>
        <w:endnoteRef/>
      </w:r>
      <w:r w:rsidRPr="005C6698">
        <w:rPr>
          <w:rFonts w:cstheme="minorHAnsi"/>
        </w:rPr>
        <w:t xml:space="preserve"> </w:t>
      </w:r>
      <w:r w:rsidRPr="005C6698">
        <w:rPr>
          <w:rFonts w:cstheme="minorHAnsi"/>
          <w:lang w:val="en-US"/>
        </w:rPr>
        <w:t>Ibid, p. 17.</w:t>
      </w:r>
    </w:p>
  </w:endnote>
  <w:endnote w:id="4">
    <w:p w14:paraId="6985E4A1" w14:textId="1CAC8824" w:rsidR="005C6698" w:rsidRPr="004E1705" w:rsidRDefault="005C6698" w:rsidP="004E1705">
      <w:pPr>
        <w:autoSpaceDE w:val="0"/>
        <w:autoSpaceDN w:val="0"/>
        <w:adjustRightInd w:val="0"/>
        <w:spacing w:after="120"/>
        <w:rPr>
          <w:rFonts w:cstheme="minorHAnsi"/>
          <w:sz w:val="20"/>
          <w:szCs w:val="20"/>
          <w:lang w:val="en-US"/>
        </w:rPr>
      </w:pPr>
      <w:r w:rsidRPr="005C6698">
        <w:rPr>
          <w:rFonts w:asciiTheme="majorHAnsi" w:hAnsiTheme="majorHAnsi" w:cs="Times New Roman"/>
          <w:sz w:val="20"/>
          <w:szCs w:val="20"/>
          <w:vertAlign w:val="superscript"/>
          <w:lang w:val="en-US"/>
        </w:rPr>
        <w:endnoteRef/>
      </w:r>
      <w:r w:rsidRPr="005C6698">
        <w:rPr>
          <w:rFonts w:cstheme="minorHAnsi"/>
          <w:sz w:val="20"/>
          <w:szCs w:val="20"/>
          <w:lang w:val="en-US"/>
        </w:rPr>
        <w:t xml:space="preserve"> Julie-Anne Richards and Liane Schalatek, “Financing Loss and Damage: A Look at Governance and Implementation Options,” Heinrich Böll Stiftung North America, May 2017, accessed at </w:t>
      </w:r>
      <w:hyperlink r:id="rId3" w:history="1">
        <w:r w:rsidRPr="00D168CC">
          <w:rPr>
            <w:rStyle w:val="Lienhypertexte"/>
            <w:rFonts w:cstheme="minorHAnsi"/>
            <w:sz w:val="20"/>
            <w:szCs w:val="20"/>
            <w:lang w:val="en-US"/>
          </w:rPr>
          <w:t>https://www.boell.de/sites/default/files/loss_and_damage_finance_paper_update_16_may_2017.pdf</w:t>
        </w:r>
      </w:hyperlink>
      <w:r>
        <w:rPr>
          <w:rFonts w:cstheme="minorHAnsi"/>
          <w:sz w:val="20"/>
          <w:szCs w:val="20"/>
          <w:lang w:val="en-US"/>
        </w:rPr>
        <w:t xml:space="preserve"> </w:t>
      </w:r>
    </w:p>
  </w:endnote>
  <w:endnote w:id="5">
    <w:p w14:paraId="5A929726" w14:textId="6A77A5AF" w:rsidR="00D46DD7" w:rsidRDefault="00D46DD7" w:rsidP="00D46DD7">
      <w:pPr>
        <w:pStyle w:val="Notedefin"/>
        <w:spacing w:after="120"/>
      </w:pPr>
      <w:r>
        <w:rPr>
          <w:rStyle w:val="Appeldenotedefin"/>
        </w:rPr>
        <w:endnoteRef/>
      </w:r>
      <w:r>
        <w:t xml:space="preserve"> For the latest DAC climate finance statistics and its annual statistical report see </w:t>
      </w:r>
      <w:hyperlink r:id="rId4" w:history="1">
        <w:r w:rsidRPr="00D168CC">
          <w:rPr>
            <w:rStyle w:val="Lienhypertexte"/>
          </w:rPr>
          <w:t>http://www.oecd.org/dac/financing-sustainable-development/development-finance-topics/climate-change.htm</w:t>
        </w:r>
      </w:hyperlink>
      <w:r>
        <w:t xml:space="preserve"> </w:t>
      </w:r>
    </w:p>
  </w:endnote>
  <w:endnote w:id="6">
    <w:p w14:paraId="7609BCAB" w14:textId="77777777" w:rsidR="00026759" w:rsidRDefault="00026759" w:rsidP="00026759">
      <w:pPr>
        <w:pStyle w:val="Notedefin"/>
        <w:spacing w:after="120"/>
      </w:pPr>
      <w:r>
        <w:rPr>
          <w:rStyle w:val="Appeldenotedefin"/>
        </w:rPr>
        <w:endnoteRef/>
      </w:r>
      <w:r>
        <w:t xml:space="preserve"> For the methodology used in making these calculations of climate finance by the author, see Annex One in Brian Tomlinson, “The Reality of Canada’s International Climate Finance, 2019,” accessible at </w:t>
      </w:r>
      <w:hyperlink r:id="rId5" w:history="1">
        <w:r w:rsidRPr="00D168CC">
          <w:rPr>
            <w:rStyle w:val="Lienhypertexte"/>
          </w:rPr>
          <w:t>www.aidwatchcanada.ca</w:t>
        </w:r>
      </w:hyperlink>
      <w:r>
        <w:t xml:space="preserve">. </w:t>
      </w:r>
    </w:p>
  </w:endnote>
  <w:endnote w:id="7">
    <w:p w14:paraId="6636DE2C" w14:textId="0CD66B4C" w:rsidR="001269E4" w:rsidRDefault="001269E4">
      <w:pPr>
        <w:pStyle w:val="Notedefin"/>
      </w:pPr>
      <w:r>
        <w:rPr>
          <w:rStyle w:val="Appeldenotedefin"/>
        </w:rPr>
        <w:endnoteRef/>
      </w:r>
      <w:r>
        <w:t xml:space="preserve"> These questions / observations are drawn from Tomlinson (2019) above, which attempts to apply conclusions from the GPEDC Third Monitoring Round to the performance of climate finance as an effective resource for meeting climate challenges in developing countries.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ø¥∆Ñ˛">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6883098"/>
      <w:docPartObj>
        <w:docPartGallery w:val="Page Numbers (Bottom of Page)"/>
        <w:docPartUnique/>
      </w:docPartObj>
    </w:sdtPr>
    <w:sdtEndPr>
      <w:rPr>
        <w:rStyle w:val="Numrodepage"/>
      </w:rPr>
    </w:sdtEndPr>
    <w:sdtContent>
      <w:p w14:paraId="617DECEE" w14:textId="46A13930" w:rsidR="00DD7B49" w:rsidRDefault="00DD7B49" w:rsidP="00D168C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8E19780" w14:textId="77777777" w:rsidR="00DD7B49" w:rsidRDefault="00DD7B49" w:rsidP="00DD7B4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549135721"/>
      <w:docPartObj>
        <w:docPartGallery w:val="Page Numbers (Bottom of Page)"/>
        <w:docPartUnique/>
      </w:docPartObj>
    </w:sdtPr>
    <w:sdtEndPr>
      <w:rPr>
        <w:rStyle w:val="Numrodepage"/>
      </w:rPr>
    </w:sdtEndPr>
    <w:sdtContent>
      <w:p w14:paraId="259E87A3" w14:textId="5E38A5D7" w:rsidR="00DD7B49" w:rsidRDefault="00DD7B49" w:rsidP="00D168C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514399">
          <w:rPr>
            <w:rStyle w:val="Numrodepage"/>
            <w:noProof/>
          </w:rPr>
          <w:t>2</w:t>
        </w:r>
        <w:r>
          <w:rPr>
            <w:rStyle w:val="Numrodepage"/>
          </w:rPr>
          <w:fldChar w:fldCharType="end"/>
        </w:r>
      </w:p>
    </w:sdtContent>
  </w:sdt>
  <w:p w14:paraId="668F618F" w14:textId="77777777" w:rsidR="00DD7B49" w:rsidRDefault="00DD7B49" w:rsidP="00DD7B4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29010" w14:textId="77777777" w:rsidR="005D089F" w:rsidRDefault="005D089F" w:rsidP="00FF342B">
      <w:r>
        <w:separator/>
      </w:r>
    </w:p>
  </w:footnote>
  <w:footnote w:type="continuationSeparator" w:id="0">
    <w:p w14:paraId="7CB745D6" w14:textId="77777777" w:rsidR="005D089F" w:rsidRDefault="005D089F" w:rsidP="00FF3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81325"/>
    <w:multiLevelType w:val="hybridMultilevel"/>
    <w:tmpl w:val="60F86B02"/>
    <w:lvl w:ilvl="0" w:tplc="A97443FE">
      <w:start w:val="1"/>
      <w:numFmt w:val="lowerLetter"/>
      <w:lvlText w:val="%1)"/>
      <w:lvlJc w:val="left"/>
      <w:pPr>
        <w:tabs>
          <w:tab w:val="num" w:pos="720"/>
        </w:tabs>
        <w:ind w:left="720" w:hanging="360"/>
      </w:pPr>
    </w:lvl>
    <w:lvl w:ilvl="1" w:tplc="CB1C7B4E">
      <w:numFmt w:val="bullet"/>
      <w:lvlText w:val=""/>
      <w:lvlJc w:val="left"/>
      <w:pPr>
        <w:tabs>
          <w:tab w:val="num" w:pos="1440"/>
        </w:tabs>
        <w:ind w:left="1440" w:hanging="360"/>
      </w:pPr>
      <w:rPr>
        <w:rFonts w:ascii="Wingdings" w:hAnsi="Wingdings" w:hint="default"/>
      </w:rPr>
    </w:lvl>
    <w:lvl w:ilvl="2" w:tplc="E1D64EC4" w:tentative="1">
      <w:start w:val="1"/>
      <w:numFmt w:val="lowerLetter"/>
      <w:lvlText w:val="%3)"/>
      <w:lvlJc w:val="left"/>
      <w:pPr>
        <w:tabs>
          <w:tab w:val="num" w:pos="2160"/>
        </w:tabs>
        <w:ind w:left="2160" w:hanging="360"/>
      </w:pPr>
    </w:lvl>
    <w:lvl w:ilvl="3" w:tplc="0D327594" w:tentative="1">
      <w:start w:val="1"/>
      <w:numFmt w:val="lowerLetter"/>
      <w:lvlText w:val="%4)"/>
      <w:lvlJc w:val="left"/>
      <w:pPr>
        <w:tabs>
          <w:tab w:val="num" w:pos="2880"/>
        </w:tabs>
        <w:ind w:left="2880" w:hanging="360"/>
      </w:pPr>
    </w:lvl>
    <w:lvl w:ilvl="4" w:tplc="0FB02140" w:tentative="1">
      <w:start w:val="1"/>
      <w:numFmt w:val="lowerLetter"/>
      <w:lvlText w:val="%5)"/>
      <w:lvlJc w:val="left"/>
      <w:pPr>
        <w:tabs>
          <w:tab w:val="num" w:pos="3600"/>
        </w:tabs>
        <w:ind w:left="3600" w:hanging="360"/>
      </w:pPr>
    </w:lvl>
    <w:lvl w:ilvl="5" w:tplc="D4EC0282" w:tentative="1">
      <w:start w:val="1"/>
      <w:numFmt w:val="lowerLetter"/>
      <w:lvlText w:val="%6)"/>
      <w:lvlJc w:val="left"/>
      <w:pPr>
        <w:tabs>
          <w:tab w:val="num" w:pos="4320"/>
        </w:tabs>
        <w:ind w:left="4320" w:hanging="360"/>
      </w:pPr>
    </w:lvl>
    <w:lvl w:ilvl="6" w:tplc="B38EC7A8" w:tentative="1">
      <w:start w:val="1"/>
      <w:numFmt w:val="lowerLetter"/>
      <w:lvlText w:val="%7)"/>
      <w:lvlJc w:val="left"/>
      <w:pPr>
        <w:tabs>
          <w:tab w:val="num" w:pos="5040"/>
        </w:tabs>
        <w:ind w:left="5040" w:hanging="360"/>
      </w:pPr>
    </w:lvl>
    <w:lvl w:ilvl="7" w:tplc="FD1EEC8C" w:tentative="1">
      <w:start w:val="1"/>
      <w:numFmt w:val="lowerLetter"/>
      <w:lvlText w:val="%8)"/>
      <w:lvlJc w:val="left"/>
      <w:pPr>
        <w:tabs>
          <w:tab w:val="num" w:pos="5760"/>
        </w:tabs>
        <w:ind w:left="5760" w:hanging="360"/>
      </w:pPr>
    </w:lvl>
    <w:lvl w:ilvl="8" w:tplc="58FE66BA" w:tentative="1">
      <w:start w:val="1"/>
      <w:numFmt w:val="lowerLetter"/>
      <w:lvlText w:val="%9)"/>
      <w:lvlJc w:val="left"/>
      <w:pPr>
        <w:tabs>
          <w:tab w:val="num" w:pos="6480"/>
        </w:tabs>
        <w:ind w:left="6480" w:hanging="360"/>
      </w:pPr>
    </w:lvl>
  </w:abstractNum>
  <w:abstractNum w:abstractNumId="1" w15:restartNumberingAfterBreak="0">
    <w:nsid w:val="7DCA78B3"/>
    <w:multiLevelType w:val="hybridMultilevel"/>
    <w:tmpl w:val="C902E4A0"/>
    <w:lvl w:ilvl="0" w:tplc="04090017">
      <w:start w:val="1"/>
      <w:numFmt w:val="low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4C1"/>
    <w:rsid w:val="00026759"/>
    <w:rsid w:val="00045F46"/>
    <w:rsid w:val="000711D2"/>
    <w:rsid w:val="000B46A2"/>
    <w:rsid w:val="001154E9"/>
    <w:rsid w:val="00116A79"/>
    <w:rsid w:val="001269E4"/>
    <w:rsid w:val="00126FC3"/>
    <w:rsid w:val="0028240F"/>
    <w:rsid w:val="00317260"/>
    <w:rsid w:val="00345916"/>
    <w:rsid w:val="003602BF"/>
    <w:rsid w:val="003A7A3D"/>
    <w:rsid w:val="004B0EC2"/>
    <w:rsid w:val="004E1555"/>
    <w:rsid w:val="004E1705"/>
    <w:rsid w:val="00501310"/>
    <w:rsid w:val="00514399"/>
    <w:rsid w:val="005B6B59"/>
    <w:rsid w:val="005C6698"/>
    <w:rsid w:val="005D089F"/>
    <w:rsid w:val="005D5D1C"/>
    <w:rsid w:val="005E2F20"/>
    <w:rsid w:val="005E7AEC"/>
    <w:rsid w:val="005F1C98"/>
    <w:rsid w:val="006216DC"/>
    <w:rsid w:val="006354C1"/>
    <w:rsid w:val="00643ABF"/>
    <w:rsid w:val="006A2579"/>
    <w:rsid w:val="006C01F7"/>
    <w:rsid w:val="006C2912"/>
    <w:rsid w:val="006E01D9"/>
    <w:rsid w:val="00707B69"/>
    <w:rsid w:val="00753D0B"/>
    <w:rsid w:val="0079074D"/>
    <w:rsid w:val="00790E63"/>
    <w:rsid w:val="007F3313"/>
    <w:rsid w:val="00874B6C"/>
    <w:rsid w:val="008A547E"/>
    <w:rsid w:val="008B4BCF"/>
    <w:rsid w:val="00943853"/>
    <w:rsid w:val="00965895"/>
    <w:rsid w:val="00967131"/>
    <w:rsid w:val="00987D45"/>
    <w:rsid w:val="009D26DA"/>
    <w:rsid w:val="009D6F88"/>
    <w:rsid w:val="00A40BC4"/>
    <w:rsid w:val="00A55774"/>
    <w:rsid w:val="00AA69C5"/>
    <w:rsid w:val="00B21C01"/>
    <w:rsid w:val="00CA64A6"/>
    <w:rsid w:val="00CD1D8A"/>
    <w:rsid w:val="00D16627"/>
    <w:rsid w:val="00D278E0"/>
    <w:rsid w:val="00D46DD7"/>
    <w:rsid w:val="00DB2D4C"/>
    <w:rsid w:val="00DD7B49"/>
    <w:rsid w:val="00E23429"/>
    <w:rsid w:val="00E6350C"/>
    <w:rsid w:val="00ED76B4"/>
    <w:rsid w:val="00EE1194"/>
    <w:rsid w:val="00EF73FF"/>
    <w:rsid w:val="00FF34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A718"/>
  <w15:chartTrackingRefBased/>
  <w15:docId w15:val="{72E2D6DE-83FD-7C4E-9041-31E8B404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uiPriority w:val="99"/>
    <w:unhideWhenUsed/>
    <w:rsid w:val="00FF342B"/>
    <w:rPr>
      <w:vertAlign w:val="superscript"/>
    </w:rPr>
  </w:style>
  <w:style w:type="character" w:styleId="Lienhypertexte">
    <w:name w:val="Hyperlink"/>
    <w:basedOn w:val="Policepardfaut"/>
    <w:uiPriority w:val="99"/>
    <w:unhideWhenUsed/>
    <w:rsid w:val="00FF342B"/>
    <w:rPr>
      <w:color w:val="0563C1" w:themeColor="hyperlink"/>
      <w:u w:val="single"/>
    </w:rPr>
  </w:style>
  <w:style w:type="paragraph" w:styleId="Notedefin">
    <w:name w:val="endnote text"/>
    <w:basedOn w:val="Normal"/>
    <w:link w:val="NotedefinCar"/>
    <w:uiPriority w:val="99"/>
    <w:unhideWhenUsed/>
    <w:rsid w:val="00FF342B"/>
    <w:rPr>
      <w:sz w:val="20"/>
      <w:szCs w:val="20"/>
    </w:rPr>
  </w:style>
  <w:style w:type="character" w:customStyle="1" w:styleId="NotedefinCar">
    <w:name w:val="Note de fin Car"/>
    <w:basedOn w:val="Policepardfaut"/>
    <w:link w:val="Notedefin"/>
    <w:uiPriority w:val="99"/>
    <w:rsid w:val="00FF342B"/>
    <w:rPr>
      <w:sz w:val="20"/>
      <w:szCs w:val="20"/>
    </w:rPr>
  </w:style>
  <w:style w:type="paragraph" w:styleId="NormalWeb">
    <w:name w:val="Normal (Web)"/>
    <w:basedOn w:val="Normal"/>
    <w:uiPriority w:val="99"/>
    <w:semiHidden/>
    <w:unhideWhenUsed/>
    <w:rsid w:val="00CA64A6"/>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Policepardfaut"/>
    <w:uiPriority w:val="99"/>
    <w:semiHidden/>
    <w:unhideWhenUsed/>
    <w:rsid w:val="005C6698"/>
    <w:rPr>
      <w:color w:val="605E5C"/>
      <w:shd w:val="clear" w:color="auto" w:fill="E1DFDD"/>
    </w:rPr>
  </w:style>
  <w:style w:type="paragraph" w:styleId="Textedebulles">
    <w:name w:val="Balloon Text"/>
    <w:basedOn w:val="Normal"/>
    <w:link w:val="TextedebullesCar"/>
    <w:uiPriority w:val="99"/>
    <w:semiHidden/>
    <w:unhideWhenUsed/>
    <w:rsid w:val="006C01F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C01F7"/>
    <w:rPr>
      <w:rFonts w:ascii="Times New Roman" w:hAnsi="Times New Roman" w:cs="Times New Roman"/>
      <w:sz w:val="18"/>
      <w:szCs w:val="18"/>
    </w:rPr>
  </w:style>
  <w:style w:type="paragraph" w:styleId="Pieddepage">
    <w:name w:val="footer"/>
    <w:basedOn w:val="Normal"/>
    <w:link w:val="PieddepageCar"/>
    <w:uiPriority w:val="99"/>
    <w:unhideWhenUsed/>
    <w:rsid w:val="00DD7B49"/>
    <w:pPr>
      <w:tabs>
        <w:tab w:val="center" w:pos="4680"/>
        <w:tab w:val="right" w:pos="9360"/>
      </w:tabs>
    </w:pPr>
  </w:style>
  <w:style w:type="character" w:customStyle="1" w:styleId="PieddepageCar">
    <w:name w:val="Pied de page Car"/>
    <w:basedOn w:val="Policepardfaut"/>
    <w:link w:val="Pieddepage"/>
    <w:uiPriority w:val="99"/>
    <w:rsid w:val="00DD7B49"/>
  </w:style>
  <w:style w:type="character" w:styleId="Numrodepage">
    <w:name w:val="page number"/>
    <w:basedOn w:val="Policepardfaut"/>
    <w:uiPriority w:val="99"/>
    <w:semiHidden/>
    <w:unhideWhenUsed/>
    <w:rsid w:val="00DD7B49"/>
  </w:style>
  <w:style w:type="paragraph" w:styleId="Paragraphedeliste">
    <w:name w:val="List Paragraph"/>
    <w:basedOn w:val="Normal"/>
    <w:uiPriority w:val="34"/>
    <w:qFormat/>
    <w:rsid w:val="006C2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945499">
      <w:bodyDiv w:val="1"/>
      <w:marLeft w:val="0"/>
      <w:marRight w:val="0"/>
      <w:marTop w:val="0"/>
      <w:marBottom w:val="0"/>
      <w:divBdr>
        <w:top w:val="none" w:sz="0" w:space="0" w:color="auto"/>
        <w:left w:val="none" w:sz="0" w:space="0" w:color="auto"/>
        <w:bottom w:val="none" w:sz="0" w:space="0" w:color="auto"/>
        <w:right w:val="none" w:sz="0" w:space="0" w:color="auto"/>
      </w:divBdr>
    </w:div>
    <w:div w:id="450978647">
      <w:bodyDiv w:val="1"/>
      <w:marLeft w:val="0"/>
      <w:marRight w:val="0"/>
      <w:marTop w:val="0"/>
      <w:marBottom w:val="0"/>
      <w:divBdr>
        <w:top w:val="none" w:sz="0" w:space="0" w:color="auto"/>
        <w:left w:val="none" w:sz="0" w:space="0" w:color="auto"/>
        <w:bottom w:val="none" w:sz="0" w:space="0" w:color="auto"/>
        <w:right w:val="none" w:sz="0" w:space="0" w:color="auto"/>
      </w:divBdr>
    </w:div>
    <w:div w:id="558126888">
      <w:bodyDiv w:val="1"/>
      <w:marLeft w:val="0"/>
      <w:marRight w:val="0"/>
      <w:marTop w:val="0"/>
      <w:marBottom w:val="0"/>
      <w:divBdr>
        <w:top w:val="none" w:sz="0" w:space="0" w:color="auto"/>
        <w:left w:val="none" w:sz="0" w:space="0" w:color="auto"/>
        <w:bottom w:val="none" w:sz="0" w:space="0" w:color="auto"/>
        <w:right w:val="none" w:sz="0" w:space="0" w:color="auto"/>
      </w:divBdr>
    </w:div>
    <w:div w:id="594173864">
      <w:bodyDiv w:val="1"/>
      <w:marLeft w:val="0"/>
      <w:marRight w:val="0"/>
      <w:marTop w:val="0"/>
      <w:marBottom w:val="0"/>
      <w:divBdr>
        <w:top w:val="none" w:sz="0" w:space="0" w:color="auto"/>
        <w:left w:val="none" w:sz="0" w:space="0" w:color="auto"/>
        <w:bottom w:val="none" w:sz="0" w:space="0" w:color="auto"/>
        <w:right w:val="none" w:sz="0" w:space="0" w:color="auto"/>
      </w:divBdr>
    </w:div>
    <w:div w:id="1184317992">
      <w:bodyDiv w:val="1"/>
      <w:marLeft w:val="0"/>
      <w:marRight w:val="0"/>
      <w:marTop w:val="0"/>
      <w:marBottom w:val="0"/>
      <w:divBdr>
        <w:top w:val="none" w:sz="0" w:space="0" w:color="auto"/>
        <w:left w:val="none" w:sz="0" w:space="0" w:color="auto"/>
        <w:bottom w:val="none" w:sz="0" w:space="0" w:color="auto"/>
        <w:right w:val="none" w:sz="0" w:space="0" w:color="auto"/>
      </w:divBdr>
    </w:div>
    <w:div w:id="1896355107">
      <w:bodyDiv w:val="1"/>
      <w:marLeft w:val="0"/>
      <w:marRight w:val="0"/>
      <w:marTop w:val="0"/>
      <w:marBottom w:val="0"/>
      <w:divBdr>
        <w:top w:val="none" w:sz="0" w:space="0" w:color="auto"/>
        <w:left w:val="none" w:sz="0" w:space="0" w:color="auto"/>
        <w:bottom w:val="none" w:sz="0" w:space="0" w:color="auto"/>
        <w:right w:val="none" w:sz="0" w:space="0" w:color="auto"/>
      </w:divBdr>
      <w:divsChild>
        <w:div w:id="79762081">
          <w:marLeft w:val="547"/>
          <w:marRight w:val="0"/>
          <w:marTop w:val="200"/>
          <w:marBottom w:val="0"/>
          <w:divBdr>
            <w:top w:val="none" w:sz="0" w:space="0" w:color="auto"/>
            <w:left w:val="none" w:sz="0" w:space="0" w:color="auto"/>
            <w:bottom w:val="none" w:sz="0" w:space="0" w:color="auto"/>
            <w:right w:val="none" w:sz="0" w:space="0" w:color="auto"/>
          </w:divBdr>
        </w:div>
        <w:div w:id="691371529">
          <w:marLeft w:val="547"/>
          <w:marRight w:val="0"/>
          <w:marTop w:val="200"/>
          <w:marBottom w:val="0"/>
          <w:divBdr>
            <w:top w:val="none" w:sz="0" w:space="0" w:color="auto"/>
            <w:left w:val="none" w:sz="0" w:space="0" w:color="auto"/>
            <w:bottom w:val="none" w:sz="0" w:space="0" w:color="auto"/>
            <w:right w:val="none" w:sz="0" w:space="0" w:color="auto"/>
          </w:divBdr>
        </w:div>
        <w:div w:id="2053768405">
          <w:marLeft w:val="547"/>
          <w:marRight w:val="0"/>
          <w:marTop w:val="200"/>
          <w:marBottom w:val="0"/>
          <w:divBdr>
            <w:top w:val="none" w:sz="0" w:space="0" w:color="auto"/>
            <w:left w:val="none" w:sz="0" w:space="0" w:color="auto"/>
            <w:bottom w:val="none" w:sz="0" w:space="0" w:color="auto"/>
            <w:right w:val="none" w:sz="0" w:space="0" w:color="auto"/>
          </w:divBdr>
        </w:div>
        <w:div w:id="305598084">
          <w:marLeft w:val="1080"/>
          <w:marRight w:val="0"/>
          <w:marTop w:val="100"/>
          <w:marBottom w:val="0"/>
          <w:divBdr>
            <w:top w:val="none" w:sz="0" w:space="0" w:color="auto"/>
            <w:left w:val="none" w:sz="0" w:space="0" w:color="auto"/>
            <w:bottom w:val="none" w:sz="0" w:space="0" w:color="auto"/>
            <w:right w:val="none" w:sz="0" w:space="0" w:color="auto"/>
          </w:divBdr>
        </w:div>
        <w:div w:id="591358617">
          <w:marLeft w:val="1080"/>
          <w:marRight w:val="0"/>
          <w:marTop w:val="100"/>
          <w:marBottom w:val="0"/>
          <w:divBdr>
            <w:top w:val="none" w:sz="0" w:space="0" w:color="auto"/>
            <w:left w:val="none" w:sz="0" w:space="0" w:color="auto"/>
            <w:bottom w:val="none" w:sz="0" w:space="0" w:color="auto"/>
            <w:right w:val="none" w:sz="0" w:space="0" w:color="auto"/>
          </w:divBdr>
        </w:div>
        <w:div w:id="1419862400">
          <w:marLeft w:val="1080"/>
          <w:marRight w:val="0"/>
          <w:marTop w:val="100"/>
          <w:marBottom w:val="0"/>
          <w:divBdr>
            <w:top w:val="none" w:sz="0" w:space="0" w:color="auto"/>
            <w:left w:val="none" w:sz="0" w:space="0" w:color="auto"/>
            <w:bottom w:val="none" w:sz="0" w:space="0" w:color="auto"/>
            <w:right w:val="none" w:sz="0" w:space="0" w:color="auto"/>
          </w:divBdr>
        </w:div>
        <w:div w:id="370302451">
          <w:marLeft w:val="1080"/>
          <w:marRight w:val="0"/>
          <w:marTop w:val="100"/>
          <w:marBottom w:val="0"/>
          <w:divBdr>
            <w:top w:val="none" w:sz="0" w:space="0" w:color="auto"/>
            <w:left w:val="none" w:sz="0" w:space="0" w:color="auto"/>
            <w:bottom w:val="none" w:sz="0" w:space="0" w:color="auto"/>
            <w:right w:val="none" w:sz="0" w:space="0" w:color="auto"/>
          </w:divBdr>
        </w:div>
        <w:div w:id="1528375931">
          <w:marLeft w:val="547"/>
          <w:marRight w:val="0"/>
          <w:marTop w:val="200"/>
          <w:marBottom w:val="0"/>
          <w:divBdr>
            <w:top w:val="none" w:sz="0" w:space="0" w:color="auto"/>
            <w:left w:val="none" w:sz="0" w:space="0" w:color="auto"/>
            <w:bottom w:val="none" w:sz="0" w:space="0" w:color="auto"/>
            <w:right w:val="none" w:sz="0" w:space="0" w:color="auto"/>
          </w:divBdr>
        </w:div>
        <w:div w:id="98524305">
          <w:marLeft w:val="547"/>
          <w:marRight w:val="0"/>
          <w:marTop w:val="200"/>
          <w:marBottom w:val="0"/>
          <w:divBdr>
            <w:top w:val="none" w:sz="0" w:space="0" w:color="auto"/>
            <w:left w:val="none" w:sz="0" w:space="0" w:color="auto"/>
            <w:bottom w:val="none" w:sz="0" w:space="0" w:color="auto"/>
            <w:right w:val="none" w:sz="0" w:space="0" w:color="auto"/>
          </w:divBdr>
        </w:div>
        <w:div w:id="614102085">
          <w:marLeft w:val="1080"/>
          <w:marRight w:val="0"/>
          <w:marTop w:val="100"/>
          <w:marBottom w:val="0"/>
          <w:divBdr>
            <w:top w:val="none" w:sz="0" w:space="0" w:color="auto"/>
            <w:left w:val="none" w:sz="0" w:space="0" w:color="auto"/>
            <w:bottom w:val="none" w:sz="0" w:space="0" w:color="auto"/>
            <w:right w:val="none" w:sz="0" w:space="0" w:color="auto"/>
          </w:divBdr>
        </w:div>
        <w:div w:id="359354185">
          <w:marLeft w:val="1080"/>
          <w:marRight w:val="0"/>
          <w:marTop w:val="100"/>
          <w:marBottom w:val="0"/>
          <w:divBdr>
            <w:top w:val="none" w:sz="0" w:space="0" w:color="auto"/>
            <w:left w:val="none" w:sz="0" w:space="0" w:color="auto"/>
            <w:bottom w:val="none" w:sz="0" w:space="0" w:color="auto"/>
            <w:right w:val="none" w:sz="0" w:space="0" w:color="auto"/>
          </w:divBdr>
        </w:div>
        <w:div w:id="1394231648">
          <w:marLeft w:val="1080"/>
          <w:marRight w:val="0"/>
          <w:marTop w:val="100"/>
          <w:marBottom w:val="0"/>
          <w:divBdr>
            <w:top w:val="none" w:sz="0" w:space="0" w:color="auto"/>
            <w:left w:val="none" w:sz="0" w:space="0" w:color="auto"/>
            <w:bottom w:val="none" w:sz="0" w:space="0" w:color="auto"/>
            <w:right w:val="none" w:sz="0" w:space="0" w:color="auto"/>
          </w:divBdr>
        </w:div>
        <w:div w:id="851259071">
          <w:marLeft w:val="1080"/>
          <w:marRight w:val="0"/>
          <w:marTop w:val="100"/>
          <w:marBottom w:val="0"/>
          <w:divBdr>
            <w:top w:val="none" w:sz="0" w:space="0" w:color="auto"/>
            <w:left w:val="none" w:sz="0" w:space="0" w:color="auto"/>
            <w:bottom w:val="none" w:sz="0" w:space="0" w:color="auto"/>
            <w:right w:val="none" w:sz="0" w:space="0" w:color="auto"/>
          </w:divBdr>
        </w:div>
      </w:divsChild>
    </w:div>
    <w:div w:id="191327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ecd.org/dac/environment-development/aligning-development-co-operation-with-the-objectives-of-the-paris-agreemen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boell.de/sites/default/files/loss_and_damage_finance_paper_update_16_may_2017.pdf" TargetMode="External"/><Relationship Id="rId2" Type="http://schemas.openxmlformats.org/officeDocument/2006/relationships/hyperlink" Target="https://www.ohchr.org/Documents/Issues/Poverty/A_HRC_41_39.pdf" TargetMode="External"/><Relationship Id="rId1" Type="http://schemas.openxmlformats.org/officeDocument/2006/relationships/hyperlink" Target="https://www.ipcc.ch/sr15/" TargetMode="External"/><Relationship Id="rId5" Type="http://schemas.openxmlformats.org/officeDocument/2006/relationships/hyperlink" Target="http://www.aidwatchcanada.ca" TargetMode="External"/><Relationship Id="rId4" Type="http://schemas.openxmlformats.org/officeDocument/2006/relationships/hyperlink" Target="http://www.oecd.org/dac/financing-sustainable-development/development-finance-topics/climate-chan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1686</Words>
  <Characters>9275</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Tomlinson</dc:creator>
  <cp:keywords/>
  <dc:description/>
  <cp:lastModifiedBy>C G</cp:lastModifiedBy>
  <cp:revision>2</cp:revision>
  <dcterms:created xsi:type="dcterms:W3CDTF">2020-11-13T11:52:00Z</dcterms:created>
  <dcterms:modified xsi:type="dcterms:W3CDTF">2020-11-13T11:52:00Z</dcterms:modified>
</cp:coreProperties>
</file>