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E8A621" w14:textId="05EAD995" w:rsidR="00BD718C" w:rsidRPr="00975089" w:rsidRDefault="00BD718C" w:rsidP="00BD718C">
      <w:pPr>
        <w:jc w:val="center"/>
        <w:rPr>
          <w:b/>
        </w:rPr>
      </w:pPr>
      <w:r w:rsidRPr="00975089">
        <w:rPr>
          <w:b/>
        </w:rPr>
        <w:t xml:space="preserve">Briefing </w:t>
      </w:r>
      <w:r w:rsidR="004074CE" w:rsidRPr="00975089">
        <w:rPr>
          <w:b/>
        </w:rPr>
        <w:t xml:space="preserve">to </w:t>
      </w:r>
      <w:r w:rsidRPr="00975089">
        <w:rPr>
          <w:b/>
        </w:rPr>
        <w:t>World Bank European Executive Directors</w:t>
      </w:r>
    </w:p>
    <w:p w14:paraId="10E697FB" w14:textId="1DA9C9BA" w:rsidR="00BD718C" w:rsidRPr="00975089" w:rsidRDefault="00BD718C" w:rsidP="00BD718C">
      <w:pPr>
        <w:jc w:val="center"/>
        <w:rPr>
          <w:b/>
        </w:rPr>
      </w:pPr>
      <w:r w:rsidRPr="00975089">
        <w:rPr>
          <w:b/>
        </w:rPr>
        <w:t xml:space="preserve">World Bank </w:t>
      </w:r>
      <w:r w:rsidR="004074CE" w:rsidRPr="00975089">
        <w:rPr>
          <w:b/>
        </w:rPr>
        <w:t xml:space="preserve">Group’s </w:t>
      </w:r>
      <w:r w:rsidRPr="00975089">
        <w:rPr>
          <w:b/>
        </w:rPr>
        <w:t xml:space="preserve">response to the Covid-19 </w:t>
      </w:r>
      <w:r w:rsidR="004074CE" w:rsidRPr="00975089">
        <w:rPr>
          <w:b/>
        </w:rPr>
        <w:t>induced crises</w:t>
      </w:r>
    </w:p>
    <w:p w14:paraId="595A3A63" w14:textId="15AC9893" w:rsidR="00BD718C" w:rsidRPr="00975089" w:rsidRDefault="004074CE" w:rsidP="00BD718C">
      <w:pPr>
        <w:jc w:val="center"/>
        <w:rPr>
          <w:b/>
        </w:rPr>
      </w:pPr>
      <w:r w:rsidRPr="00975089">
        <w:rPr>
          <w:b/>
        </w:rPr>
        <w:t xml:space="preserve">Virtual meeting, </w:t>
      </w:r>
      <w:r w:rsidR="00BD718C" w:rsidRPr="00975089">
        <w:rPr>
          <w:b/>
        </w:rPr>
        <w:t>29</w:t>
      </w:r>
      <w:r w:rsidRPr="00975089">
        <w:rPr>
          <w:b/>
          <w:vertAlign w:val="superscript"/>
        </w:rPr>
        <w:t>th</w:t>
      </w:r>
      <w:r w:rsidRPr="00975089">
        <w:rPr>
          <w:b/>
        </w:rPr>
        <w:t xml:space="preserve"> </w:t>
      </w:r>
      <w:r w:rsidR="00BD718C" w:rsidRPr="00975089">
        <w:rPr>
          <w:b/>
        </w:rPr>
        <w:t>October 2020</w:t>
      </w:r>
    </w:p>
    <w:p w14:paraId="365909EC" w14:textId="6336B383" w:rsidR="00BD718C" w:rsidRDefault="00BD718C" w:rsidP="00BD718C">
      <w:pPr>
        <w:jc w:val="both"/>
      </w:pPr>
      <w:r>
        <w:t xml:space="preserve">This briefing </w:t>
      </w:r>
      <w:r w:rsidR="00705C5F">
        <w:t>builds upon the previous document shared in advance of the April 2020 meeting with European World Bank Executive Directors and serves</w:t>
      </w:r>
      <w:r>
        <w:t xml:space="preserve"> to </w:t>
      </w:r>
      <w:r w:rsidR="00705C5F">
        <w:t xml:space="preserve">deepen the </w:t>
      </w:r>
      <w:r w:rsidR="004074CE">
        <w:t xml:space="preserve">dialogue </w:t>
      </w:r>
      <w:r w:rsidR="00705C5F">
        <w:t>about the</w:t>
      </w:r>
      <w:r>
        <w:t xml:space="preserve"> World Bank’s response to the health, economic and social </w:t>
      </w:r>
      <w:r w:rsidR="004074CE">
        <w:t>crisis</w:t>
      </w:r>
      <w:r>
        <w:t xml:space="preserve"> </w:t>
      </w:r>
      <w:r w:rsidR="004074CE">
        <w:t xml:space="preserve">triggered by </w:t>
      </w:r>
      <w:r>
        <w:t>the Covid-19 pandemic. It is our hope that th</w:t>
      </w:r>
      <w:r w:rsidR="004074CE">
        <w:t xml:space="preserve">is briefing </w:t>
      </w:r>
      <w:r w:rsidR="0034005F">
        <w:t>offers</w:t>
      </w:r>
      <w:r>
        <w:t xml:space="preserve"> a point of departure for an open and critical discussion of the issues raised a</w:t>
      </w:r>
      <w:r w:rsidR="0034005F">
        <w:t>nd proposed actions</w:t>
      </w:r>
      <w:r>
        <w:t>.</w:t>
      </w:r>
      <w:r w:rsidR="00A7418D">
        <w:t xml:space="preserve"> Our points below are organised around </w:t>
      </w:r>
      <w:r w:rsidR="00914535">
        <w:t xml:space="preserve">five </w:t>
      </w:r>
      <w:r w:rsidR="00C17E58">
        <w:t>topics</w:t>
      </w:r>
      <w:r w:rsidR="00975089">
        <w:t xml:space="preserve">: focus on the IFC; structural reform agenda; fiscal space; healthcare; </w:t>
      </w:r>
      <w:r w:rsidR="001C2CB9">
        <w:t xml:space="preserve">and </w:t>
      </w:r>
      <w:r w:rsidR="00975089">
        <w:t>transparency and engagement</w:t>
      </w:r>
      <w:r w:rsidR="00C17E58">
        <w:t>.</w:t>
      </w:r>
    </w:p>
    <w:p w14:paraId="78B189DF" w14:textId="4E031BD5" w:rsidR="004074CE" w:rsidRPr="004074CE" w:rsidRDefault="004074CE" w:rsidP="00BD718C">
      <w:pPr>
        <w:jc w:val="both"/>
        <w:rPr>
          <w:b/>
        </w:rPr>
      </w:pPr>
      <w:r w:rsidRPr="004074CE">
        <w:rPr>
          <w:b/>
        </w:rPr>
        <w:t>Background</w:t>
      </w:r>
    </w:p>
    <w:p w14:paraId="26687B3B" w14:textId="62C22CFD" w:rsidR="00BD718C" w:rsidRDefault="00407E04" w:rsidP="00BD718C">
      <w:pPr>
        <w:jc w:val="both"/>
      </w:pPr>
      <w:r>
        <w:t>T</w:t>
      </w:r>
      <w:r w:rsidR="00BD718C">
        <w:t xml:space="preserve">he World Bank’s </w:t>
      </w:r>
      <w:r w:rsidR="00BD718C" w:rsidRPr="00BD718C">
        <w:rPr>
          <w:i/>
          <w:iCs/>
        </w:rPr>
        <w:t>Poverty and Shared Prosperity 2020</w:t>
      </w:r>
      <w:r w:rsidR="00BD718C">
        <w:t xml:space="preserve"> </w:t>
      </w:r>
      <w:hyperlink r:id="rId10" w:history="1">
        <w:r w:rsidR="00BD718C" w:rsidRPr="00BD718C">
          <w:rPr>
            <w:rStyle w:val="Hyperlink"/>
          </w:rPr>
          <w:t>report</w:t>
        </w:r>
      </w:hyperlink>
      <w:r w:rsidR="00BD718C">
        <w:t xml:space="preserve"> documents the devasting interplay between the pandemic and pre-existing challenges such as rising inequality, climate change and increasing social instability.</w:t>
      </w:r>
      <w:r w:rsidR="00F65611">
        <w:t xml:space="preserve"> Indeed, at the core of the concerns outlined </w:t>
      </w:r>
      <w:r w:rsidR="006E5C1B">
        <w:t xml:space="preserve">below </w:t>
      </w:r>
      <w:r w:rsidR="00705C5F">
        <w:t xml:space="preserve">and </w:t>
      </w:r>
      <w:r w:rsidR="006E5C1B">
        <w:t xml:space="preserve">in </w:t>
      </w:r>
      <w:r w:rsidR="00705C5F">
        <w:t xml:space="preserve">the </w:t>
      </w:r>
      <w:r w:rsidR="006E5C1B">
        <w:t xml:space="preserve">April </w:t>
      </w:r>
      <w:r w:rsidR="00705C5F">
        <w:t>briefing</w:t>
      </w:r>
      <w:r w:rsidR="00F65611">
        <w:t xml:space="preserve"> is the understanding, based on substantial evidence, that the pandemic has ‘merely’ brought more clearly to light and accelerated the consequences of the</w:t>
      </w:r>
      <w:r>
        <w:t xml:space="preserve"> pre-existing</w:t>
      </w:r>
      <w:r w:rsidR="00F65611">
        <w:t xml:space="preserve"> flaws in the </w:t>
      </w:r>
      <w:r>
        <w:t xml:space="preserve">predominant </w:t>
      </w:r>
      <w:r w:rsidR="00F65611">
        <w:t>development model</w:t>
      </w:r>
      <w:r w:rsidR="0034005F">
        <w:t xml:space="preserve"> </w:t>
      </w:r>
      <w:r w:rsidR="006E5C1B">
        <w:t xml:space="preserve">promoted </w:t>
      </w:r>
      <w:r w:rsidR="0034005F">
        <w:t>by the Bank</w:t>
      </w:r>
      <w:r w:rsidR="00705C5F">
        <w:t>.</w:t>
      </w:r>
      <w:r>
        <w:t xml:space="preserve"> </w:t>
      </w:r>
      <w:r w:rsidR="002A624B">
        <w:t xml:space="preserve">As UNDESA </w:t>
      </w:r>
      <w:hyperlink r:id="rId11" w:history="1">
        <w:r w:rsidR="002A624B" w:rsidRPr="002A624B">
          <w:rPr>
            <w:rStyle w:val="Hyperlink"/>
          </w:rPr>
          <w:t>noted</w:t>
        </w:r>
      </w:hyperlink>
      <w:r w:rsidR="002A624B">
        <w:t xml:space="preserve">, “even before the pandemic the world was off track to meet the SDGs”. </w:t>
      </w:r>
      <w:r w:rsidR="006E5C1B">
        <w:t xml:space="preserve">While </w:t>
      </w:r>
      <w:r w:rsidR="002A624B">
        <w:t xml:space="preserve">UNCTAD’s 2020 Trade and Development report </w:t>
      </w:r>
      <w:hyperlink r:id="rId12" w:history="1">
        <w:r w:rsidR="002A624B" w:rsidRPr="002A624B">
          <w:rPr>
            <w:rStyle w:val="Hyperlink"/>
          </w:rPr>
          <w:t>stresse</w:t>
        </w:r>
        <w:r w:rsidR="006E5C1B">
          <w:rPr>
            <w:rStyle w:val="Hyperlink"/>
          </w:rPr>
          <w:t>d</w:t>
        </w:r>
      </w:hyperlink>
      <w:r>
        <w:t xml:space="preserve"> that,</w:t>
      </w:r>
      <w:r w:rsidR="002A624B">
        <w:t xml:space="preserve"> “an inclusive recovery [must address] </w:t>
      </w:r>
      <w:r w:rsidR="002A624B" w:rsidRPr="002A624B">
        <w:t>a series of pre-existing conditions</w:t>
      </w:r>
      <w:r w:rsidR="002A624B">
        <w:t>…</w:t>
      </w:r>
      <w:r w:rsidR="002A624B" w:rsidRPr="002A624B">
        <w:t>including high and entrenched inequality, sluggish growth, weak investment, endemic wage repression in the developed world and precarious working conditions in the developing world.</w:t>
      </w:r>
      <w:r w:rsidR="002A624B">
        <w:t xml:space="preserve">” </w:t>
      </w:r>
    </w:p>
    <w:p w14:paraId="5DB5E0E9" w14:textId="77777777" w:rsidR="00E116AB" w:rsidRDefault="0091757C" w:rsidP="00E116AB">
      <w:pPr>
        <w:jc w:val="both"/>
        <w:rPr>
          <w:b/>
          <w:bCs/>
        </w:rPr>
      </w:pPr>
      <w:r>
        <w:rPr>
          <w:b/>
          <w:bCs/>
        </w:rPr>
        <w:t>Key concerns</w:t>
      </w:r>
      <w:r w:rsidR="00E116AB">
        <w:rPr>
          <w:b/>
          <w:bCs/>
        </w:rPr>
        <w:t>:</w:t>
      </w:r>
    </w:p>
    <w:p w14:paraId="55371799" w14:textId="4E44CAB0" w:rsidR="008D7963" w:rsidRPr="00596400" w:rsidRDefault="00E116AB" w:rsidP="00596400">
      <w:pPr>
        <w:pStyle w:val="ListParagraph"/>
        <w:numPr>
          <w:ilvl w:val="0"/>
          <w:numId w:val="2"/>
        </w:numPr>
        <w:ind w:left="0" w:firstLine="0"/>
        <w:jc w:val="both"/>
        <w:rPr>
          <w:b/>
          <w:bCs/>
        </w:rPr>
      </w:pPr>
      <w:r w:rsidRPr="00596400">
        <w:rPr>
          <w:b/>
          <w:bCs/>
        </w:rPr>
        <w:t>Focus on</w:t>
      </w:r>
      <w:r w:rsidR="00F159E6" w:rsidRPr="00596400">
        <w:rPr>
          <w:b/>
          <w:bCs/>
        </w:rPr>
        <w:t xml:space="preserve"> the</w:t>
      </w:r>
      <w:r w:rsidRPr="00596400">
        <w:rPr>
          <w:b/>
          <w:bCs/>
        </w:rPr>
        <w:t xml:space="preserve"> IFC: </w:t>
      </w:r>
      <w:r>
        <w:t>R</w:t>
      </w:r>
      <w:r w:rsidR="00407E04">
        <w:t>ecent reports and analys</w:t>
      </w:r>
      <w:r w:rsidR="00090671">
        <w:t>es</w:t>
      </w:r>
      <w:r w:rsidR="00407E04">
        <w:t xml:space="preserve"> of the</w:t>
      </w:r>
      <w:r w:rsidR="0034005F">
        <w:t xml:space="preserve"> </w:t>
      </w:r>
      <w:r w:rsidR="00407E04">
        <w:t xml:space="preserve">Bank’s response to the Covid-19 pandemic demonstrate that </w:t>
      </w:r>
      <w:r w:rsidR="008D7963">
        <w:t>Bank</w:t>
      </w:r>
      <w:r w:rsidR="006E5C1B">
        <w:t>’s</w:t>
      </w:r>
      <w:r w:rsidR="00407E04">
        <w:t xml:space="preserve"> initiatives, grounded on its </w:t>
      </w:r>
      <w:r w:rsidR="006E5C1B">
        <w:t>‘</w:t>
      </w:r>
      <w:r w:rsidR="00407E04">
        <w:t>Maximising Finance for Development</w:t>
      </w:r>
      <w:r w:rsidR="006E5C1B">
        <w:t>’</w:t>
      </w:r>
      <w:r w:rsidR="00407E04">
        <w:t xml:space="preserve"> </w:t>
      </w:r>
      <w:r w:rsidR="00CC287B">
        <w:t xml:space="preserve">(MFD) </w:t>
      </w:r>
      <w:r w:rsidR="00407E04">
        <w:t xml:space="preserve">approach, continue to contribute to the very dynamics exposed by the Covid-19 crisis. </w:t>
      </w:r>
      <w:r w:rsidR="00C8496A">
        <w:t xml:space="preserve">The recent </w:t>
      </w:r>
      <w:proofErr w:type="spellStart"/>
      <w:r w:rsidR="00C8496A">
        <w:t>Eurodad</w:t>
      </w:r>
      <w:proofErr w:type="spellEnd"/>
      <w:r w:rsidR="00C8496A">
        <w:t xml:space="preserve"> and SOAS </w:t>
      </w:r>
      <w:r w:rsidR="00975089">
        <w:t xml:space="preserve">University of London </w:t>
      </w:r>
      <w:hyperlink r:id="rId13" w:history="1">
        <w:r w:rsidR="00C8496A" w:rsidRPr="00090671">
          <w:rPr>
            <w:rStyle w:val="Hyperlink"/>
          </w:rPr>
          <w:t>report</w:t>
        </w:r>
      </w:hyperlink>
      <w:r w:rsidR="006E5C1B">
        <w:rPr>
          <w:rStyle w:val="Hyperlink"/>
        </w:rPr>
        <w:t>,</w:t>
      </w:r>
      <w:r w:rsidR="00C8496A">
        <w:t xml:space="preserve"> </w:t>
      </w:r>
      <w:r w:rsidR="00090671">
        <w:t>for example</w:t>
      </w:r>
      <w:r w:rsidR="00705C5F">
        <w:t>,</w:t>
      </w:r>
      <w:r w:rsidR="00090671">
        <w:t xml:space="preserve"> </w:t>
      </w:r>
      <w:r w:rsidR="00C8496A">
        <w:t>documented</w:t>
      </w:r>
      <w:r w:rsidR="00090671">
        <w:t xml:space="preserve"> that rather than support</w:t>
      </w:r>
      <w:r w:rsidR="00705C5F">
        <w:t>ing</w:t>
      </w:r>
      <w:r w:rsidR="00090671">
        <w:t xml:space="preserve"> public provision of essential health</w:t>
      </w:r>
      <w:r w:rsidR="00975089">
        <w:t>care</w:t>
      </w:r>
      <w:r w:rsidR="00090671">
        <w:t xml:space="preserve"> and social </w:t>
      </w:r>
      <w:r w:rsidR="006E5C1B">
        <w:t>protection</w:t>
      </w:r>
      <w:r w:rsidR="0034005F">
        <w:t>,</w:t>
      </w:r>
      <w:r w:rsidR="00090671">
        <w:t xml:space="preserve"> 60% of the Fast Track Covid-19 Facility resources were allocated to the IFC. The report notes that</w:t>
      </w:r>
      <w:r w:rsidR="00975089">
        <w:t>,</w:t>
      </w:r>
      <w:r w:rsidR="00090671">
        <w:t xml:space="preserve"> </w:t>
      </w:r>
      <w:r w:rsidR="00975089">
        <w:t xml:space="preserve">according to information publicly available as of mid-August, </w:t>
      </w:r>
      <w:r w:rsidR="00F8434D">
        <w:t xml:space="preserve">“by </w:t>
      </w:r>
      <w:r w:rsidR="00F8434D" w:rsidRPr="00F8434D">
        <w:t>late June 2020, 68 per cent (in value terms) of IFC Covid-19 projects targeted financial institutions</w:t>
      </w:r>
      <w:r w:rsidR="00F8434D">
        <w:t>” adding that, “</w:t>
      </w:r>
      <w:r w:rsidR="00F8434D" w:rsidRPr="00F8434D">
        <w:t>around 50 per cent of IFC supported companies are either majority-owned by multinational companies or are themselves international conglomerates.</w:t>
      </w:r>
      <w:r w:rsidR="00F8434D">
        <w:t xml:space="preserve">” </w:t>
      </w:r>
      <w:r w:rsidR="00862CE0">
        <w:t>While there is no doubt that the private sector is an essential economic actor</w:t>
      </w:r>
      <w:r w:rsidR="00705C5F">
        <w:t xml:space="preserve">, </w:t>
      </w:r>
      <w:r w:rsidR="006E5C1B">
        <w:t xml:space="preserve">and that companies are in need of support to navigate the impacts of the crisis, </w:t>
      </w:r>
      <w:r w:rsidR="00705C5F">
        <w:t xml:space="preserve">the question posed by </w:t>
      </w:r>
      <w:r w:rsidR="008D7963">
        <w:t>substantial evidence</w:t>
      </w:r>
      <w:r w:rsidR="00705C5F">
        <w:t xml:space="preserve"> concerns whether the Bank’s approach is well suited to </w:t>
      </w:r>
      <w:r w:rsidR="0091757C">
        <w:t xml:space="preserve">deliver for the countries, sector and companies that are suffering the impacts of the pandemic the most. And, even more, to </w:t>
      </w:r>
      <w:r w:rsidR="00705C5F">
        <w:t>support the jobs and economic transformation agenda to which the Bank is committed</w:t>
      </w:r>
      <w:r w:rsidR="0034005F">
        <w:t>. Evidence indicates that the Bank’s approach fails to</w:t>
      </w:r>
      <w:r w:rsidR="00705C5F">
        <w:t xml:space="preserve"> </w:t>
      </w:r>
      <w:r w:rsidR="0034005F">
        <w:t>assist</w:t>
      </w:r>
      <w:r w:rsidR="00705C5F">
        <w:t xml:space="preserve"> local SMEs and vulnerable populations in the vast informal sector. </w:t>
      </w:r>
    </w:p>
    <w:p w14:paraId="1796CA3C" w14:textId="4F302393" w:rsidR="008D7963" w:rsidRDefault="0003007B" w:rsidP="00BD718C">
      <w:pPr>
        <w:jc w:val="both"/>
      </w:pPr>
      <w:r>
        <w:t xml:space="preserve">The IEG’s 2019 synthesis </w:t>
      </w:r>
      <w:hyperlink r:id="rId14" w:history="1">
        <w:r w:rsidRPr="0003007B">
          <w:rPr>
            <w:rStyle w:val="Hyperlink"/>
          </w:rPr>
          <w:t>report</w:t>
        </w:r>
      </w:hyperlink>
      <w:r>
        <w:t xml:space="preserve"> on support to SMEs notes </w:t>
      </w:r>
      <w:r w:rsidR="0091757C">
        <w:t xml:space="preserve">that </w:t>
      </w:r>
      <w:r>
        <w:t>“</w:t>
      </w:r>
      <w:r w:rsidR="0091757C">
        <w:t>t</w:t>
      </w:r>
      <w:r w:rsidRPr="0003007B">
        <w:t>here remains a lack of evidence that lines of credit</w:t>
      </w:r>
      <w:r w:rsidR="00CD66FC">
        <w:t>…</w:t>
      </w:r>
      <w:r w:rsidRPr="0003007B">
        <w:t>is effective and beneficial. Similarly, evidence is limited on the benefits to SMEs of most value chain interventions</w:t>
      </w:r>
      <w:r>
        <w:t xml:space="preserve">.” </w:t>
      </w:r>
      <w:r w:rsidR="008D7963">
        <w:t xml:space="preserve">The </w:t>
      </w:r>
      <w:r w:rsidR="0091757C">
        <w:t xml:space="preserve">IEG’s </w:t>
      </w:r>
      <w:r w:rsidR="008D7963">
        <w:t xml:space="preserve">2019 </w:t>
      </w:r>
      <w:hyperlink r:id="rId15" w:history="1">
        <w:r w:rsidR="008D7963" w:rsidRPr="008D7963">
          <w:rPr>
            <w:rStyle w:val="Hyperlink"/>
          </w:rPr>
          <w:t>report</w:t>
        </w:r>
      </w:hyperlink>
      <w:r w:rsidR="008D7963">
        <w:t xml:space="preserve"> on creating markets </w:t>
      </w:r>
      <w:r w:rsidR="00CD66FC">
        <w:t>adds that</w:t>
      </w:r>
      <w:r w:rsidR="008D7963">
        <w:t>, “</w:t>
      </w:r>
      <w:r w:rsidR="0091757C">
        <w:t>e</w:t>
      </w:r>
      <w:r w:rsidR="008D7963" w:rsidRPr="008D7963">
        <w:t>vidence of the direct welfare implication of market creation efforts for the poor is lacking”</w:t>
      </w:r>
      <w:r w:rsidR="008D7963">
        <w:t xml:space="preserve">. Casting additional doubt on the </w:t>
      </w:r>
      <w:r w:rsidR="00E116AB">
        <w:t>reliance on the IFC,</w:t>
      </w:r>
      <w:r w:rsidR="008D7963">
        <w:t xml:space="preserve"> a 2019 </w:t>
      </w:r>
      <w:proofErr w:type="spellStart"/>
      <w:r w:rsidR="008D7963">
        <w:t>Center</w:t>
      </w:r>
      <w:proofErr w:type="spellEnd"/>
      <w:r w:rsidR="008D7963">
        <w:t xml:space="preserve"> for Global Development</w:t>
      </w:r>
      <w:r w:rsidR="00F77556">
        <w:t xml:space="preserve"> (CGD)</w:t>
      </w:r>
      <w:r w:rsidR="008D7963">
        <w:t xml:space="preserve"> </w:t>
      </w:r>
      <w:hyperlink r:id="rId16" w:history="1">
        <w:r w:rsidR="008D7963" w:rsidRPr="00B6737C">
          <w:rPr>
            <w:rStyle w:val="Hyperlink"/>
          </w:rPr>
          <w:t>analysis</w:t>
        </w:r>
      </w:hyperlink>
      <w:r w:rsidR="008D7963">
        <w:t xml:space="preserve"> on the implications of IFC’s new funding model stressed </w:t>
      </w:r>
      <w:r w:rsidR="00B6737C">
        <w:t>that, while in</w:t>
      </w:r>
      <w:r w:rsidR="008D7963" w:rsidRPr="008D7963">
        <w:t xml:space="preserve"> 2011</w:t>
      </w:r>
      <w:r w:rsidR="00B6737C">
        <w:t xml:space="preserve"> “</w:t>
      </w:r>
      <w:r w:rsidR="008D7963" w:rsidRPr="008D7963">
        <w:t xml:space="preserve">the IFC delivered </w:t>
      </w:r>
      <w:r w:rsidR="00560199">
        <w:t>US</w:t>
      </w:r>
      <w:r w:rsidR="008D7963" w:rsidRPr="008D7963">
        <w:t>$600 hundred million in profits to IDA</w:t>
      </w:r>
      <w:r w:rsidR="00B6737C">
        <w:t>..</w:t>
      </w:r>
      <w:r w:rsidR="008D7963" w:rsidRPr="008D7963">
        <w:t>.In 2018</w:t>
      </w:r>
      <w:r w:rsidR="00B6737C">
        <w:t>…</w:t>
      </w:r>
      <w:r w:rsidR="008D7963" w:rsidRPr="008D7963">
        <w:t xml:space="preserve">the IFC was a net recipient of IDA funding. In the three-year time span </w:t>
      </w:r>
      <w:r w:rsidR="00B6737C">
        <w:t>[IDA]…</w:t>
      </w:r>
      <w:r w:rsidR="008D7963" w:rsidRPr="008D7963">
        <w:t xml:space="preserve">will hand over </w:t>
      </w:r>
      <w:r w:rsidR="00560199">
        <w:t>US</w:t>
      </w:r>
      <w:r w:rsidR="008D7963" w:rsidRPr="008D7963">
        <w:t>$2 billion to IFC</w:t>
      </w:r>
      <w:r w:rsidR="00B6737C">
        <w:t xml:space="preserve">.” As the CDG noted, these are </w:t>
      </w:r>
      <w:r w:rsidR="00CD66FC">
        <w:t xml:space="preserve">essential concessional </w:t>
      </w:r>
      <w:r w:rsidR="00B6737C">
        <w:t>resources no longer available to states.</w:t>
      </w:r>
    </w:p>
    <w:p w14:paraId="5F86824A" w14:textId="47FB95B7" w:rsidR="00914535" w:rsidRDefault="00975089" w:rsidP="00BD718C">
      <w:pPr>
        <w:jc w:val="both"/>
      </w:pPr>
      <w:r>
        <w:t>As t</w:t>
      </w:r>
      <w:r>
        <w:t xml:space="preserve">he Global Unions </w:t>
      </w:r>
      <w:hyperlink r:id="rId17" w:history="1">
        <w:r w:rsidRPr="0095301F">
          <w:rPr>
            <w:rStyle w:val="Hyperlink"/>
          </w:rPr>
          <w:t>statement</w:t>
        </w:r>
      </w:hyperlink>
      <w:r>
        <w:t xml:space="preserve"> to the World Bank and IMF annual meetings stressed, we believe that international financial institutions need to </w:t>
      </w:r>
      <w:r w:rsidRPr="00C17E58">
        <w:t>increase</w:t>
      </w:r>
      <w:r>
        <w:t xml:space="preserve"> support</w:t>
      </w:r>
      <w:r w:rsidRPr="00C17E58">
        <w:t xml:space="preserve"> for quality job creation, the real economy</w:t>
      </w:r>
      <w:r>
        <w:t xml:space="preserve"> through “</w:t>
      </w:r>
      <w:r w:rsidRPr="0095301F">
        <w:t>stimulus and approaches with a proven record of</w:t>
      </w:r>
      <w:r>
        <w:t xml:space="preserve"> </w:t>
      </w:r>
      <w:r w:rsidRPr="0095301F">
        <w:t>fostering inclusive growth, including industrial policy</w:t>
      </w:r>
      <w:r>
        <w:t xml:space="preserve"> </w:t>
      </w:r>
      <w:r w:rsidRPr="0095301F">
        <w:t>and comprehensive</w:t>
      </w:r>
      <w:r>
        <w:t xml:space="preserve"> </w:t>
      </w:r>
      <w:r w:rsidRPr="0095301F">
        <w:t>collective bargaining.</w:t>
      </w:r>
      <w:r>
        <w:t>” These require that the World Bank radically alter its appr</w:t>
      </w:r>
      <w:r w:rsidR="00CD669A">
        <w:t>oach, including to labour rights</w:t>
      </w:r>
      <w:r>
        <w:t>,</w:t>
      </w:r>
      <w:r w:rsidR="0097058D">
        <w:t xml:space="preserve"> which the statement noted has at times to </w:t>
      </w:r>
      <w:r>
        <w:t>contravene</w:t>
      </w:r>
      <w:r w:rsidR="0097058D">
        <w:t>d</w:t>
      </w:r>
      <w:r>
        <w:t xml:space="preserve"> ILO conventions. On the other hand, w</w:t>
      </w:r>
      <w:r w:rsidR="00914535">
        <w:t>hile we welcome commitments made earlier this year with regard to transparency of IFC operations through financial intermediaries and the use of IDA funds to subsidise private sector companies, in the context of the Covid-19 pandemic, there is still significant information missing to provide a full picture of who benefits from the IFC support to the financial sector, including in IDA countries.</w:t>
      </w:r>
    </w:p>
    <w:p w14:paraId="13794E74" w14:textId="5DDBB2C2" w:rsidR="00F77556" w:rsidRDefault="00596400" w:rsidP="00596400">
      <w:pPr>
        <w:jc w:val="both"/>
      </w:pPr>
      <w:r>
        <w:rPr>
          <w:b/>
          <w:bCs/>
        </w:rPr>
        <w:t xml:space="preserve">II)     </w:t>
      </w:r>
      <w:r w:rsidR="00E116AB" w:rsidRPr="00596400">
        <w:rPr>
          <w:b/>
          <w:bCs/>
        </w:rPr>
        <w:t>Structural reform agenda:</w:t>
      </w:r>
      <w:r w:rsidR="00E116AB">
        <w:t xml:space="preserve"> </w:t>
      </w:r>
      <w:r w:rsidR="001C2CB9">
        <w:t>T</w:t>
      </w:r>
      <w:r w:rsidR="00983102">
        <w:t>he</w:t>
      </w:r>
      <w:r w:rsidR="00F77556">
        <w:t xml:space="preserve"> Bank’s use of the Covid-19 response to further </w:t>
      </w:r>
      <w:r w:rsidR="001C2CB9">
        <w:t xml:space="preserve">promote </w:t>
      </w:r>
      <w:r w:rsidR="00F77556">
        <w:t>its deregulation, privatisation and de-risking agenda</w:t>
      </w:r>
      <w:r w:rsidR="001C2CB9">
        <w:t xml:space="preserve"> is a cause for concern</w:t>
      </w:r>
      <w:r w:rsidR="00F77556">
        <w:t xml:space="preserve">. The October </w:t>
      </w:r>
      <w:hyperlink r:id="rId18" w:history="1">
        <w:r w:rsidR="00F77556" w:rsidRPr="00A765FF">
          <w:rPr>
            <w:rStyle w:val="Hyperlink"/>
          </w:rPr>
          <w:t>analysis</w:t>
        </w:r>
      </w:hyperlink>
      <w:r w:rsidR="00F77556">
        <w:t xml:space="preserve"> of the Bank’s disbursements by the CDG for, example, questioned the Bank’s</w:t>
      </w:r>
      <w:r w:rsidR="00F77556" w:rsidRPr="005C4453">
        <w:t xml:space="preserve"> </w:t>
      </w:r>
      <w:r w:rsidR="00F77556">
        <w:t>“</w:t>
      </w:r>
      <w:r w:rsidR="00F77556" w:rsidRPr="005C4453">
        <w:t>eagerness to deploy emergency financing quickly</w:t>
      </w:r>
      <w:r w:rsidR="00F77556">
        <w:t>” proposing that the relatively limited use of D</w:t>
      </w:r>
      <w:r w:rsidR="00A7418D">
        <w:t xml:space="preserve">evelopment </w:t>
      </w:r>
      <w:r w:rsidR="00F77556">
        <w:t>P</w:t>
      </w:r>
      <w:r w:rsidR="00A7418D">
        <w:t xml:space="preserve">olicy </w:t>
      </w:r>
      <w:r w:rsidR="00F77556">
        <w:t>L</w:t>
      </w:r>
      <w:r w:rsidR="00A7418D">
        <w:t>oans</w:t>
      </w:r>
      <w:r w:rsidR="00F77556">
        <w:t xml:space="preserve"> </w:t>
      </w:r>
      <w:r w:rsidR="00A7418D">
        <w:t xml:space="preserve">(DPL) </w:t>
      </w:r>
      <w:r w:rsidR="00F77556">
        <w:t>signals</w:t>
      </w:r>
      <w:r w:rsidR="00F77556" w:rsidRPr="005C4453">
        <w:t xml:space="preserve"> </w:t>
      </w:r>
      <w:r w:rsidR="00F77556">
        <w:t>“</w:t>
      </w:r>
      <w:r w:rsidR="00F77556" w:rsidRPr="005C4453">
        <w:t>instead a desire to use COVID relief as leverage to push a longer-term reform agenda.</w:t>
      </w:r>
      <w:r w:rsidR="00F77556">
        <w:t xml:space="preserve">” </w:t>
      </w:r>
    </w:p>
    <w:p w14:paraId="4D71427E" w14:textId="2105A371" w:rsidR="00705C5F" w:rsidRDefault="00F77556" w:rsidP="00F77556">
      <w:pPr>
        <w:jc w:val="both"/>
      </w:pPr>
      <w:r>
        <w:t>This approach is unacceptable</w:t>
      </w:r>
      <w:r w:rsidR="00CD66FC">
        <w:t>. I</w:t>
      </w:r>
      <w:r w:rsidR="00C622B8">
        <w:t>t refuses to</w:t>
      </w:r>
      <w:r w:rsidR="00CD66FC">
        <w:t xml:space="preserve"> </w:t>
      </w:r>
      <w:r w:rsidR="00C622B8">
        <w:t>address</w:t>
      </w:r>
      <w:r w:rsidR="00CD66FC">
        <w:t xml:space="preserve"> th</w:t>
      </w:r>
      <w:r w:rsidR="00C622B8">
        <w:t>e</w:t>
      </w:r>
      <w:r w:rsidR="00CD66FC">
        <w:t xml:space="preserve"> failure of the privatisation and deregulation model</w:t>
      </w:r>
      <w:r w:rsidR="00C622B8">
        <w:t xml:space="preserve"> and </w:t>
      </w:r>
      <w:r>
        <w:t xml:space="preserve">implies a slow and conditional response to an immense health, economic and social crisis. We strongly believe that </w:t>
      </w:r>
      <w:bookmarkStart w:id="0" w:name="_Hlk54296284"/>
      <w:r>
        <w:t xml:space="preserve">the Bank should make use of </w:t>
      </w:r>
      <w:r w:rsidR="00983102">
        <w:t>“</w:t>
      </w:r>
      <w:r>
        <w:t>prior</w:t>
      </w:r>
      <w:r w:rsidR="00983102">
        <w:t xml:space="preserve"> </w:t>
      </w:r>
      <w:r>
        <w:t>conditions</w:t>
      </w:r>
      <w:r w:rsidR="00983102">
        <w:t>”</w:t>
      </w:r>
      <w:r w:rsidR="00A7418D">
        <w:t xml:space="preserve"> within its DPL only in highly proscribed circumstances</w:t>
      </w:r>
      <w:r w:rsidR="001C2CB9">
        <w:t>,</w:t>
      </w:r>
      <w:r w:rsidR="00A7418D">
        <w:t xml:space="preserve"> such as those required to guarantee Paris Accord alignment, to ensure due diligence in the use of the funds provided and where it can be demonstrated to increase the borrower’s capacity to meet their human rights obligations</w:t>
      </w:r>
      <w:bookmarkEnd w:id="0"/>
      <w:r w:rsidR="00A7418D">
        <w:t>.</w:t>
      </w:r>
      <w:r>
        <w:t xml:space="preserve"> </w:t>
      </w:r>
      <w:r w:rsidR="004A6531">
        <w:t xml:space="preserve">The pandemic requires that the Bank finally live up to its rhetoric on country ownership by allowing countries to develop their own response and recovery strategies without </w:t>
      </w:r>
      <w:r w:rsidR="00A7418D">
        <w:t xml:space="preserve">economic </w:t>
      </w:r>
      <w:r w:rsidR="004A6531">
        <w:t>policy interference.</w:t>
      </w:r>
    </w:p>
    <w:p w14:paraId="498B92A1" w14:textId="1E9D7B7D" w:rsidR="00BF11BD" w:rsidRPr="00BF11BD" w:rsidRDefault="00BF11BD" w:rsidP="00F77556">
      <w:pPr>
        <w:jc w:val="both"/>
      </w:pPr>
      <w:r>
        <w:t xml:space="preserve">The perils of the race to attract private investment are not limited to the developing world. </w:t>
      </w:r>
      <w:r w:rsidR="00E116AB">
        <w:t>E</w:t>
      </w:r>
      <w:r w:rsidR="00CC287B">
        <w:t xml:space="preserve">xamples of this in Europe include </w:t>
      </w:r>
      <w:r>
        <w:t xml:space="preserve">the acrimony created by Irish Tax policy, </w:t>
      </w:r>
      <w:r w:rsidR="00E116AB">
        <w:t xml:space="preserve">opposition to the </w:t>
      </w:r>
      <w:r>
        <w:t>Portuguese use of golden visas or indeed the central issue of contention in Brexit negotiations</w:t>
      </w:r>
      <w:r w:rsidR="00E116AB">
        <w:t>:</w:t>
      </w:r>
      <w:r w:rsidR="00CC287B">
        <w:t xml:space="preserve"> </w:t>
      </w:r>
      <w:r>
        <w:t>the level playing field. Adding to this, the well-documented European experiences with P</w:t>
      </w:r>
      <w:r w:rsidR="00CC287B">
        <w:t>ublic-Private Partnerships</w:t>
      </w:r>
      <w:r>
        <w:t xml:space="preserve"> (de-risking </w:t>
      </w:r>
      <w:r>
        <w:rPr>
          <w:i/>
          <w:iCs/>
        </w:rPr>
        <w:t>par excellence</w:t>
      </w:r>
      <w:r>
        <w:t>) and persistent debates about illicit financial flows should raise serious doubts about the premise that the private sector, and particularly MNC</w:t>
      </w:r>
      <w:r w:rsidR="00C622B8">
        <w:t>s</w:t>
      </w:r>
      <w:r>
        <w:t xml:space="preserve"> and large</w:t>
      </w:r>
      <w:r w:rsidR="0034005F">
        <w:t xml:space="preserve"> publicly</w:t>
      </w:r>
      <w:r>
        <w:t xml:space="preserve"> traded companies, can play a developmental role without significant regulation and oversight</w:t>
      </w:r>
      <w:r w:rsidR="006312BE">
        <w:t>.</w:t>
      </w:r>
    </w:p>
    <w:p w14:paraId="4F856FD0" w14:textId="3DECF930" w:rsidR="00CC2CCC" w:rsidRDefault="00596400" w:rsidP="00596400">
      <w:pPr>
        <w:pStyle w:val="ListParagraph"/>
        <w:numPr>
          <w:ilvl w:val="0"/>
          <w:numId w:val="3"/>
        </w:numPr>
        <w:ind w:left="0" w:firstLine="0"/>
        <w:jc w:val="both"/>
      </w:pPr>
      <w:r>
        <w:rPr>
          <w:b/>
          <w:bCs/>
        </w:rPr>
        <w:t xml:space="preserve"> </w:t>
      </w:r>
      <w:r w:rsidR="00B46724" w:rsidRPr="00596400">
        <w:rPr>
          <w:b/>
          <w:bCs/>
        </w:rPr>
        <w:t>Fiscal space:</w:t>
      </w:r>
      <w:r w:rsidR="006312BE" w:rsidRPr="00596400">
        <w:rPr>
          <w:b/>
          <w:bCs/>
        </w:rPr>
        <w:t xml:space="preserve"> </w:t>
      </w:r>
      <w:r w:rsidR="006312BE">
        <w:t>T</w:t>
      </w:r>
      <w:r w:rsidR="00CC2CCC">
        <w:t xml:space="preserve">he pandemic </w:t>
      </w:r>
      <w:r w:rsidR="009D5762">
        <w:t xml:space="preserve">has exacerbated debt sustainability problems of many </w:t>
      </w:r>
      <w:r w:rsidR="00B46724">
        <w:t>low- and middle-income</w:t>
      </w:r>
      <w:r w:rsidR="009D5762">
        <w:t xml:space="preserve"> developing countries</w:t>
      </w:r>
      <w:r w:rsidR="006312BE">
        <w:t xml:space="preserve"> and </w:t>
      </w:r>
      <w:r w:rsidR="00CC2CCC">
        <w:t>ha</w:t>
      </w:r>
      <w:r w:rsidR="00BF11BD">
        <w:t>s further expose</w:t>
      </w:r>
      <w:r w:rsidR="0034005F">
        <w:t>d the</w:t>
      </w:r>
      <w:r w:rsidR="00CC2CCC">
        <w:t xml:space="preserve"> central flaw in the MFD paradigm. As </w:t>
      </w:r>
      <w:hyperlink r:id="rId19" w:history="1">
        <w:r w:rsidR="00CC2CCC" w:rsidRPr="00CC2CCC">
          <w:rPr>
            <w:rStyle w:val="Hyperlink"/>
          </w:rPr>
          <w:t>emphasised</w:t>
        </w:r>
      </w:hyperlink>
      <w:r w:rsidR="00CC2CCC">
        <w:t xml:space="preserve"> by professor Daniela Gabor</w:t>
      </w:r>
      <w:r w:rsidR="00B46724">
        <w:t>,</w:t>
      </w:r>
      <w:r w:rsidR="0034005F">
        <w:t xml:space="preserve"> in light of the unwillingness of the private sector to participate in the D</w:t>
      </w:r>
      <w:r w:rsidR="00C622B8">
        <w:t>ebt Suspension Service Initiative (DSSI)</w:t>
      </w:r>
      <w:r w:rsidR="00CC287B">
        <w:t>,</w:t>
      </w:r>
      <w:r w:rsidR="0034005F">
        <w:t xml:space="preserve"> </w:t>
      </w:r>
      <w:r w:rsidR="00CC2CCC">
        <w:t>“</w:t>
      </w:r>
      <w:r w:rsidR="0034005F" w:rsidRPr="0034005F">
        <w:t>Poor countries are forced to prioritize social pain at the height of a pandemic for the uncertain promise of development-related inflows, on commercial terms and into commodified public services, at some point in the future.</w:t>
      </w:r>
      <w:r w:rsidR="0034005F">
        <w:t>”</w:t>
      </w:r>
    </w:p>
    <w:p w14:paraId="6E2C99D7" w14:textId="6E1D7E20" w:rsidR="009D5762" w:rsidRPr="00725E23" w:rsidRDefault="00B46724" w:rsidP="009D5762">
      <w:pPr>
        <w:jc w:val="both"/>
        <w:rPr>
          <w:rFonts w:cstheme="minorHAnsi"/>
        </w:rPr>
      </w:pPr>
      <w:r>
        <w:rPr>
          <w:rFonts w:cstheme="minorHAnsi"/>
          <w:color w:val="222222"/>
        </w:rPr>
        <w:t xml:space="preserve">While the </w:t>
      </w:r>
      <w:r w:rsidR="00725E23" w:rsidRPr="00725E23">
        <w:rPr>
          <w:rFonts w:cstheme="minorHAnsi"/>
          <w:color w:val="222222"/>
        </w:rPr>
        <w:t>World Bank has emphasized the need to provide net positive financial flows to member count</w:t>
      </w:r>
      <w:r>
        <w:rPr>
          <w:rFonts w:cstheme="minorHAnsi"/>
          <w:color w:val="222222"/>
        </w:rPr>
        <w:t>ries,</w:t>
      </w:r>
      <w:r w:rsidR="00725E23" w:rsidRPr="00725E23">
        <w:rPr>
          <w:rFonts w:cstheme="minorHAnsi"/>
          <w:color w:val="222222"/>
        </w:rPr>
        <w:t xml:space="preserve"> a recent analysis produced by </w:t>
      </w:r>
      <w:hyperlink r:id="rId20" w:tgtFrame="_blank" w:history="1">
        <w:r w:rsidR="00725E23" w:rsidRPr="00725E23">
          <w:rPr>
            <w:rStyle w:val="Hyperlink"/>
            <w:rFonts w:cstheme="minorHAnsi"/>
            <w:color w:val="1155CC"/>
          </w:rPr>
          <w:t>CGD</w:t>
        </w:r>
      </w:hyperlink>
      <w:r w:rsidR="00725E23" w:rsidRPr="00725E23">
        <w:rPr>
          <w:rFonts w:cstheme="minorHAnsi"/>
          <w:color w:val="222222"/>
        </w:rPr>
        <w:t xml:space="preserve"> shows tha</w:t>
      </w:r>
      <w:r>
        <w:rPr>
          <w:rFonts w:cstheme="minorHAnsi"/>
          <w:color w:val="222222"/>
        </w:rPr>
        <w:t>t action to date is this regard is insufficient</w:t>
      </w:r>
      <w:r w:rsidR="00725E23" w:rsidRPr="00725E23">
        <w:rPr>
          <w:rFonts w:cstheme="minorHAnsi"/>
          <w:color w:val="222222"/>
        </w:rPr>
        <w:t xml:space="preserve">. While approval of commitments by the IDA and IBRD are on track to meet the </w:t>
      </w:r>
      <w:r w:rsidR="00560199">
        <w:rPr>
          <w:rFonts w:cstheme="minorHAnsi"/>
          <w:color w:val="222222"/>
        </w:rPr>
        <w:t>US</w:t>
      </w:r>
      <w:r w:rsidR="00725E23" w:rsidRPr="00725E23">
        <w:rPr>
          <w:rFonts w:cstheme="minorHAnsi"/>
          <w:color w:val="222222"/>
        </w:rPr>
        <w:t>$104 billion commitments</w:t>
      </w:r>
      <w:r>
        <w:rPr>
          <w:rFonts w:cstheme="minorHAnsi"/>
          <w:color w:val="222222"/>
        </w:rPr>
        <w:t xml:space="preserve"> target</w:t>
      </w:r>
      <w:r w:rsidR="00725E23" w:rsidRPr="00725E23">
        <w:rPr>
          <w:rFonts w:cstheme="minorHAnsi"/>
          <w:color w:val="222222"/>
        </w:rPr>
        <w:t xml:space="preserve"> by June 2021, actual loan disbursements will fall short of the goal by </w:t>
      </w:r>
      <w:r w:rsidR="00560199">
        <w:rPr>
          <w:rFonts w:cstheme="minorHAnsi"/>
          <w:color w:val="222222"/>
        </w:rPr>
        <w:t>US</w:t>
      </w:r>
      <w:r w:rsidR="00725E23" w:rsidRPr="00725E23">
        <w:rPr>
          <w:rFonts w:cstheme="minorHAnsi"/>
          <w:color w:val="222222"/>
        </w:rPr>
        <w:t xml:space="preserve">$25 billion. In many cases, individual countries are experiencing either marginal net positive flows, clearly insufficient to tackle the pandemic, or net negative flows. This situation cannot continue. The World Bank should call on its shareholders to substantially bolster the financing capacity of the institutions, </w:t>
      </w:r>
      <w:r w:rsidR="00CC287B">
        <w:rPr>
          <w:rFonts w:cstheme="minorHAnsi"/>
          <w:color w:val="222222"/>
        </w:rPr>
        <w:t xml:space="preserve">particularly </w:t>
      </w:r>
      <w:r w:rsidR="00725E23" w:rsidRPr="00725E23">
        <w:rPr>
          <w:rFonts w:cstheme="minorHAnsi"/>
          <w:color w:val="222222"/>
        </w:rPr>
        <w:t>IDA</w:t>
      </w:r>
      <w:r w:rsidR="00CC287B">
        <w:rPr>
          <w:rFonts w:cstheme="minorHAnsi"/>
          <w:color w:val="222222"/>
        </w:rPr>
        <w:t xml:space="preserve"> – although it is important </w:t>
      </w:r>
      <w:r w:rsidR="009D5762">
        <w:rPr>
          <w:rFonts w:cstheme="minorHAnsi"/>
          <w:color w:val="222222"/>
        </w:rPr>
        <w:t xml:space="preserve">that the Bank </w:t>
      </w:r>
      <w:r w:rsidR="00CC287B" w:rsidRPr="00CC287B">
        <w:rPr>
          <w:rFonts w:cstheme="minorHAnsi"/>
          <w:color w:val="222222"/>
        </w:rPr>
        <w:t>avoid</w:t>
      </w:r>
      <w:r w:rsidR="009D5762">
        <w:rPr>
          <w:rFonts w:cstheme="minorHAnsi"/>
          <w:color w:val="222222"/>
        </w:rPr>
        <w:t>s</w:t>
      </w:r>
      <w:r w:rsidR="00CC287B" w:rsidRPr="00CC287B">
        <w:rPr>
          <w:rFonts w:cstheme="minorHAnsi"/>
          <w:color w:val="222222"/>
        </w:rPr>
        <w:t xml:space="preserve"> starting a fundraising race, competing for ODA resources that can be used elsewhere</w:t>
      </w:r>
      <w:r w:rsidR="00725E23" w:rsidRPr="00725E23">
        <w:rPr>
          <w:rFonts w:cstheme="minorHAnsi"/>
          <w:color w:val="222222"/>
        </w:rPr>
        <w:t xml:space="preserve">. Furthermore, the World Bank needs to be more transparent in its lending operations. The institution </w:t>
      </w:r>
      <w:proofErr w:type="gramStart"/>
      <w:r w:rsidR="00725E23" w:rsidRPr="00725E23">
        <w:rPr>
          <w:rFonts w:cstheme="minorHAnsi"/>
          <w:color w:val="222222"/>
        </w:rPr>
        <w:t>has to</w:t>
      </w:r>
      <w:proofErr w:type="gramEnd"/>
      <w:r w:rsidR="00725E23" w:rsidRPr="00725E23">
        <w:rPr>
          <w:rFonts w:cstheme="minorHAnsi"/>
          <w:color w:val="222222"/>
        </w:rPr>
        <w:t xml:space="preserve"> be accountable to the public through the provision of regular, clear and accessible update of its financial operations on a country-by-country basis.</w:t>
      </w:r>
      <w:r w:rsidR="009D5762">
        <w:rPr>
          <w:rFonts w:cstheme="minorHAnsi"/>
          <w:color w:val="222222"/>
        </w:rPr>
        <w:t xml:space="preserve"> In addition, g</w:t>
      </w:r>
      <w:r w:rsidR="009D5762" w:rsidRPr="00725E23">
        <w:rPr>
          <w:rFonts w:cstheme="minorHAnsi"/>
        </w:rPr>
        <w:t>iven the dire conditions of middle-income countries, which remain ineligible for the already inadequate DSSI, the Bank must urgently develop a mechanism through which these countries can be provided grants, rather than loans that exacerbate their debt profile as outlined below.</w:t>
      </w:r>
    </w:p>
    <w:p w14:paraId="72A28E1F" w14:textId="04D1AF2C" w:rsidR="00725E23" w:rsidRDefault="00F159E6" w:rsidP="00725E23">
      <w:pPr>
        <w:shd w:val="clear" w:color="auto" w:fill="FFFFFF"/>
        <w:jc w:val="both"/>
        <w:rPr>
          <w:rFonts w:cstheme="minorHAnsi"/>
          <w:color w:val="222222"/>
        </w:rPr>
      </w:pPr>
      <w:r>
        <w:rPr>
          <w:rFonts w:cstheme="minorHAnsi"/>
          <w:color w:val="222222"/>
        </w:rPr>
        <w:t>We maintain that the</w:t>
      </w:r>
      <w:r w:rsidR="00725E23" w:rsidRPr="00725E23">
        <w:rPr>
          <w:rFonts w:cstheme="minorHAnsi"/>
          <w:color w:val="222222"/>
        </w:rPr>
        <w:t xml:space="preserve"> World Bank </w:t>
      </w:r>
      <w:r>
        <w:rPr>
          <w:rFonts w:cstheme="minorHAnsi"/>
          <w:color w:val="222222"/>
        </w:rPr>
        <w:t xml:space="preserve">must participate </w:t>
      </w:r>
      <w:r w:rsidR="00725E23" w:rsidRPr="00725E23">
        <w:rPr>
          <w:rFonts w:cstheme="minorHAnsi"/>
          <w:color w:val="222222"/>
        </w:rPr>
        <w:t>in the G20 DSSI</w:t>
      </w:r>
      <w:r>
        <w:rPr>
          <w:rFonts w:cstheme="minorHAnsi"/>
          <w:color w:val="222222"/>
        </w:rPr>
        <w:t>, as this is</w:t>
      </w:r>
      <w:r w:rsidR="00725E23" w:rsidRPr="00725E23">
        <w:rPr>
          <w:rFonts w:cstheme="minorHAnsi"/>
          <w:color w:val="222222"/>
        </w:rPr>
        <w:t xml:space="preserve"> the most direct mechanism to free-up resources to tackle the pandemic. </w:t>
      </w:r>
      <w:r>
        <w:rPr>
          <w:rFonts w:cstheme="minorHAnsi"/>
          <w:color w:val="222222"/>
        </w:rPr>
        <w:t xml:space="preserve">While the </w:t>
      </w:r>
      <w:r w:rsidR="00725E23" w:rsidRPr="00725E23">
        <w:rPr>
          <w:rFonts w:cstheme="minorHAnsi"/>
          <w:color w:val="222222"/>
        </w:rPr>
        <w:t>World Bank has refused to participate</w:t>
      </w:r>
      <w:r>
        <w:rPr>
          <w:rFonts w:cstheme="minorHAnsi"/>
          <w:color w:val="222222"/>
        </w:rPr>
        <w:t xml:space="preserve"> for fear of its</w:t>
      </w:r>
      <w:r w:rsidR="00725E23" w:rsidRPr="00725E23">
        <w:rPr>
          <w:rFonts w:cstheme="minorHAnsi"/>
          <w:color w:val="222222"/>
        </w:rPr>
        <w:t xml:space="preserve"> credit ratings and preferred creditor status</w:t>
      </w:r>
      <w:r>
        <w:rPr>
          <w:rFonts w:cstheme="minorHAnsi"/>
          <w:color w:val="222222"/>
        </w:rPr>
        <w:t>,</w:t>
      </w:r>
      <w:r w:rsidR="00725E23" w:rsidRPr="00725E23">
        <w:rPr>
          <w:rFonts w:cstheme="minorHAnsi"/>
          <w:color w:val="222222"/>
        </w:rPr>
        <w:t xml:space="preserve"> t</w:t>
      </w:r>
      <w:r>
        <w:rPr>
          <w:rFonts w:cstheme="minorHAnsi"/>
          <w:color w:val="222222"/>
        </w:rPr>
        <w:t>he situation demands a bold response</w:t>
      </w:r>
      <w:r w:rsidR="00725E23" w:rsidRPr="00725E23">
        <w:rPr>
          <w:rFonts w:cstheme="minorHAnsi"/>
          <w:color w:val="222222"/>
        </w:rPr>
        <w:t xml:space="preserve">. A briefing by </w:t>
      </w:r>
      <w:hyperlink r:id="rId21" w:tgtFrame="_blank" w:history="1">
        <w:r w:rsidR="00725E23" w:rsidRPr="00725E23">
          <w:rPr>
            <w:rStyle w:val="Hyperlink"/>
            <w:rFonts w:cstheme="minorHAnsi"/>
            <w:color w:val="1155CC"/>
          </w:rPr>
          <w:t>Jubilee Debt Campaign UK</w:t>
        </w:r>
      </w:hyperlink>
      <w:r w:rsidR="00725E23" w:rsidRPr="00725E23">
        <w:rPr>
          <w:rFonts w:cstheme="minorHAnsi"/>
          <w:color w:val="222222"/>
        </w:rPr>
        <w:t xml:space="preserve"> shows concrete mechanisms through which the World Bank could fund its participation in the debt suspension. Working in coordination with the IMF, profits from IMF gold sales and use proceeds from an IMF issuance of Special Drawing </w:t>
      </w:r>
      <w:r w:rsidR="00725E23" w:rsidRPr="00725E23">
        <w:rPr>
          <w:rFonts w:cstheme="minorHAnsi"/>
          <w:color w:val="222222"/>
        </w:rPr>
        <w:lastRenderedPageBreak/>
        <w:t xml:space="preserve">Rights would be enough to cancel all multilateral debt payments between October 2020 and December 2024. This would save </w:t>
      </w:r>
      <w:r w:rsidR="00560199">
        <w:rPr>
          <w:rFonts w:cstheme="minorHAnsi"/>
          <w:color w:val="222222"/>
        </w:rPr>
        <w:t>US</w:t>
      </w:r>
      <w:r w:rsidR="00725E23" w:rsidRPr="00725E23">
        <w:rPr>
          <w:rFonts w:cstheme="minorHAnsi"/>
          <w:color w:val="222222"/>
        </w:rPr>
        <w:t>$70 billion for the poorest countries in the world.</w:t>
      </w:r>
    </w:p>
    <w:p w14:paraId="3D9E738E" w14:textId="7B39EC9E" w:rsidR="00A7418D" w:rsidRPr="00596400" w:rsidRDefault="00F159E6" w:rsidP="00596400">
      <w:pPr>
        <w:pStyle w:val="ListParagraph"/>
        <w:numPr>
          <w:ilvl w:val="0"/>
          <w:numId w:val="3"/>
        </w:numPr>
        <w:shd w:val="clear" w:color="auto" w:fill="FFFFFF"/>
        <w:ind w:left="0" w:firstLine="0"/>
        <w:jc w:val="both"/>
        <w:rPr>
          <w:rFonts w:cstheme="minorHAnsi"/>
          <w:color w:val="222222"/>
        </w:rPr>
      </w:pPr>
      <w:r w:rsidRPr="00596400">
        <w:rPr>
          <w:rFonts w:cstheme="minorHAnsi"/>
          <w:b/>
          <w:bCs/>
          <w:color w:val="222222"/>
        </w:rPr>
        <w:t>Health</w:t>
      </w:r>
      <w:r w:rsidR="00975089">
        <w:rPr>
          <w:rFonts w:cstheme="minorHAnsi"/>
          <w:b/>
          <w:bCs/>
          <w:color w:val="222222"/>
        </w:rPr>
        <w:t>care</w:t>
      </w:r>
      <w:r w:rsidRPr="00596400">
        <w:rPr>
          <w:rFonts w:cstheme="minorHAnsi"/>
          <w:b/>
          <w:bCs/>
          <w:color w:val="222222"/>
        </w:rPr>
        <w:t>:</w:t>
      </w:r>
      <w:r w:rsidRPr="00596400">
        <w:rPr>
          <w:rFonts w:cstheme="minorHAnsi"/>
          <w:color w:val="222222"/>
        </w:rPr>
        <w:t xml:space="preserve"> D</w:t>
      </w:r>
      <w:r w:rsidR="009D5762" w:rsidRPr="00596400">
        <w:rPr>
          <w:rFonts w:cstheme="minorHAnsi"/>
          <w:color w:val="222222"/>
        </w:rPr>
        <w:t>espite</w:t>
      </w:r>
      <w:r w:rsidRPr="00596400">
        <w:rPr>
          <w:rFonts w:cstheme="minorHAnsi"/>
          <w:color w:val="222222"/>
        </w:rPr>
        <w:t xml:space="preserve"> the</w:t>
      </w:r>
      <w:r w:rsidR="009D5762" w:rsidRPr="00596400">
        <w:rPr>
          <w:rFonts w:cstheme="minorHAnsi"/>
          <w:color w:val="222222"/>
        </w:rPr>
        <w:t xml:space="preserve"> World Bank’s efforts to support emergency health interventions, and last week announcement of </w:t>
      </w:r>
      <w:r w:rsidR="00560199">
        <w:rPr>
          <w:rFonts w:cstheme="minorHAnsi"/>
          <w:color w:val="222222"/>
        </w:rPr>
        <w:t>US</w:t>
      </w:r>
      <w:r w:rsidR="009D5762" w:rsidRPr="00596400">
        <w:rPr>
          <w:rFonts w:cstheme="minorHAnsi"/>
          <w:color w:val="222222"/>
        </w:rPr>
        <w:t xml:space="preserve">$12 billion “to finance the purchase and distribution of Covid-19 vaccines, tests, and treatments”, we are </w:t>
      </w:r>
      <w:r w:rsidRPr="00596400">
        <w:rPr>
          <w:rFonts w:cstheme="minorHAnsi"/>
          <w:color w:val="222222"/>
        </w:rPr>
        <w:t>troubled</w:t>
      </w:r>
      <w:r w:rsidR="009D5762" w:rsidRPr="00596400">
        <w:rPr>
          <w:rFonts w:cstheme="minorHAnsi"/>
          <w:color w:val="222222"/>
        </w:rPr>
        <w:t xml:space="preserve"> </w:t>
      </w:r>
      <w:r w:rsidRPr="00596400">
        <w:rPr>
          <w:rFonts w:cstheme="minorHAnsi"/>
          <w:color w:val="222222"/>
        </w:rPr>
        <w:t xml:space="preserve">by </w:t>
      </w:r>
      <w:r w:rsidR="009D5762" w:rsidRPr="00596400">
        <w:rPr>
          <w:rFonts w:cstheme="minorHAnsi"/>
          <w:color w:val="222222"/>
        </w:rPr>
        <w:t>the World Bank</w:t>
      </w:r>
      <w:r w:rsidRPr="00596400">
        <w:rPr>
          <w:rFonts w:cstheme="minorHAnsi"/>
          <w:color w:val="222222"/>
        </w:rPr>
        <w:t>’s role</w:t>
      </w:r>
      <w:r w:rsidR="009D5762" w:rsidRPr="00596400">
        <w:rPr>
          <w:rFonts w:cstheme="minorHAnsi"/>
          <w:color w:val="222222"/>
        </w:rPr>
        <w:t xml:space="preserve"> in the health sector. </w:t>
      </w:r>
      <w:r w:rsidR="00A7418D" w:rsidRPr="00596400">
        <w:rPr>
          <w:rFonts w:cstheme="minorHAnsi"/>
          <w:color w:val="222222"/>
        </w:rPr>
        <w:t xml:space="preserve">New </w:t>
      </w:r>
      <w:hyperlink r:id="rId22" w:history="1">
        <w:r w:rsidR="00A7418D" w:rsidRPr="00596400">
          <w:rPr>
            <w:rStyle w:val="Hyperlink"/>
            <w:rFonts w:cstheme="minorHAnsi"/>
          </w:rPr>
          <w:t>research</w:t>
        </w:r>
      </w:hyperlink>
      <w:r w:rsidR="00A7418D" w:rsidRPr="00596400">
        <w:rPr>
          <w:rFonts w:cstheme="minorHAnsi"/>
          <w:color w:val="222222"/>
        </w:rPr>
        <w:t xml:space="preserve"> by Oxfam reveals missed opportunities in the World Bank’s COVID health programming to tackle barriers to accessing healthcare and build up public health systems that serve everyone.</w:t>
      </w:r>
      <w:r w:rsidRPr="00596400">
        <w:rPr>
          <w:rFonts w:cstheme="minorHAnsi"/>
          <w:color w:val="222222"/>
        </w:rPr>
        <w:t xml:space="preserve"> After analysing</w:t>
      </w:r>
      <w:r w:rsidR="00A7418D" w:rsidRPr="00596400">
        <w:rPr>
          <w:rFonts w:cstheme="minorHAnsi"/>
          <w:color w:val="222222"/>
        </w:rPr>
        <w:t xml:space="preserve"> project documents for the full set of emergency health projects </w:t>
      </w:r>
      <w:r w:rsidR="004E5546" w:rsidRPr="00596400">
        <w:rPr>
          <w:rFonts w:cstheme="minorHAnsi"/>
          <w:color w:val="222222"/>
        </w:rPr>
        <w:t xml:space="preserve">in the </w:t>
      </w:r>
      <w:r w:rsidR="00A7418D" w:rsidRPr="00596400">
        <w:rPr>
          <w:rFonts w:cstheme="minorHAnsi"/>
          <w:color w:val="222222"/>
        </w:rPr>
        <w:t>Bank’s COVID-19 Strategic Preparedness and Response Progra</w:t>
      </w:r>
      <w:r w:rsidRPr="00596400">
        <w:rPr>
          <w:rFonts w:cstheme="minorHAnsi"/>
          <w:color w:val="222222"/>
        </w:rPr>
        <w:t>m</w:t>
      </w:r>
      <w:r w:rsidR="00A7418D" w:rsidRPr="00596400">
        <w:rPr>
          <w:rFonts w:cstheme="minorHAnsi"/>
          <w:color w:val="222222"/>
        </w:rPr>
        <w:t xml:space="preserve"> as of June 30th, covering 71 countries</w:t>
      </w:r>
      <w:r w:rsidR="004E5546" w:rsidRPr="00596400">
        <w:rPr>
          <w:rFonts w:cstheme="minorHAnsi"/>
          <w:color w:val="222222"/>
        </w:rPr>
        <w:t xml:space="preserve">, Oxfam </w:t>
      </w:r>
      <w:r w:rsidR="00A7418D" w:rsidRPr="00596400">
        <w:rPr>
          <w:rFonts w:cstheme="minorHAnsi"/>
          <w:color w:val="222222"/>
        </w:rPr>
        <w:t>found that onl</w:t>
      </w:r>
      <w:r w:rsidR="004E5546" w:rsidRPr="00596400">
        <w:rPr>
          <w:rFonts w:cstheme="minorHAnsi"/>
          <w:color w:val="222222"/>
        </w:rPr>
        <w:t>y 8</w:t>
      </w:r>
      <w:r w:rsidR="00A7418D" w:rsidRPr="00596400">
        <w:rPr>
          <w:rFonts w:cstheme="minorHAnsi"/>
          <w:color w:val="222222"/>
        </w:rPr>
        <w:t xml:space="preserve"> country health projects included any plans to address healthcare user fees, which exclude millions of people from lifesaving care. This is despite World Health Organization (WHO) guidance to suspend user fees </w:t>
      </w:r>
      <w:bookmarkStart w:id="1" w:name="_Hlk54296859"/>
      <w:r w:rsidR="00A7418D" w:rsidRPr="00596400">
        <w:rPr>
          <w:rFonts w:cstheme="minorHAnsi"/>
          <w:color w:val="222222"/>
        </w:rPr>
        <w:t>for all essential healthcare from all providers during the pandemic</w:t>
      </w:r>
      <w:bookmarkEnd w:id="1"/>
      <w:r w:rsidR="00A7418D" w:rsidRPr="00596400">
        <w:rPr>
          <w:rFonts w:cstheme="minorHAnsi"/>
          <w:color w:val="222222"/>
        </w:rPr>
        <w:t>, and despite the fact that 80</w:t>
      </w:r>
      <w:r w:rsidR="009D5762" w:rsidRPr="00596400">
        <w:rPr>
          <w:rFonts w:cstheme="minorHAnsi"/>
          <w:color w:val="222222"/>
        </w:rPr>
        <w:t xml:space="preserve"> per cent</w:t>
      </w:r>
      <w:r w:rsidR="00A7418D" w:rsidRPr="00596400">
        <w:rPr>
          <w:rFonts w:cstheme="minorHAnsi"/>
          <w:color w:val="222222"/>
        </w:rPr>
        <w:t xml:space="preserve"> of the project countries have out-of-pocket spending on health above the WHO’s indicated ‘safe’ level. These out of pocket payments exclude people, cause more </w:t>
      </w:r>
      <w:proofErr w:type="gramStart"/>
      <w:r w:rsidR="00A7418D" w:rsidRPr="00596400">
        <w:rPr>
          <w:rFonts w:cstheme="minorHAnsi"/>
          <w:color w:val="222222"/>
        </w:rPr>
        <w:t>deaths</w:t>
      </w:r>
      <w:proofErr w:type="gramEnd"/>
      <w:r w:rsidR="00A7418D" w:rsidRPr="00596400">
        <w:rPr>
          <w:rFonts w:cstheme="minorHAnsi"/>
          <w:color w:val="222222"/>
        </w:rPr>
        <w:t xml:space="preserve"> and slow down the COVID response. The World Bank should urgently correct course in its COVID-19 response and take action to ensure all people can access healthcare during this emergency.</w:t>
      </w:r>
      <w:r w:rsidR="004E5546" w:rsidRPr="00596400">
        <w:rPr>
          <w:rFonts w:cstheme="minorHAnsi"/>
          <w:color w:val="222222"/>
        </w:rPr>
        <w:t xml:space="preserve"> </w:t>
      </w:r>
    </w:p>
    <w:p w14:paraId="552CCE84" w14:textId="3851B73D" w:rsidR="0096358B" w:rsidRPr="004E5546" w:rsidRDefault="006557C2" w:rsidP="00725E23">
      <w:pPr>
        <w:shd w:val="clear" w:color="auto" w:fill="FFFFFF"/>
        <w:jc w:val="both"/>
        <w:rPr>
          <w:rFonts w:cstheme="minorHAnsi"/>
          <w:color w:val="222222"/>
        </w:rPr>
      </w:pPr>
      <w:r>
        <w:rPr>
          <w:rFonts w:cstheme="minorHAnsi"/>
          <w:color w:val="222222"/>
        </w:rPr>
        <w:t>We remain distressed that</w:t>
      </w:r>
      <w:r w:rsidR="0096358B" w:rsidRPr="004E5546">
        <w:rPr>
          <w:rFonts w:cstheme="minorHAnsi"/>
          <w:color w:val="222222"/>
        </w:rPr>
        <w:t xml:space="preserve"> IFC’s Covid-19 resources have been used to support commercial private health facilitie</w:t>
      </w:r>
      <w:r>
        <w:rPr>
          <w:rFonts w:cstheme="minorHAnsi"/>
          <w:color w:val="222222"/>
        </w:rPr>
        <w:t xml:space="preserve">s. </w:t>
      </w:r>
      <w:r w:rsidR="004D62AC">
        <w:rPr>
          <w:rFonts w:cstheme="minorHAnsi"/>
          <w:color w:val="222222"/>
        </w:rPr>
        <w:t xml:space="preserve">As noted in a 2019 </w:t>
      </w:r>
      <w:hyperlink r:id="rId23" w:history="1">
        <w:r w:rsidR="004D62AC" w:rsidRPr="004D62AC">
          <w:rPr>
            <w:rStyle w:val="Hyperlink"/>
            <w:rFonts w:cstheme="minorHAnsi"/>
          </w:rPr>
          <w:t>article</w:t>
        </w:r>
      </w:hyperlink>
      <w:r w:rsidR="004D62AC">
        <w:rPr>
          <w:rFonts w:cstheme="minorHAnsi"/>
          <w:color w:val="222222"/>
        </w:rPr>
        <w:t xml:space="preserve">, the </w:t>
      </w:r>
      <w:proofErr w:type="spellStart"/>
      <w:r w:rsidR="004D62AC">
        <w:rPr>
          <w:rFonts w:cstheme="minorHAnsi"/>
          <w:color w:val="222222"/>
        </w:rPr>
        <w:t>financialisation</w:t>
      </w:r>
      <w:proofErr w:type="spellEnd"/>
      <w:r>
        <w:rPr>
          <w:rFonts w:cstheme="minorHAnsi"/>
          <w:color w:val="222222"/>
        </w:rPr>
        <w:t xml:space="preserve"> of healthcare favours “</w:t>
      </w:r>
      <w:r w:rsidRPr="006557C2">
        <w:rPr>
          <w:rFonts w:cstheme="minorHAnsi"/>
          <w:color w:val="222222"/>
        </w:rPr>
        <w:t>models that permit the extraction of revenue from situations of vulnerabilit</w:t>
      </w:r>
      <w:r>
        <w:rPr>
          <w:rFonts w:cstheme="minorHAnsi"/>
          <w:color w:val="222222"/>
        </w:rPr>
        <w:t>y</w:t>
      </w:r>
      <w:r w:rsidR="004D62AC">
        <w:rPr>
          <w:rFonts w:cstheme="minorHAnsi"/>
          <w:color w:val="222222"/>
        </w:rPr>
        <w:t xml:space="preserve">.” In an October </w:t>
      </w:r>
      <w:hyperlink r:id="rId24" w:history="1">
        <w:r w:rsidR="004D62AC" w:rsidRPr="004D62AC">
          <w:rPr>
            <w:rStyle w:val="Hyperlink"/>
            <w:rFonts w:cstheme="minorHAnsi"/>
          </w:rPr>
          <w:t>open letter</w:t>
        </w:r>
      </w:hyperlink>
      <w:r w:rsidR="004D62AC">
        <w:rPr>
          <w:rFonts w:cstheme="minorHAnsi"/>
          <w:color w:val="222222"/>
        </w:rPr>
        <w:t xml:space="preserve">, five current and former </w:t>
      </w:r>
      <w:r w:rsidR="004D62AC" w:rsidRPr="004D62AC">
        <w:rPr>
          <w:rFonts w:cstheme="minorHAnsi"/>
          <w:color w:val="222222"/>
        </w:rPr>
        <w:t>UN Special Rapporteurs and Independent Expert</w:t>
      </w:r>
      <w:r w:rsidR="004D62AC">
        <w:rPr>
          <w:rFonts w:cstheme="minorHAnsi"/>
          <w:color w:val="222222"/>
        </w:rPr>
        <w:t>s stressed that it is “crucial</w:t>
      </w:r>
      <w:r w:rsidR="004D62AC" w:rsidRPr="004D62AC">
        <w:rPr>
          <w:rFonts w:cstheme="minorHAnsi"/>
          <w:color w:val="222222"/>
        </w:rPr>
        <w:t xml:space="preserve"> t</w:t>
      </w:r>
      <w:r w:rsidR="004D62AC">
        <w:rPr>
          <w:rFonts w:cstheme="minorHAnsi"/>
          <w:color w:val="222222"/>
        </w:rPr>
        <w:t>hat…</w:t>
      </w:r>
      <w:r w:rsidR="004D62AC" w:rsidRPr="004D62AC">
        <w:rPr>
          <w:rFonts w:cstheme="minorHAnsi"/>
          <w:color w:val="222222"/>
        </w:rPr>
        <w:t xml:space="preserve"> the World Bank and the International Monetary Fund, stop imposing financialised models and the privatisation of public services on countries.</w:t>
      </w:r>
      <w:r w:rsidR="004D62AC">
        <w:rPr>
          <w:rFonts w:cstheme="minorHAnsi"/>
          <w:color w:val="222222"/>
        </w:rPr>
        <w:t>” We reiterate our call for t</w:t>
      </w:r>
      <w:r w:rsidR="0096358B" w:rsidRPr="004E5546">
        <w:rPr>
          <w:rFonts w:cstheme="minorHAnsi"/>
          <w:color w:val="222222"/>
        </w:rPr>
        <w:t xml:space="preserve">he IFC </w:t>
      </w:r>
      <w:r w:rsidR="00560199">
        <w:rPr>
          <w:rFonts w:cstheme="minorHAnsi"/>
          <w:color w:val="222222"/>
        </w:rPr>
        <w:t xml:space="preserve">to </w:t>
      </w:r>
      <w:r w:rsidR="0096358B" w:rsidRPr="004E5546">
        <w:rPr>
          <w:rFonts w:cstheme="minorHAnsi"/>
          <w:color w:val="222222"/>
        </w:rPr>
        <w:t>stop its support to commercial private health facilities</w:t>
      </w:r>
      <w:r w:rsidR="00560199">
        <w:rPr>
          <w:rFonts w:cstheme="minorHAnsi"/>
          <w:color w:val="222222"/>
        </w:rPr>
        <w:t>, which</w:t>
      </w:r>
      <w:r w:rsidR="0096358B" w:rsidRPr="004E5546">
        <w:rPr>
          <w:rFonts w:cstheme="minorHAnsi"/>
          <w:color w:val="222222"/>
        </w:rPr>
        <w:t xml:space="preserve"> undermine public system building and that arguably has pernicious implications for women, lower-</w:t>
      </w:r>
      <w:proofErr w:type="gramStart"/>
      <w:r w:rsidR="0096358B" w:rsidRPr="004E5546">
        <w:rPr>
          <w:rFonts w:cstheme="minorHAnsi"/>
          <w:color w:val="222222"/>
        </w:rPr>
        <w:t>income</w:t>
      </w:r>
      <w:proofErr w:type="gramEnd"/>
      <w:r w:rsidR="0096358B" w:rsidRPr="004E5546">
        <w:rPr>
          <w:rFonts w:cstheme="minorHAnsi"/>
          <w:color w:val="222222"/>
        </w:rPr>
        <w:t xml:space="preserve"> or vulnerable populations.</w:t>
      </w:r>
    </w:p>
    <w:p w14:paraId="3158CD94" w14:textId="12DAC333" w:rsidR="0096358B" w:rsidRPr="00596400" w:rsidRDefault="00596400" w:rsidP="00596400">
      <w:pPr>
        <w:pStyle w:val="ListParagraph"/>
        <w:numPr>
          <w:ilvl w:val="0"/>
          <w:numId w:val="3"/>
        </w:numPr>
        <w:shd w:val="clear" w:color="auto" w:fill="FFFFFF"/>
        <w:ind w:left="0" w:firstLine="0"/>
        <w:jc w:val="both"/>
        <w:rPr>
          <w:rFonts w:cstheme="minorHAnsi"/>
          <w:color w:val="222222"/>
        </w:rPr>
      </w:pPr>
      <w:r w:rsidRPr="00596400">
        <w:rPr>
          <w:rFonts w:cstheme="minorHAnsi"/>
          <w:b/>
          <w:bCs/>
          <w:color w:val="222222"/>
        </w:rPr>
        <w:t>Transparency and engagement</w:t>
      </w:r>
      <w:r w:rsidRPr="00596400">
        <w:rPr>
          <w:rFonts w:cstheme="minorHAnsi"/>
          <w:color w:val="222222"/>
        </w:rPr>
        <w:t>:</w:t>
      </w:r>
      <w:r w:rsidR="0096358B" w:rsidRPr="00596400">
        <w:rPr>
          <w:rFonts w:cstheme="minorHAnsi"/>
          <w:color w:val="222222"/>
        </w:rPr>
        <w:t xml:space="preserve"> </w:t>
      </w:r>
      <w:r w:rsidRPr="00596400">
        <w:rPr>
          <w:rFonts w:cstheme="minorHAnsi"/>
          <w:color w:val="222222"/>
        </w:rPr>
        <w:t>I</w:t>
      </w:r>
      <w:r w:rsidR="0096358B" w:rsidRPr="00596400">
        <w:rPr>
          <w:rFonts w:cstheme="minorHAnsi"/>
          <w:color w:val="222222"/>
        </w:rPr>
        <w:t>ncreased pressure to “get money out the door” has raised clear challenges</w:t>
      </w:r>
      <w:r w:rsidR="00560199">
        <w:rPr>
          <w:rFonts w:cstheme="minorHAnsi"/>
          <w:color w:val="222222"/>
        </w:rPr>
        <w:t xml:space="preserve"> </w:t>
      </w:r>
      <w:r w:rsidR="00544575">
        <w:rPr>
          <w:rFonts w:cstheme="minorHAnsi"/>
          <w:color w:val="222222"/>
        </w:rPr>
        <w:t>about</w:t>
      </w:r>
      <w:r w:rsidR="00560199">
        <w:rPr>
          <w:rFonts w:cstheme="minorHAnsi"/>
          <w:color w:val="222222"/>
        </w:rPr>
        <w:t xml:space="preserve"> transparency and stakeholder engagement</w:t>
      </w:r>
      <w:r w:rsidR="0096358B" w:rsidRPr="00596400">
        <w:rPr>
          <w:rFonts w:cstheme="minorHAnsi"/>
          <w:color w:val="222222"/>
        </w:rPr>
        <w:t xml:space="preserve">. </w:t>
      </w:r>
      <w:r w:rsidR="0029107B">
        <w:rPr>
          <w:rFonts w:cstheme="minorHAnsi"/>
          <w:color w:val="222222"/>
        </w:rPr>
        <w:t>T</w:t>
      </w:r>
      <w:r w:rsidR="0096358B" w:rsidRPr="00596400">
        <w:rPr>
          <w:rFonts w:cstheme="minorHAnsi"/>
          <w:color w:val="222222"/>
        </w:rPr>
        <w:t xml:space="preserve">he IFC’s focus on financial institutions has fallen short </w:t>
      </w:r>
      <w:r w:rsidR="00560199">
        <w:rPr>
          <w:rFonts w:cstheme="minorHAnsi"/>
          <w:color w:val="222222"/>
        </w:rPr>
        <w:t xml:space="preserve">of </w:t>
      </w:r>
      <w:r w:rsidR="0096358B" w:rsidRPr="00596400">
        <w:rPr>
          <w:rFonts w:cstheme="minorHAnsi"/>
          <w:color w:val="222222"/>
        </w:rPr>
        <w:t xml:space="preserve">transparency and accountability, while questions </w:t>
      </w:r>
      <w:r w:rsidRPr="00596400">
        <w:rPr>
          <w:rFonts w:cstheme="minorHAnsi"/>
          <w:color w:val="222222"/>
        </w:rPr>
        <w:t xml:space="preserve">remain </w:t>
      </w:r>
      <w:r w:rsidR="0096358B" w:rsidRPr="00596400">
        <w:rPr>
          <w:rFonts w:cstheme="minorHAnsi"/>
          <w:color w:val="222222"/>
        </w:rPr>
        <w:t>about the very</w:t>
      </w:r>
      <w:r w:rsidRPr="00596400">
        <w:rPr>
          <w:rFonts w:cstheme="minorHAnsi"/>
          <w:color w:val="222222"/>
        </w:rPr>
        <w:t xml:space="preserve"> limited or lack of</w:t>
      </w:r>
      <w:r w:rsidR="0096358B" w:rsidRPr="00596400">
        <w:rPr>
          <w:rFonts w:cstheme="minorHAnsi"/>
          <w:color w:val="222222"/>
        </w:rPr>
        <w:t xml:space="preserve"> stakeholder engagement </w:t>
      </w:r>
      <w:r w:rsidRPr="00596400">
        <w:rPr>
          <w:rFonts w:cstheme="minorHAnsi"/>
          <w:color w:val="222222"/>
        </w:rPr>
        <w:t xml:space="preserve">as World Bank projects </w:t>
      </w:r>
      <w:r w:rsidR="0096358B" w:rsidRPr="00596400">
        <w:rPr>
          <w:rFonts w:cstheme="minorHAnsi"/>
          <w:color w:val="222222"/>
        </w:rPr>
        <w:t xml:space="preserve">are rolled out. This </w:t>
      </w:r>
      <w:r w:rsidRPr="00596400">
        <w:rPr>
          <w:rFonts w:cstheme="minorHAnsi"/>
          <w:color w:val="222222"/>
        </w:rPr>
        <w:t>is taking place in the context of</w:t>
      </w:r>
      <w:r w:rsidR="0096358B" w:rsidRPr="00596400">
        <w:rPr>
          <w:rFonts w:cstheme="minorHAnsi"/>
          <w:color w:val="222222"/>
        </w:rPr>
        <w:t xml:space="preserve"> </w:t>
      </w:r>
      <w:r w:rsidR="00560199">
        <w:rPr>
          <w:rFonts w:cstheme="minorHAnsi"/>
          <w:color w:val="222222"/>
        </w:rPr>
        <w:t xml:space="preserve">challenging conditions for CSO participation, given the COVID context, </w:t>
      </w:r>
      <w:r w:rsidR="0096358B" w:rsidRPr="00596400">
        <w:rPr>
          <w:rFonts w:cstheme="minorHAnsi"/>
          <w:color w:val="222222"/>
        </w:rPr>
        <w:t xml:space="preserve">the shrinking space for </w:t>
      </w:r>
      <w:r w:rsidR="00914535" w:rsidRPr="00596400">
        <w:rPr>
          <w:rFonts w:cstheme="minorHAnsi"/>
          <w:color w:val="222222"/>
        </w:rPr>
        <w:t xml:space="preserve">CSOs </w:t>
      </w:r>
      <w:r w:rsidR="0096358B" w:rsidRPr="00596400">
        <w:rPr>
          <w:rFonts w:cstheme="minorHAnsi"/>
          <w:color w:val="222222"/>
        </w:rPr>
        <w:t>to actively participate and increased reprisals against human rights activists by national governments.</w:t>
      </w:r>
      <w:r w:rsidR="00914535" w:rsidRPr="00596400">
        <w:rPr>
          <w:rFonts w:cstheme="minorHAnsi"/>
          <w:color w:val="222222"/>
        </w:rPr>
        <w:t xml:space="preserve"> </w:t>
      </w:r>
      <w:r w:rsidR="00560199">
        <w:rPr>
          <w:rFonts w:cstheme="minorHAnsi"/>
          <w:color w:val="222222"/>
        </w:rPr>
        <w:t xml:space="preserve">We, therefore, </w:t>
      </w:r>
      <w:r w:rsidR="00914535" w:rsidRPr="00596400">
        <w:rPr>
          <w:rFonts w:cstheme="minorHAnsi"/>
          <w:color w:val="222222"/>
        </w:rPr>
        <w:t xml:space="preserve">call on </w:t>
      </w:r>
      <w:r w:rsidRPr="00596400">
        <w:rPr>
          <w:rFonts w:cstheme="minorHAnsi"/>
          <w:color w:val="222222"/>
        </w:rPr>
        <w:t xml:space="preserve">the </w:t>
      </w:r>
      <w:r w:rsidR="00914535" w:rsidRPr="00596400">
        <w:rPr>
          <w:rFonts w:cstheme="minorHAnsi"/>
          <w:color w:val="222222"/>
        </w:rPr>
        <w:t xml:space="preserve">Executive Directors to </w:t>
      </w:r>
      <w:r w:rsidRPr="00596400">
        <w:rPr>
          <w:rFonts w:cstheme="minorHAnsi"/>
          <w:color w:val="222222"/>
        </w:rPr>
        <w:t>ensure that mechanisms are in place and used to guarantee</w:t>
      </w:r>
      <w:r w:rsidR="00914535" w:rsidRPr="00596400">
        <w:rPr>
          <w:rFonts w:cstheme="minorHAnsi"/>
          <w:color w:val="222222"/>
        </w:rPr>
        <w:t xml:space="preserve"> </w:t>
      </w:r>
      <w:r w:rsidR="00560199">
        <w:rPr>
          <w:rFonts w:cstheme="minorHAnsi"/>
          <w:color w:val="222222"/>
        </w:rPr>
        <w:t xml:space="preserve">adequate </w:t>
      </w:r>
      <w:r w:rsidR="00914535" w:rsidRPr="00596400">
        <w:rPr>
          <w:rFonts w:cstheme="minorHAnsi"/>
          <w:color w:val="222222"/>
        </w:rPr>
        <w:t>stakeholder consultation</w:t>
      </w:r>
      <w:r w:rsidR="00560199">
        <w:rPr>
          <w:rFonts w:cstheme="minorHAnsi"/>
          <w:color w:val="222222"/>
        </w:rPr>
        <w:t>, as well as a stakeholder and trade union inclu</w:t>
      </w:r>
      <w:r w:rsidR="0037108D">
        <w:rPr>
          <w:rFonts w:cstheme="minorHAnsi"/>
          <w:color w:val="222222"/>
        </w:rPr>
        <w:t xml:space="preserve">sive </w:t>
      </w:r>
      <w:r w:rsidR="00560199">
        <w:rPr>
          <w:rFonts w:cstheme="minorHAnsi"/>
          <w:color w:val="222222"/>
        </w:rPr>
        <w:t xml:space="preserve">monitoring of environmental and social standards </w:t>
      </w:r>
      <w:r w:rsidR="0037108D">
        <w:rPr>
          <w:rFonts w:cstheme="minorHAnsi"/>
          <w:color w:val="222222"/>
        </w:rPr>
        <w:t xml:space="preserve">at the project level. It is key to ensure </w:t>
      </w:r>
      <w:r w:rsidR="0037108D">
        <w:t>the implementation of the Bank’s and IFC’s labour safeguards, ensuring worker’s rights and occupational safety for all project workers.</w:t>
      </w:r>
      <w:r w:rsidR="0037108D">
        <w:rPr>
          <w:rFonts w:cstheme="minorHAnsi"/>
          <w:color w:val="222222"/>
        </w:rPr>
        <w:t xml:space="preserve"> </w:t>
      </w:r>
      <w:r w:rsidR="00914535" w:rsidRPr="00596400">
        <w:rPr>
          <w:rFonts w:cstheme="minorHAnsi"/>
          <w:color w:val="222222"/>
        </w:rPr>
        <w:t xml:space="preserve">   </w:t>
      </w:r>
    </w:p>
    <w:p w14:paraId="36D36E8C" w14:textId="66E487E3" w:rsidR="0096358B" w:rsidRDefault="0095301F" w:rsidP="00725E23">
      <w:pPr>
        <w:shd w:val="clear" w:color="auto" w:fill="FFFFFF"/>
        <w:jc w:val="both"/>
        <w:rPr>
          <w:rFonts w:cstheme="minorHAnsi"/>
          <w:b/>
          <w:bCs/>
          <w:color w:val="222222"/>
        </w:rPr>
      </w:pPr>
      <w:r w:rsidRPr="0095301F">
        <w:rPr>
          <w:rFonts w:cstheme="minorHAnsi"/>
          <w:b/>
          <w:bCs/>
          <w:color w:val="222222"/>
        </w:rPr>
        <w:t>Recommendations:</w:t>
      </w:r>
    </w:p>
    <w:p w14:paraId="683E0C71" w14:textId="46E14101" w:rsidR="0095301F" w:rsidRPr="008248A6" w:rsidRDefault="0095301F" w:rsidP="008248A6">
      <w:pPr>
        <w:pStyle w:val="ListParagraph"/>
        <w:numPr>
          <w:ilvl w:val="0"/>
          <w:numId w:val="4"/>
        </w:numPr>
        <w:shd w:val="clear" w:color="auto" w:fill="FFFFFF"/>
        <w:ind w:left="284" w:hanging="284"/>
        <w:jc w:val="both"/>
        <w:rPr>
          <w:rFonts w:cstheme="minorHAnsi"/>
          <w:color w:val="222222"/>
        </w:rPr>
      </w:pPr>
      <w:r w:rsidRPr="008248A6">
        <w:rPr>
          <w:rFonts w:cstheme="minorHAnsi"/>
          <w:color w:val="222222"/>
        </w:rPr>
        <w:t xml:space="preserve">The WB should </w:t>
      </w:r>
      <w:r w:rsidR="008248A6" w:rsidRPr="008248A6">
        <w:rPr>
          <w:rFonts w:cstheme="minorHAnsi"/>
          <w:color w:val="222222"/>
        </w:rPr>
        <w:t xml:space="preserve">restore the balance between the public and private sector in its Covid-19 response, including in its modalities and instruments. IFC should be required to demonstrate that its investments, including through </w:t>
      </w:r>
      <w:r w:rsidR="0037108D">
        <w:rPr>
          <w:rFonts w:cstheme="minorHAnsi"/>
          <w:color w:val="222222"/>
        </w:rPr>
        <w:t xml:space="preserve">private </w:t>
      </w:r>
      <w:r w:rsidR="008248A6" w:rsidRPr="008248A6">
        <w:rPr>
          <w:rFonts w:cstheme="minorHAnsi"/>
          <w:color w:val="222222"/>
        </w:rPr>
        <w:t>commercial financial institutions, are reaching SMEs and the most vulnerable, including by tracking job quality.</w:t>
      </w:r>
    </w:p>
    <w:p w14:paraId="3A0A28A0" w14:textId="5019A064" w:rsidR="008248A6" w:rsidRDefault="008248A6" w:rsidP="008248A6">
      <w:pPr>
        <w:pStyle w:val="ListParagraph"/>
        <w:numPr>
          <w:ilvl w:val="0"/>
          <w:numId w:val="4"/>
        </w:numPr>
        <w:shd w:val="clear" w:color="auto" w:fill="FFFFFF"/>
        <w:ind w:left="284" w:hanging="284"/>
        <w:jc w:val="both"/>
        <w:rPr>
          <w:rFonts w:cstheme="minorHAnsi"/>
          <w:color w:val="222222"/>
        </w:rPr>
      </w:pPr>
      <w:r w:rsidRPr="008248A6">
        <w:rPr>
          <w:rFonts w:cstheme="minorHAnsi"/>
          <w:color w:val="222222"/>
        </w:rPr>
        <w:t xml:space="preserve">The </w:t>
      </w:r>
      <w:r>
        <w:rPr>
          <w:rFonts w:cstheme="minorHAnsi"/>
          <w:color w:val="222222"/>
        </w:rPr>
        <w:t>W</w:t>
      </w:r>
      <w:r w:rsidRPr="008248A6">
        <w:rPr>
          <w:rFonts w:cstheme="minorHAnsi"/>
          <w:color w:val="222222"/>
        </w:rPr>
        <w:t>B should make use of “prior conditions” within its DPL only in highly proscribed circumstances</w:t>
      </w:r>
      <w:r w:rsidR="0037108D">
        <w:rPr>
          <w:rFonts w:cstheme="minorHAnsi"/>
          <w:color w:val="222222"/>
        </w:rPr>
        <w:t>,</w:t>
      </w:r>
      <w:r w:rsidRPr="008248A6">
        <w:rPr>
          <w:rFonts w:cstheme="minorHAnsi"/>
          <w:color w:val="222222"/>
        </w:rPr>
        <w:t xml:space="preserve"> such as those required to guarantee Paris Accord alignment, to ensure due diligence in the use of the funds provided and where it can be demonstrated to increase the borrower’s capacity to meet their human rights obligations</w:t>
      </w:r>
      <w:r>
        <w:rPr>
          <w:rFonts w:cstheme="minorHAnsi"/>
          <w:color w:val="222222"/>
        </w:rPr>
        <w:t>.</w:t>
      </w:r>
    </w:p>
    <w:p w14:paraId="116D9B85" w14:textId="436C75BA" w:rsidR="0037108D" w:rsidRDefault="008248A6" w:rsidP="008248A6">
      <w:pPr>
        <w:pStyle w:val="ListParagraph"/>
        <w:numPr>
          <w:ilvl w:val="0"/>
          <w:numId w:val="4"/>
        </w:numPr>
        <w:shd w:val="clear" w:color="auto" w:fill="FFFFFF"/>
        <w:ind w:left="284" w:hanging="284"/>
        <w:jc w:val="both"/>
        <w:rPr>
          <w:rFonts w:cstheme="minorHAnsi"/>
          <w:color w:val="222222"/>
        </w:rPr>
      </w:pPr>
      <w:r>
        <w:rPr>
          <w:rFonts w:cstheme="minorHAnsi"/>
          <w:color w:val="222222"/>
        </w:rPr>
        <w:t xml:space="preserve">The WB should </w:t>
      </w:r>
      <w:r w:rsidR="0037108D">
        <w:rPr>
          <w:rFonts w:cstheme="minorHAnsi"/>
          <w:color w:val="222222"/>
        </w:rPr>
        <w:t xml:space="preserve">increase transparency </w:t>
      </w:r>
      <w:r w:rsidR="0037108D" w:rsidRPr="00725E23">
        <w:rPr>
          <w:rFonts w:cstheme="minorHAnsi"/>
          <w:color w:val="222222"/>
        </w:rPr>
        <w:t>in its lending operations</w:t>
      </w:r>
      <w:r w:rsidR="0037108D">
        <w:rPr>
          <w:rFonts w:cstheme="minorHAnsi"/>
          <w:color w:val="222222"/>
        </w:rPr>
        <w:t xml:space="preserve">, which means providing </w:t>
      </w:r>
      <w:r w:rsidR="0037108D" w:rsidRPr="00725E23">
        <w:rPr>
          <w:rFonts w:cstheme="minorHAnsi"/>
          <w:color w:val="222222"/>
        </w:rPr>
        <w:t xml:space="preserve">regular, </w:t>
      </w:r>
      <w:proofErr w:type="gramStart"/>
      <w:r w:rsidR="0037108D" w:rsidRPr="00725E23">
        <w:rPr>
          <w:rFonts w:cstheme="minorHAnsi"/>
          <w:color w:val="222222"/>
        </w:rPr>
        <w:t>clear</w:t>
      </w:r>
      <w:proofErr w:type="gramEnd"/>
      <w:r w:rsidR="0037108D" w:rsidRPr="00725E23">
        <w:rPr>
          <w:rFonts w:cstheme="minorHAnsi"/>
          <w:color w:val="222222"/>
        </w:rPr>
        <w:t xml:space="preserve"> and accessible update of its financial operations on a country-by-country basis.</w:t>
      </w:r>
      <w:r w:rsidR="0037108D">
        <w:rPr>
          <w:rFonts w:cstheme="minorHAnsi"/>
          <w:color w:val="222222"/>
        </w:rPr>
        <w:t xml:space="preserve">  </w:t>
      </w:r>
    </w:p>
    <w:p w14:paraId="5D6DD5C6" w14:textId="1F5431E5" w:rsidR="008248A6" w:rsidRDefault="0037108D" w:rsidP="008248A6">
      <w:pPr>
        <w:pStyle w:val="ListParagraph"/>
        <w:numPr>
          <w:ilvl w:val="0"/>
          <w:numId w:val="4"/>
        </w:numPr>
        <w:shd w:val="clear" w:color="auto" w:fill="FFFFFF"/>
        <w:ind w:left="284" w:hanging="284"/>
        <w:jc w:val="both"/>
        <w:rPr>
          <w:rFonts w:cstheme="minorHAnsi"/>
          <w:color w:val="222222"/>
        </w:rPr>
      </w:pPr>
      <w:r>
        <w:rPr>
          <w:rFonts w:cstheme="minorHAnsi"/>
          <w:color w:val="222222"/>
        </w:rPr>
        <w:t xml:space="preserve">The WB should </w:t>
      </w:r>
      <w:r w:rsidR="008248A6">
        <w:rPr>
          <w:rFonts w:cstheme="minorHAnsi"/>
          <w:color w:val="222222"/>
        </w:rPr>
        <w:t>participate in the G20’s DSSI and continue to push for and eventually participate in debt reduction and cancellation.</w:t>
      </w:r>
    </w:p>
    <w:p w14:paraId="0CBF9C43" w14:textId="3D1AE15C" w:rsidR="008248A6" w:rsidRDefault="00087EB8" w:rsidP="008248A6">
      <w:pPr>
        <w:pStyle w:val="ListParagraph"/>
        <w:numPr>
          <w:ilvl w:val="0"/>
          <w:numId w:val="4"/>
        </w:numPr>
        <w:shd w:val="clear" w:color="auto" w:fill="FFFFFF"/>
        <w:ind w:left="284" w:hanging="284"/>
        <w:jc w:val="both"/>
        <w:rPr>
          <w:rFonts w:cstheme="minorHAnsi"/>
          <w:color w:val="222222"/>
        </w:rPr>
      </w:pPr>
      <w:r>
        <w:rPr>
          <w:rFonts w:cstheme="minorHAnsi"/>
          <w:color w:val="222222"/>
        </w:rPr>
        <w:t>The WB should establish a granting mechanism to middle-income countries in debt distress</w:t>
      </w:r>
      <w:r w:rsidR="00ED787F">
        <w:rPr>
          <w:rFonts w:cstheme="minorHAnsi"/>
          <w:color w:val="222222"/>
        </w:rPr>
        <w:t xml:space="preserve"> and in the meantime ensure they benefit from positive net flows. </w:t>
      </w:r>
    </w:p>
    <w:p w14:paraId="418A38D0" w14:textId="24A3B2A1" w:rsidR="00087EB8" w:rsidRDefault="00087EB8" w:rsidP="008248A6">
      <w:pPr>
        <w:pStyle w:val="ListParagraph"/>
        <w:numPr>
          <w:ilvl w:val="0"/>
          <w:numId w:val="4"/>
        </w:numPr>
        <w:shd w:val="clear" w:color="auto" w:fill="FFFFFF"/>
        <w:ind w:left="284" w:hanging="284"/>
        <w:jc w:val="both"/>
        <w:rPr>
          <w:rFonts w:cstheme="minorHAnsi"/>
          <w:color w:val="222222"/>
        </w:rPr>
      </w:pPr>
      <w:r>
        <w:rPr>
          <w:rFonts w:cstheme="minorHAnsi"/>
          <w:color w:val="222222"/>
        </w:rPr>
        <w:t xml:space="preserve">The WB should follow WHO guidelines and assist countries end user fees </w:t>
      </w:r>
      <w:r w:rsidRPr="00087EB8">
        <w:rPr>
          <w:rFonts w:cstheme="minorHAnsi"/>
          <w:color w:val="222222"/>
        </w:rPr>
        <w:t>for all essential healthcare from all providers during the pandemic</w:t>
      </w:r>
      <w:r>
        <w:rPr>
          <w:rFonts w:cstheme="minorHAnsi"/>
          <w:color w:val="222222"/>
        </w:rPr>
        <w:t xml:space="preserve"> and end the drive to privatise health services.</w:t>
      </w:r>
    </w:p>
    <w:p w14:paraId="03D7E4CA" w14:textId="13E01500" w:rsidR="00087EB8" w:rsidRPr="008248A6" w:rsidRDefault="00087EB8" w:rsidP="008248A6">
      <w:pPr>
        <w:pStyle w:val="ListParagraph"/>
        <w:numPr>
          <w:ilvl w:val="0"/>
          <w:numId w:val="4"/>
        </w:numPr>
        <w:shd w:val="clear" w:color="auto" w:fill="FFFFFF"/>
        <w:ind w:left="284" w:hanging="284"/>
        <w:jc w:val="both"/>
        <w:rPr>
          <w:rFonts w:cstheme="minorHAnsi"/>
          <w:color w:val="222222"/>
        </w:rPr>
      </w:pPr>
      <w:r>
        <w:rPr>
          <w:rFonts w:cstheme="minorHAnsi"/>
          <w:color w:val="222222"/>
        </w:rPr>
        <w:t xml:space="preserve">The World Bank should ensure that rapid response is not achieved at the sacrifice of </w:t>
      </w:r>
      <w:r w:rsidR="00FB7F60">
        <w:rPr>
          <w:rFonts w:cstheme="minorHAnsi"/>
          <w:color w:val="222222"/>
        </w:rPr>
        <w:t>stakeholder consultation</w:t>
      </w:r>
      <w:r w:rsidR="0037108D">
        <w:rPr>
          <w:rFonts w:cstheme="minorHAnsi"/>
          <w:color w:val="222222"/>
        </w:rPr>
        <w:t xml:space="preserve"> and an inclusive process for project monitoring at implementation stage</w:t>
      </w:r>
      <w:r w:rsidR="00FB7F60">
        <w:rPr>
          <w:rFonts w:cstheme="minorHAnsi"/>
          <w:color w:val="222222"/>
        </w:rPr>
        <w:t>.</w:t>
      </w:r>
      <w:r w:rsidR="0037108D">
        <w:rPr>
          <w:rFonts w:cstheme="minorHAnsi"/>
          <w:color w:val="222222"/>
        </w:rPr>
        <w:t xml:space="preserve"> </w:t>
      </w:r>
    </w:p>
    <w:sectPr w:rsidR="00087EB8" w:rsidRPr="008248A6" w:rsidSect="0097058D">
      <w:pgSz w:w="11906" w:h="16838"/>
      <w:pgMar w:top="1134" w:right="709" w:bottom="1134" w:left="709" w:header="709" w:footer="4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EBFA25" w14:textId="77777777" w:rsidR="005953E6" w:rsidRDefault="005953E6" w:rsidP="008248A6">
      <w:pPr>
        <w:spacing w:after="0" w:line="240" w:lineRule="auto"/>
      </w:pPr>
      <w:r>
        <w:separator/>
      </w:r>
    </w:p>
  </w:endnote>
  <w:endnote w:type="continuationSeparator" w:id="0">
    <w:p w14:paraId="505FB5C1" w14:textId="77777777" w:rsidR="005953E6" w:rsidRDefault="005953E6" w:rsidP="00824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06D442" w14:textId="77777777" w:rsidR="005953E6" w:rsidRDefault="005953E6" w:rsidP="008248A6">
      <w:pPr>
        <w:spacing w:after="0" w:line="240" w:lineRule="auto"/>
      </w:pPr>
      <w:r>
        <w:separator/>
      </w:r>
    </w:p>
  </w:footnote>
  <w:footnote w:type="continuationSeparator" w:id="0">
    <w:p w14:paraId="5FA74F32" w14:textId="77777777" w:rsidR="005953E6" w:rsidRDefault="005953E6" w:rsidP="008248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1D0E20"/>
    <w:multiLevelType w:val="hybridMultilevel"/>
    <w:tmpl w:val="4EC660B8"/>
    <w:lvl w:ilvl="0" w:tplc="E8D836B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E63B19"/>
    <w:multiLevelType w:val="hybridMultilevel"/>
    <w:tmpl w:val="D78CADB6"/>
    <w:lvl w:ilvl="0" w:tplc="F5CE6B9C">
      <w:start w:val="3"/>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A5E056A"/>
    <w:multiLevelType w:val="hybridMultilevel"/>
    <w:tmpl w:val="B4909D0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EDA42D1"/>
    <w:multiLevelType w:val="hybridMultilevel"/>
    <w:tmpl w:val="58E4B4D8"/>
    <w:lvl w:ilvl="0" w:tplc="63FACD3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18C"/>
    <w:rsid w:val="0003007B"/>
    <w:rsid w:val="00087EB8"/>
    <w:rsid w:val="00090671"/>
    <w:rsid w:val="001B06EE"/>
    <w:rsid w:val="001B4B20"/>
    <w:rsid w:val="001C2CB9"/>
    <w:rsid w:val="0029107B"/>
    <w:rsid w:val="002A624B"/>
    <w:rsid w:val="0034005F"/>
    <w:rsid w:val="0037108D"/>
    <w:rsid w:val="004074CE"/>
    <w:rsid w:val="00407E04"/>
    <w:rsid w:val="004A6531"/>
    <w:rsid w:val="004D62AC"/>
    <w:rsid w:val="004E5546"/>
    <w:rsid w:val="00544575"/>
    <w:rsid w:val="00560199"/>
    <w:rsid w:val="005953E6"/>
    <w:rsid w:val="00596400"/>
    <w:rsid w:val="005C4453"/>
    <w:rsid w:val="006312BE"/>
    <w:rsid w:val="006557C2"/>
    <w:rsid w:val="006E5C1B"/>
    <w:rsid w:val="00705C5F"/>
    <w:rsid w:val="00725E23"/>
    <w:rsid w:val="007F093A"/>
    <w:rsid w:val="008248A6"/>
    <w:rsid w:val="00862CE0"/>
    <w:rsid w:val="008D7963"/>
    <w:rsid w:val="00914535"/>
    <w:rsid w:val="0091757C"/>
    <w:rsid w:val="0095301F"/>
    <w:rsid w:val="0096358B"/>
    <w:rsid w:val="0097058D"/>
    <w:rsid w:val="00975089"/>
    <w:rsid w:val="00983102"/>
    <w:rsid w:val="009B3D74"/>
    <w:rsid w:val="009D5762"/>
    <w:rsid w:val="00A41341"/>
    <w:rsid w:val="00A7418D"/>
    <w:rsid w:val="00A765FF"/>
    <w:rsid w:val="00AE4B9B"/>
    <w:rsid w:val="00B46724"/>
    <w:rsid w:val="00B6737C"/>
    <w:rsid w:val="00BD718C"/>
    <w:rsid w:val="00BF11BD"/>
    <w:rsid w:val="00C17E58"/>
    <w:rsid w:val="00C622B8"/>
    <w:rsid w:val="00C63E27"/>
    <w:rsid w:val="00C75A1A"/>
    <w:rsid w:val="00C8496A"/>
    <w:rsid w:val="00CC287B"/>
    <w:rsid w:val="00CC2CCC"/>
    <w:rsid w:val="00CD669A"/>
    <w:rsid w:val="00CD66FC"/>
    <w:rsid w:val="00E116AB"/>
    <w:rsid w:val="00ED787F"/>
    <w:rsid w:val="00F159E6"/>
    <w:rsid w:val="00F65611"/>
    <w:rsid w:val="00F77556"/>
    <w:rsid w:val="00F8434D"/>
    <w:rsid w:val="00FB7F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D2621E"/>
  <w15:chartTrackingRefBased/>
  <w15:docId w15:val="{437A1EBC-CE72-4185-A058-357F49170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718C"/>
    <w:rPr>
      <w:color w:val="0563C1" w:themeColor="hyperlink"/>
      <w:u w:val="single"/>
    </w:rPr>
  </w:style>
  <w:style w:type="character" w:customStyle="1" w:styleId="UnresolvedMention1">
    <w:name w:val="Unresolved Mention1"/>
    <w:basedOn w:val="DefaultParagraphFont"/>
    <w:uiPriority w:val="99"/>
    <w:semiHidden/>
    <w:unhideWhenUsed/>
    <w:rsid w:val="00BD718C"/>
    <w:rPr>
      <w:color w:val="605E5C"/>
      <w:shd w:val="clear" w:color="auto" w:fill="E1DFDD"/>
    </w:rPr>
  </w:style>
  <w:style w:type="paragraph" w:styleId="BalloonText">
    <w:name w:val="Balloon Text"/>
    <w:basedOn w:val="Normal"/>
    <w:link w:val="BalloonTextChar"/>
    <w:uiPriority w:val="99"/>
    <w:semiHidden/>
    <w:unhideWhenUsed/>
    <w:rsid w:val="004074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74CE"/>
    <w:rPr>
      <w:rFonts w:ascii="Segoe UI" w:hAnsi="Segoe UI" w:cs="Segoe UI"/>
      <w:sz w:val="18"/>
      <w:szCs w:val="18"/>
    </w:rPr>
  </w:style>
  <w:style w:type="character" w:styleId="CommentReference">
    <w:name w:val="annotation reference"/>
    <w:basedOn w:val="DefaultParagraphFont"/>
    <w:uiPriority w:val="99"/>
    <w:semiHidden/>
    <w:unhideWhenUsed/>
    <w:rsid w:val="00CC287B"/>
    <w:rPr>
      <w:sz w:val="16"/>
      <w:szCs w:val="16"/>
    </w:rPr>
  </w:style>
  <w:style w:type="paragraph" w:styleId="CommentText">
    <w:name w:val="annotation text"/>
    <w:basedOn w:val="Normal"/>
    <w:link w:val="CommentTextChar"/>
    <w:uiPriority w:val="99"/>
    <w:semiHidden/>
    <w:unhideWhenUsed/>
    <w:rsid w:val="00CC287B"/>
    <w:pPr>
      <w:spacing w:line="240" w:lineRule="auto"/>
    </w:pPr>
    <w:rPr>
      <w:sz w:val="20"/>
      <w:szCs w:val="20"/>
    </w:rPr>
  </w:style>
  <w:style w:type="character" w:customStyle="1" w:styleId="CommentTextChar">
    <w:name w:val="Comment Text Char"/>
    <w:basedOn w:val="DefaultParagraphFont"/>
    <w:link w:val="CommentText"/>
    <w:uiPriority w:val="99"/>
    <w:semiHidden/>
    <w:rsid w:val="00CC287B"/>
    <w:rPr>
      <w:sz w:val="20"/>
      <w:szCs w:val="20"/>
    </w:rPr>
  </w:style>
  <w:style w:type="paragraph" w:styleId="CommentSubject">
    <w:name w:val="annotation subject"/>
    <w:basedOn w:val="CommentText"/>
    <w:next w:val="CommentText"/>
    <w:link w:val="CommentSubjectChar"/>
    <w:uiPriority w:val="99"/>
    <w:semiHidden/>
    <w:unhideWhenUsed/>
    <w:rsid w:val="00CC287B"/>
    <w:rPr>
      <w:b/>
      <w:bCs/>
    </w:rPr>
  </w:style>
  <w:style w:type="character" w:customStyle="1" w:styleId="CommentSubjectChar">
    <w:name w:val="Comment Subject Char"/>
    <w:basedOn w:val="CommentTextChar"/>
    <w:link w:val="CommentSubject"/>
    <w:uiPriority w:val="99"/>
    <w:semiHidden/>
    <w:rsid w:val="00CC287B"/>
    <w:rPr>
      <w:b/>
      <w:bCs/>
      <w:sz w:val="20"/>
      <w:szCs w:val="20"/>
    </w:rPr>
  </w:style>
  <w:style w:type="paragraph" w:styleId="ListParagraph">
    <w:name w:val="List Paragraph"/>
    <w:basedOn w:val="Normal"/>
    <w:uiPriority w:val="34"/>
    <w:qFormat/>
    <w:rsid w:val="00E116AB"/>
    <w:pPr>
      <w:ind w:left="720"/>
      <w:contextualSpacing/>
    </w:pPr>
  </w:style>
  <w:style w:type="character" w:customStyle="1" w:styleId="UnresolvedMention2">
    <w:name w:val="Unresolved Mention2"/>
    <w:basedOn w:val="DefaultParagraphFont"/>
    <w:uiPriority w:val="99"/>
    <w:semiHidden/>
    <w:unhideWhenUsed/>
    <w:rsid w:val="00F159E6"/>
    <w:rPr>
      <w:color w:val="605E5C"/>
      <w:shd w:val="clear" w:color="auto" w:fill="E1DFDD"/>
    </w:rPr>
  </w:style>
  <w:style w:type="paragraph" w:styleId="Header">
    <w:name w:val="header"/>
    <w:basedOn w:val="Normal"/>
    <w:link w:val="HeaderChar"/>
    <w:uiPriority w:val="99"/>
    <w:unhideWhenUsed/>
    <w:rsid w:val="008248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48A6"/>
  </w:style>
  <w:style w:type="paragraph" w:styleId="Footer">
    <w:name w:val="footer"/>
    <w:basedOn w:val="Normal"/>
    <w:link w:val="FooterChar"/>
    <w:uiPriority w:val="99"/>
    <w:unhideWhenUsed/>
    <w:rsid w:val="008248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48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586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3n8a8pro7vhmx.cloudfront.net/eurodad/pages/1101/attachments/original/1602585821/WBG_covid_funding_FINAL.pdf?1602585821" TargetMode="External"/><Relationship Id="rId18" Type="http://schemas.openxmlformats.org/officeDocument/2006/relationships/hyperlink" Target="https://www.cgdev.org/sites/default/files/world-banks-covid-crisis-lending-big-enough-fast-enough-new-evidence-loan-disbursements.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jubileedebt.org.uk/wp-content/uploads/2020/10/IMF-and-World-Bank-debt-cancellation_10.20.pdf" TargetMode="External"/><Relationship Id="rId7" Type="http://schemas.openxmlformats.org/officeDocument/2006/relationships/webSettings" Target="webSettings.xml"/><Relationship Id="rId12" Type="http://schemas.openxmlformats.org/officeDocument/2006/relationships/hyperlink" Target="https://unctad.org/system/files/official-document/tdr2020_en.pdf" TargetMode="External"/><Relationship Id="rId17" Type="http://schemas.openxmlformats.org/officeDocument/2006/relationships/hyperlink" Target="https://www.ituc-csi.org/IMG/pdf/global_unions_statement_imf-wbg_10-2020_en.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gdev.org/blog/new-model-ifc-good-deal-ida-countries" TargetMode="External"/><Relationship Id="rId20" Type="http://schemas.openxmlformats.org/officeDocument/2006/relationships/hyperlink" Target="https://www.cgdev.org/publication/world-banks-covid-crisis-lending-big-enough-fast-enough-new-evidence-loan-disbursement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n.org/development/desa/dpad/wp-content/uploads/sites/45/publication/PB_81.pdf" TargetMode="External"/><Relationship Id="rId24" Type="http://schemas.openxmlformats.org/officeDocument/2006/relationships/hyperlink" Target="https://www.theguardian.com/society/2020/oct/19/covid-19-exposed-catastrophic-impact-privatising-vital-services" TargetMode="External"/><Relationship Id="rId5" Type="http://schemas.openxmlformats.org/officeDocument/2006/relationships/styles" Target="styles.xml"/><Relationship Id="rId15" Type="http://schemas.openxmlformats.org/officeDocument/2006/relationships/hyperlink" Target="https://ieg.worldbankgroup.org/sites/default/files/Data/Evaluation/files/CreatingMarkets.pdf" TargetMode="External"/><Relationship Id="rId23" Type="http://schemas.openxmlformats.org/officeDocument/2006/relationships/hyperlink" Target="https://onlinelibrary.wiley.com/doi/full/10.1111/dech.12517" TargetMode="External"/><Relationship Id="rId10" Type="http://schemas.openxmlformats.org/officeDocument/2006/relationships/hyperlink" Target="https://openknowledge.worldbank.org/bitstream/handle/10986/34496/9781464816024.pdf" TargetMode="External"/><Relationship Id="rId19" Type="http://schemas.openxmlformats.org/officeDocument/2006/relationships/hyperlink" Target="https://jacobinmag.com/2020/10/g20-world-bank-debt-service-suspens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eg.worldbankgroup.org/sites/default/files/Data/Evaluation/files/SME_Synthesis.pdf" TargetMode="External"/><Relationship Id="rId22" Type="http://schemas.openxmlformats.org/officeDocument/2006/relationships/hyperlink" Target="https://views-voices.oxfam.org.uk/2020/10/people-cant-afford-to-pay-for-health-care-in-a-pandemic-why-isnt-the-world-bank-doing-more-to-hel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3BA96B2A1B4943917D4E3596FA46E1" ma:contentTypeVersion="12" ma:contentTypeDescription="Create a new document." ma:contentTypeScope="" ma:versionID="a5ca7bbb55ec0409bb80c858339c3cc6">
  <xsd:schema xmlns:xsd="http://www.w3.org/2001/XMLSchema" xmlns:xs="http://www.w3.org/2001/XMLSchema" xmlns:p="http://schemas.microsoft.com/office/2006/metadata/properties" xmlns:ns2="235706e6-ea08-4025-b750-259fcea56d43" xmlns:ns3="909eb1bd-c34a-4f38-bcc6-0a442891abf3" targetNamespace="http://schemas.microsoft.com/office/2006/metadata/properties" ma:root="true" ma:fieldsID="5083f2b831d50a078616fdbbf28302b2" ns2:_="" ns3:_="">
    <xsd:import namespace="235706e6-ea08-4025-b750-259fcea56d43"/>
    <xsd:import namespace="909eb1bd-c34a-4f38-bcc6-0a442891abf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5706e6-ea08-4025-b750-259fcea56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9eb1bd-c34a-4f38-bcc6-0a442891abf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6CB85E-5689-4776-9B8E-3F660732EC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5706e6-ea08-4025-b750-259fcea56d43"/>
    <ds:schemaRef ds:uri="909eb1bd-c34a-4f38-bcc6-0a442891ab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225FF4-4EAB-4E7B-84F2-50B37585E9DE}">
  <ds:schemaRefs>
    <ds:schemaRef ds:uri="http://schemas.microsoft.com/sharepoint/v3/contenttype/forms"/>
  </ds:schemaRefs>
</ds:datastoreItem>
</file>

<file path=customXml/itemProps3.xml><?xml version="1.0" encoding="utf-8"?>
<ds:datastoreItem xmlns:ds="http://schemas.openxmlformats.org/officeDocument/2006/customXml" ds:itemID="{67A84146-EF4D-46DA-91AE-2588CDD3AF11}">
  <ds:schemaRefs>
    <ds:schemaRef ds:uri="909eb1bd-c34a-4f38-bcc6-0a442891abf3"/>
    <ds:schemaRef ds:uri="http://purl.org/dc/terms/"/>
    <ds:schemaRef ds:uri="http://schemas.microsoft.com/office/2006/metadata/properties"/>
    <ds:schemaRef ds:uri="http://purl.org/dc/elements/1.1/"/>
    <ds:schemaRef ds:uri="http://purl.org/dc/dcmitype/"/>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235706e6-ea08-4025-b750-259fcea56d43"/>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2553</Words>
  <Characters>13433</Characters>
  <Application>Microsoft Office Word</Application>
  <DocSecurity>4</DocSecurity>
  <Lines>312</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Luiz Vieira</dc:creator>
  <cp:keywords/>
  <dc:description/>
  <cp:lastModifiedBy>Luiz Vieira</cp:lastModifiedBy>
  <cp:revision>2</cp:revision>
  <dcterms:created xsi:type="dcterms:W3CDTF">2020-10-23T15:19:00Z</dcterms:created>
  <dcterms:modified xsi:type="dcterms:W3CDTF">2020-10-23T15:19:00Z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0x0101006D3BA96B2A1B4943917D4E3596FA46E1</vt:lpwstr>
  </property>
</Properties>
</file>