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B15" w:rsidRDefault="00DD4C91" w:rsidP="0091069B">
      <w:pPr>
        <w:jc w:val="center"/>
        <w:rPr>
          <w:rFonts w:ascii="Times New Roman" w:hAnsi="Times New Roman" w:cs="Times New Roman"/>
          <w:b/>
          <w:color w:val="C00000"/>
          <w:sz w:val="30"/>
          <w:szCs w:val="30"/>
          <w:lang w:val="en-GB"/>
        </w:rPr>
      </w:pPr>
      <w:bookmarkStart w:id="0" w:name="_GoBack"/>
      <w:r w:rsidRPr="00B30588">
        <w:rPr>
          <w:rFonts w:ascii="Times New Roman" w:hAnsi="Times New Roman" w:cs="Times New Roman"/>
          <w:b/>
          <w:color w:val="C00000"/>
          <w:sz w:val="30"/>
          <w:szCs w:val="30"/>
          <w:lang w:val="en-GB"/>
        </w:rPr>
        <w:t xml:space="preserve">Tax Justice Europe - Policy Recommendations </w:t>
      </w:r>
    </w:p>
    <w:p w:rsidR="00DD4C91" w:rsidRPr="00B30588" w:rsidRDefault="00DD4C91" w:rsidP="0091069B">
      <w:pPr>
        <w:jc w:val="center"/>
        <w:rPr>
          <w:rFonts w:ascii="Times New Roman" w:hAnsi="Times New Roman" w:cs="Times New Roman"/>
          <w:color w:val="C00000"/>
          <w:sz w:val="30"/>
          <w:szCs w:val="30"/>
          <w:lang w:val="en-GB"/>
        </w:rPr>
      </w:pPr>
      <w:r w:rsidRPr="00B30588">
        <w:rPr>
          <w:rFonts w:ascii="Times New Roman" w:hAnsi="Times New Roman" w:cs="Times New Roman"/>
          <w:color w:val="C00000"/>
          <w:sz w:val="30"/>
          <w:szCs w:val="30"/>
          <w:lang w:val="en-GB"/>
        </w:rPr>
        <w:t>(</w:t>
      </w:r>
      <w:r w:rsidR="00E5701E">
        <w:rPr>
          <w:rFonts w:ascii="Times New Roman" w:hAnsi="Times New Roman" w:cs="Times New Roman"/>
          <w:color w:val="C00000"/>
          <w:sz w:val="30"/>
          <w:szCs w:val="30"/>
          <w:lang w:val="en-GB"/>
        </w:rPr>
        <w:t>March 2021</w:t>
      </w:r>
      <w:r w:rsidRPr="00B30588">
        <w:rPr>
          <w:rFonts w:ascii="Times New Roman" w:hAnsi="Times New Roman" w:cs="Times New Roman"/>
          <w:color w:val="C00000"/>
          <w:sz w:val="30"/>
          <w:szCs w:val="30"/>
          <w:lang w:val="en-GB"/>
        </w:rPr>
        <w:t>)</w:t>
      </w:r>
    </w:p>
    <w:bookmarkEnd w:id="0"/>
    <w:p w:rsidR="0091069B" w:rsidRPr="00B30588" w:rsidRDefault="0091069B">
      <w:pPr>
        <w:rPr>
          <w:rFonts w:ascii="Times New Roman" w:hAnsi="Times New Roman" w:cs="Times New Roman"/>
          <w:sz w:val="20"/>
          <w:szCs w:val="20"/>
          <w:lang w:val="en-GB"/>
        </w:rPr>
      </w:pPr>
    </w:p>
    <w:p w:rsidR="001E4407" w:rsidRPr="00B30588" w:rsidRDefault="00DD4C91">
      <w:pPr>
        <w:rPr>
          <w:rFonts w:ascii="Times New Roman" w:hAnsi="Times New Roman" w:cs="Times New Roman"/>
          <w:lang w:val="en-GB"/>
        </w:rPr>
      </w:pPr>
      <w:r w:rsidRPr="00B30588">
        <w:rPr>
          <w:rFonts w:ascii="Times New Roman" w:hAnsi="Times New Roman" w:cs="Times New Roman"/>
          <w:lang w:val="en-GB"/>
        </w:rPr>
        <w:t>There are several recommendations that European governments and the EU institutions can – and must – take forward to help bring an end to the scandal of tax dodging and ensure tax justice.</w:t>
      </w:r>
    </w:p>
    <w:p w:rsidR="00DD4C91" w:rsidRPr="00B30588" w:rsidRDefault="00DD4C91">
      <w:pPr>
        <w:rPr>
          <w:rFonts w:ascii="Times New Roman" w:hAnsi="Times New Roman" w:cs="Times New Roman"/>
          <w:b/>
          <w:color w:val="C00000"/>
          <w:lang w:val="en-GB"/>
        </w:rPr>
      </w:pPr>
      <w:r w:rsidRPr="00B30588">
        <w:rPr>
          <w:rFonts w:ascii="Times New Roman" w:hAnsi="Times New Roman" w:cs="Times New Roman"/>
          <w:b/>
          <w:color w:val="C00000"/>
          <w:lang w:val="en-GB"/>
        </w:rPr>
        <w:t xml:space="preserve">Tax policies </w:t>
      </w:r>
    </w:p>
    <w:p w:rsidR="00013E67" w:rsidRPr="00B30588" w:rsidRDefault="00DD4C91">
      <w:pPr>
        <w:rPr>
          <w:rFonts w:ascii="Times New Roman" w:hAnsi="Times New Roman" w:cs="Times New Roman"/>
          <w:lang w:val="en-GB"/>
        </w:rPr>
      </w:pPr>
      <w:r w:rsidRPr="00B30588">
        <w:rPr>
          <w:rFonts w:ascii="Times New Roman" w:hAnsi="Times New Roman" w:cs="Times New Roman"/>
          <w:lang w:val="en-GB"/>
        </w:rPr>
        <w:t>Governments and EU institutions must</w:t>
      </w:r>
      <w:r w:rsidR="00013E67" w:rsidRPr="00B30588">
        <w:rPr>
          <w:rFonts w:ascii="Times New Roman" w:hAnsi="Times New Roman" w:cs="Times New Roman"/>
          <w:lang w:val="en-GB"/>
        </w:rPr>
        <w:t>:</w:t>
      </w:r>
      <w:r w:rsidRPr="00B30588">
        <w:rPr>
          <w:rFonts w:ascii="Times New Roman" w:hAnsi="Times New Roman" w:cs="Times New Roman"/>
          <w:lang w:val="en-GB"/>
        </w:rPr>
        <w:t xml:space="preserve"> </w:t>
      </w:r>
    </w:p>
    <w:p w:rsidR="00013E67" w:rsidRPr="00B30588" w:rsidRDefault="00013E67" w:rsidP="0091069B">
      <w:pPr>
        <w:pStyle w:val="ListParagraph"/>
        <w:numPr>
          <w:ilvl w:val="0"/>
          <w:numId w:val="1"/>
        </w:numPr>
        <w:rPr>
          <w:rFonts w:ascii="Times New Roman" w:hAnsi="Times New Roman" w:cs="Times New Roman"/>
          <w:lang w:val="en-GB"/>
        </w:rPr>
      </w:pPr>
      <w:r w:rsidRPr="00B30588">
        <w:rPr>
          <w:rFonts w:ascii="Times New Roman" w:hAnsi="Times New Roman" w:cs="Times New Roman"/>
          <w:lang w:val="en-GB"/>
        </w:rPr>
        <w:t>P</w:t>
      </w:r>
      <w:r w:rsidR="00DD4C91" w:rsidRPr="00B30588">
        <w:rPr>
          <w:rFonts w:ascii="Times New Roman" w:hAnsi="Times New Roman" w:cs="Times New Roman"/>
          <w:lang w:val="en-GB"/>
        </w:rPr>
        <w:t xml:space="preserve">romote </w:t>
      </w:r>
      <w:r w:rsidR="00DD4C91" w:rsidRPr="00B30588">
        <w:rPr>
          <w:rFonts w:ascii="Times New Roman" w:hAnsi="Times New Roman" w:cs="Times New Roman"/>
          <w:b/>
          <w:lang w:val="en-GB"/>
        </w:rPr>
        <w:t>progressive tax systems</w:t>
      </w:r>
      <w:r w:rsidR="00DD4C91" w:rsidRPr="00B30588">
        <w:rPr>
          <w:rFonts w:ascii="Times New Roman" w:hAnsi="Times New Roman" w:cs="Times New Roman"/>
          <w:lang w:val="en-GB"/>
        </w:rPr>
        <w:t xml:space="preserve"> to counter rising </w:t>
      </w:r>
      <w:r w:rsidR="00DD4C91" w:rsidRPr="00B30588">
        <w:rPr>
          <w:rFonts w:ascii="Times New Roman" w:hAnsi="Times New Roman" w:cs="Times New Roman"/>
          <w:b/>
          <w:lang w:val="en-GB"/>
        </w:rPr>
        <w:t>inequality</w:t>
      </w:r>
      <w:r w:rsidR="00DD4C91" w:rsidRPr="00B30588">
        <w:rPr>
          <w:rFonts w:ascii="Times New Roman" w:hAnsi="Times New Roman" w:cs="Times New Roman"/>
          <w:lang w:val="en-GB"/>
        </w:rPr>
        <w:t>;</w:t>
      </w:r>
    </w:p>
    <w:p w:rsidR="00013E67" w:rsidRPr="00B30588" w:rsidRDefault="00013E67" w:rsidP="0091069B">
      <w:pPr>
        <w:pStyle w:val="ListParagraph"/>
        <w:numPr>
          <w:ilvl w:val="0"/>
          <w:numId w:val="1"/>
        </w:numPr>
        <w:rPr>
          <w:rFonts w:ascii="Times New Roman" w:hAnsi="Times New Roman" w:cs="Times New Roman"/>
          <w:lang w:val="en-GB"/>
        </w:rPr>
      </w:pPr>
      <w:r w:rsidRPr="00B30588">
        <w:rPr>
          <w:rFonts w:ascii="Times New Roman" w:hAnsi="Times New Roman" w:cs="Times New Roman"/>
          <w:lang w:val="en-GB"/>
        </w:rPr>
        <w:t>E</w:t>
      </w:r>
      <w:r w:rsidR="00DD4C91" w:rsidRPr="00B30588">
        <w:rPr>
          <w:rFonts w:ascii="Times New Roman" w:hAnsi="Times New Roman" w:cs="Times New Roman"/>
          <w:lang w:val="en-GB"/>
        </w:rPr>
        <w:t xml:space="preserve">nsure that tax policies promote </w:t>
      </w:r>
      <w:r w:rsidR="00DD4C91" w:rsidRPr="00B30588">
        <w:rPr>
          <w:rFonts w:ascii="Times New Roman" w:hAnsi="Times New Roman" w:cs="Times New Roman"/>
          <w:b/>
          <w:lang w:val="en-GB"/>
        </w:rPr>
        <w:t>gender equality</w:t>
      </w:r>
      <w:r w:rsidR="00DD4C91" w:rsidRPr="00B30588">
        <w:rPr>
          <w:rFonts w:ascii="Times New Roman" w:hAnsi="Times New Roman" w:cs="Times New Roman"/>
          <w:lang w:val="en-GB"/>
        </w:rPr>
        <w:t xml:space="preserve"> and are fully in line with </w:t>
      </w:r>
      <w:r w:rsidR="00DD4C91" w:rsidRPr="00B30588">
        <w:rPr>
          <w:rFonts w:ascii="Times New Roman" w:hAnsi="Times New Roman" w:cs="Times New Roman"/>
          <w:b/>
          <w:lang w:val="en-GB"/>
        </w:rPr>
        <w:t>policy coherence for development</w:t>
      </w:r>
      <w:r w:rsidR="00DD4C91" w:rsidRPr="00B30588">
        <w:rPr>
          <w:rFonts w:ascii="Times New Roman" w:hAnsi="Times New Roman" w:cs="Times New Roman"/>
          <w:lang w:val="en-GB"/>
        </w:rPr>
        <w:t>;</w:t>
      </w:r>
    </w:p>
    <w:p w:rsidR="00013E67" w:rsidRPr="00B30588" w:rsidRDefault="00013E67" w:rsidP="0091069B">
      <w:pPr>
        <w:pStyle w:val="ListParagraph"/>
        <w:numPr>
          <w:ilvl w:val="0"/>
          <w:numId w:val="1"/>
        </w:numPr>
        <w:rPr>
          <w:rFonts w:ascii="Times New Roman" w:hAnsi="Times New Roman" w:cs="Times New Roman"/>
          <w:lang w:val="en-GB"/>
        </w:rPr>
      </w:pPr>
      <w:r w:rsidRPr="00B30588">
        <w:rPr>
          <w:rFonts w:ascii="Times New Roman" w:hAnsi="Times New Roman" w:cs="Times New Roman"/>
          <w:lang w:val="en-GB"/>
        </w:rPr>
        <w:t>S</w:t>
      </w:r>
      <w:r w:rsidR="00DD4C91" w:rsidRPr="00B30588">
        <w:rPr>
          <w:rFonts w:ascii="Times New Roman" w:hAnsi="Times New Roman" w:cs="Times New Roman"/>
          <w:lang w:val="en-GB"/>
        </w:rPr>
        <w:t xml:space="preserve">top the </w:t>
      </w:r>
      <w:r w:rsidR="00DD4C91" w:rsidRPr="00B30588">
        <w:rPr>
          <w:rFonts w:ascii="Times New Roman" w:hAnsi="Times New Roman" w:cs="Times New Roman"/>
          <w:b/>
          <w:lang w:val="en-GB"/>
        </w:rPr>
        <w:t>race to the bottom on corporate taxation</w:t>
      </w:r>
      <w:r w:rsidRPr="00B30588">
        <w:rPr>
          <w:rFonts w:ascii="Times New Roman" w:hAnsi="Times New Roman" w:cs="Times New Roman"/>
          <w:lang w:val="en-GB"/>
        </w:rPr>
        <w:t>. The includes the trend towards</w:t>
      </w:r>
      <w:r w:rsidR="00DD4C91" w:rsidRPr="00B30588">
        <w:rPr>
          <w:rFonts w:ascii="Times New Roman" w:hAnsi="Times New Roman" w:cs="Times New Roman"/>
          <w:lang w:val="en-GB"/>
        </w:rPr>
        <w:t xml:space="preserve"> lowering corporate tax rates and using harmful tax practices that facilitate corporate tax avoidance. </w:t>
      </w:r>
    </w:p>
    <w:p w:rsidR="00DD4C91" w:rsidRPr="00B30588" w:rsidRDefault="00DD4C91">
      <w:pPr>
        <w:rPr>
          <w:rFonts w:ascii="Times New Roman" w:hAnsi="Times New Roman" w:cs="Times New Roman"/>
          <w:lang w:val="en-GB"/>
        </w:rPr>
      </w:pPr>
      <w:r w:rsidRPr="00B30588">
        <w:rPr>
          <w:rFonts w:ascii="Times New Roman" w:hAnsi="Times New Roman" w:cs="Times New Roman"/>
          <w:lang w:val="en-GB"/>
        </w:rPr>
        <w:t xml:space="preserve">For this purpose, they should: </w:t>
      </w:r>
    </w:p>
    <w:p w:rsidR="00DD4C91" w:rsidRPr="00B30588" w:rsidRDefault="00DD4C91">
      <w:pPr>
        <w:rPr>
          <w:rFonts w:ascii="Times New Roman" w:hAnsi="Times New Roman" w:cs="Times New Roman"/>
          <w:lang w:val="en-GB"/>
        </w:rPr>
      </w:pPr>
      <w:r w:rsidRPr="00B30588">
        <w:rPr>
          <w:rFonts w:ascii="Times New Roman" w:hAnsi="Times New Roman" w:cs="Times New Roman"/>
          <w:lang w:val="en-GB"/>
        </w:rPr>
        <w:t xml:space="preserve">1. Carry out and publish </w:t>
      </w:r>
      <w:r w:rsidRPr="00B30588">
        <w:rPr>
          <w:rFonts w:ascii="Times New Roman" w:hAnsi="Times New Roman" w:cs="Times New Roman"/>
          <w:b/>
          <w:lang w:val="en-GB"/>
        </w:rPr>
        <w:t>spill-over analyses</w:t>
      </w:r>
      <w:r w:rsidRPr="00B30588">
        <w:rPr>
          <w:rFonts w:ascii="Times New Roman" w:hAnsi="Times New Roman" w:cs="Times New Roman"/>
          <w:lang w:val="en-GB"/>
        </w:rPr>
        <w:t xml:space="preserve"> of all national</w:t>
      </w:r>
      <w:r w:rsidR="00013E67" w:rsidRPr="00B30588">
        <w:rPr>
          <w:rFonts w:ascii="Times New Roman" w:hAnsi="Times New Roman" w:cs="Times New Roman"/>
          <w:lang w:val="en-GB"/>
        </w:rPr>
        <w:t>,</w:t>
      </w:r>
      <w:r w:rsidRPr="00B30588">
        <w:rPr>
          <w:rFonts w:ascii="Times New Roman" w:hAnsi="Times New Roman" w:cs="Times New Roman"/>
          <w:lang w:val="en-GB"/>
        </w:rPr>
        <w:t xml:space="preserve"> EU-level</w:t>
      </w:r>
      <w:r w:rsidR="00013E67" w:rsidRPr="00B30588">
        <w:rPr>
          <w:rFonts w:ascii="Times New Roman" w:hAnsi="Times New Roman" w:cs="Times New Roman"/>
          <w:lang w:val="en-GB"/>
        </w:rPr>
        <w:t xml:space="preserve"> and global</w:t>
      </w:r>
      <w:r w:rsidRPr="00B30588">
        <w:rPr>
          <w:rFonts w:ascii="Times New Roman" w:hAnsi="Times New Roman" w:cs="Times New Roman"/>
          <w:lang w:val="en-GB"/>
        </w:rPr>
        <w:t xml:space="preserve"> tax policies, including </w:t>
      </w:r>
      <w:r w:rsidR="00F707E5" w:rsidRPr="00B30588">
        <w:rPr>
          <w:rFonts w:ascii="Times New Roman" w:hAnsi="Times New Roman" w:cs="Times New Roman"/>
          <w:lang w:val="en-GB"/>
        </w:rPr>
        <w:t xml:space="preserve">policies relating to </w:t>
      </w:r>
      <w:r w:rsidRPr="00B30588">
        <w:rPr>
          <w:rFonts w:ascii="Times New Roman" w:hAnsi="Times New Roman" w:cs="Times New Roman"/>
          <w:lang w:val="en-GB"/>
        </w:rPr>
        <w:t xml:space="preserve">special purpose entities, tax treaties and incentives for multinational corporations, in order to assess the impacts on developing countries, and remove or reform policies and practices that have negative impacts on developing countries. </w:t>
      </w:r>
    </w:p>
    <w:p w:rsidR="00DD4C91" w:rsidRPr="00B30588" w:rsidRDefault="00DD4C91">
      <w:pPr>
        <w:rPr>
          <w:rFonts w:ascii="Times New Roman" w:hAnsi="Times New Roman" w:cs="Times New Roman"/>
          <w:lang w:val="en-GB"/>
        </w:rPr>
      </w:pPr>
      <w:r w:rsidRPr="00B30588">
        <w:rPr>
          <w:rFonts w:ascii="Times New Roman" w:hAnsi="Times New Roman" w:cs="Times New Roman"/>
          <w:lang w:val="en-GB"/>
        </w:rPr>
        <w:t xml:space="preserve">2. </w:t>
      </w:r>
      <w:r w:rsidR="00F707E5" w:rsidRPr="00B30588">
        <w:rPr>
          <w:rFonts w:ascii="Times New Roman" w:hAnsi="Times New Roman" w:cs="Times New Roman"/>
          <w:lang w:val="en-GB"/>
        </w:rPr>
        <w:t xml:space="preserve">Support that the current international transfer pricing system, including the arm’s length principle, be replaced by a system that </w:t>
      </w:r>
      <w:r w:rsidR="00F707E5" w:rsidRPr="00B30588">
        <w:rPr>
          <w:rFonts w:ascii="Times New Roman" w:hAnsi="Times New Roman" w:cs="Times New Roman"/>
          <w:b/>
          <w:lang w:val="en-GB"/>
        </w:rPr>
        <w:t>taxes multinational corporations on the basis of their global consolidated profits</w:t>
      </w:r>
      <w:r w:rsidR="00F707E5" w:rsidRPr="00B30588">
        <w:rPr>
          <w:rFonts w:ascii="Times New Roman" w:hAnsi="Times New Roman" w:cs="Times New Roman"/>
          <w:lang w:val="en-GB"/>
        </w:rPr>
        <w:t>, with taxing rights being allocated between governments based on an agreed</w:t>
      </w:r>
      <w:r w:rsidR="00B30588" w:rsidRPr="00B30588">
        <w:rPr>
          <w:rFonts w:ascii="Times New Roman" w:hAnsi="Times New Roman" w:cs="Times New Roman"/>
          <w:lang w:val="en-GB"/>
        </w:rPr>
        <w:t xml:space="preserve"> and balanced</w:t>
      </w:r>
      <w:r w:rsidR="00F707E5" w:rsidRPr="00B30588">
        <w:rPr>
          <w:rFonts w:ascii="Times New Roman" w:hAnsi="Times New Roman" w:cs="Times New Roman"/>
          <w:lang w:val="en-GB"/>
        </w:rPr>
        <w:t xml:space="preserve"> formula.</w:t>
      </w:r>
      <w:r w:rsidR="000A558F" w:rsidRPr="00B30588">
        <w:rPr>
          <w:rFonts w:ascii="Times New Roman" w:hAnsi="Times New Roman" w:cs="Times New Roman"/>
          <w:lang w:val="en-GB"/>
        </w:rPr>
        <w:t xml:space="preserve"> </w:t>
      </w:r>
    </w:p>
    <w:p w:rsidR="00AD26BA" w:rsidRPr="00B30588" w:rsidRDefault="000A558F">
      <w:pPr>
        <w:rPr>
          <w:rFonts w:ascii="Times New Roman" w:hAnsi="Times New Roman" w:cs="Times New Roman"/>
          <w:lang w:val="en-GB"/>
        </w:rPr>
      </w:pPr>
      <w:r w:rsidRPr="00B30588">
        <w:rPr>
          <w:rFonts w:ascii="Times New Roman" w:hAnsi="Times New Roman" w:cs="Times New Roman"/>
          <w:lang w:val="en-GB"/>
        </w:rPr>
        <w:t xml:space="preserve">3. </w:t>
      </w:r>
      <w:bookmarkStart w:id="1" w:name="_Hlk32828785"/>
      <w:r w:rsidRPr="00B30588">
        <w:rPr>
          <w:rFonts w:ascii="Times New Roman" w:hAnsi="Times New Roman" w:cs="Times New Roman"/>
          <w:lang w:val="en-GB"/>
        </w:rPr>
        <w:t xml:space="preserve">Support an international </w:t>
      </w:r>
      <w:r w:rsidRPr="00B30588">
        <w:rPr>
          <w:rFonts w:ascii="Times New Roman" w:hAnsi="Times New Roman" w:cs="Times New Roman"/>
          <w:b/>
          <w:lang w:val="en-GB"/>
        </w:rPr>
        <w:t>minimum effective corporate</w:t>
      </w:r>
      <w:r w:rsidR="00B30588" w:rsidRPr="00B30588">
        <w:rPr>
          <w:rFonts w:ascii="Times New Roman" w:hAnsi="Times New Roman" w:cs="Times New Roman"/>
          <w:b/>
          <w:lang w:val="en-GB"/>
        </w:rPr>
        <w:t xml:space="preserve"> tax rate </w:t>
      </w:r>
      <w:r w:rsidR="00B30588" w:rsidRPr="00B30588">
        <w:rPr>
          <w:rFonts w:ascii="Times New Roman" w:hAnsi="Times New Roman" w:cs="Times New Roman"/>
          <w:sz w:val="24"/>
          <w:szCs w:val="24"/>
          <w:lang w:val="en-US"/>
        </w:rPr>
        <w:t>that is high enough to stop the global race to the bottom. For example, the highly respected Independent Commission for the Reform of International Corporate Taxation has suggested that such a rate be set at 25</w:t>
      </w:r>
      <w:r w:rsidR="00113902">
        <w:rPr>
          <w:rFonts w:ascii="Times New Roman" w:hAnsi="Times New Roman" w:cs="Times New Roman"/>
          <w:sz w:val="24"/>
          <w:szCs w:val="24"/>
          <w:lang w:val="en-US"/>
        </w:rPr>
        <w:t xml:space="preserve"> </w:t>
      </w:r>
      <w:r w:rsidR="00B30588" w:rsidRPr="00B30588">
        <w:rPr>
          <w:rFonts w:ascii="Times New Roman" w:hAnsi="Times New Roman" w:cs="Times New Roman"/>
          <w:sz w:val="24"/>
          <w:szCs w:val="24"/>
          <w:lang w:val="en-US"/>
        </w:rPr>
        <w:t>per cent</w:t>
      </w:r>
      <w:bookmarkEnd w:id="1"/>
      <w:r w:rsidR="00B30588" w:rsidRPr="00B30588">
        <w:rPr>
          <w:rFonts w:ascii="Times New Roman" w:hAnsi="Times New Roman" w:cs="Times New Roman"/>
          <w:sz w:val="24"/>
          <w:szCs w:val="24"/>
          <w:lang w:val="en-US"/>
        </w:rPr>
        <w:t>.</w:t>
      </w:r>
      <w:r w:rsidR="00AD26BA" w:rsidRPr="00B30588">
        <w:rPr>
          <w:rStyle w:val="FootnoteReference"/>
          <w:rFonts w:ascii="Times New Roman" w:hAnsi="Times New Roman" w:cs="Times New Roman"/>
          <w:sz w:val="24"/>
          <w:szCs w:val="24"/>
        </w:rPr>
        <w:footnoteReference w:id="1"/>
      </w:r>
    </w:p>
    <w:p w:rsidR="00DD4C91" w:rsidRPr="00B30588" w:rsidRDefault="0091069B">
      <w:pPr>
        <w:rPr>
          <w:rFonts w:ascii="Times New Roman" w:hAnsi="Times New Roman" w:cs="Times New Roman"/>
          <w:lang w:val="en-GB"/>
        </w:rPr>
      </w:pPr>
      <w:r w:rsidRPr="00B30588">
        <w:rPr>
          <w:rFonts w:ascii="Times New Roman" w:hAnsi="Times New Roman" w:cs="Times New Roman"/>
          <w:lang w:val="en-GB"/>
        </w:rPr>
        <w:t>4</w:t>
      </w:r>
      <w:r w:rsidR="00DD4C91" w:rsidRPr="00B30588">
        <w:rPr>
          <w:rFonts w:ascii="Times New Roman" w:hAnsi="Times New Roman" w:cs="Times New Roman"/>
          <w:lang w:val="en-GB"/>
        </w:rPr>
        <w:t xml:space="preserve">. Support a proposal on a </w:t>
      </w:r>
      <w:r w:rsidR="00DD4C91" w:rsidRPr="00B30588">
        <w:rPr>
          <w:rFonts w:ascii="Times New Roman" w:hAnsi="Times New Roman" w:cs="Times New Roman"/>
          <w:b/>
          <w:lang w:val="en-GB"/>
        </w:rPr>
        <w:t>Common Consolidated Corporate Tax Base</w:t>
      </w:r>
      <w:r w:rsidR="00DD4C91" w:rsidRPr="00B30588">
        <w:rPr>
          <w:rFonts w:ascii="Times New Roman" w:hAnsi="Times New Roman" w:cs="Times New Roman"/>
          <w:lang w:val="en-GB"/>
        </w:rPr>
        <w:t xml:space="preserve"> (CCCTB) at the EU level that includes the consolidation and apportionment of profits, and avoid introducing new mechanisms that can be abused by multinational corporations to dodge taxes, including large-scale tax deductions. </w:t>
      </w:r>
    </w:p>
    <w:p w:rsidR="00DD4C91" w:rsidRPr="00B30588" w:rsidRDefault="00DD4C91">
      <w:pPr>
        <w:rPr>
          <w:rFonts w:ascii="Times New Roman" w:hAnsi="Times New Roman" w:cs="Times New Roman"/>
          <w:lang w:val="en-GB"/>
        </w:rPr>
      </w:pPr>
      <w:r w:rsidRPr="00B30588">
        <w:rPr>
          <w:rFonts w:ascii="Times New Roman" w:hAnsi="Times New Roman" w:cs="Times New Roman"/>
          <w:lang w:val="en-GB"/>
        </w:rPr>
        <w:t>5. Stop the spread of, and remove existing</w:t>
      </w:r>
      <w:r w:rsidR="008B0442" w:rsidRPr="00B30588">
        <w:rPr>
          <w:rFonts w:ascii="Times New Roman" w:hAnsi="Times New Roman" w:cs="Times New Roman"/>
          <w:lang w:val="en-GB"/>
        </w:rPr>
        <w:t>,</w:t>
      </w:r>
      <w:r w:rsidRPr="00B30588">
        <w:rPr>
          <w:rFonts w:ascii="Times New Roman" w:hAnsi="Times New Roman" w:cs="Times New Roman"/>
          <w:lang w:val="en-GB"/>
        </w:rPr>
        <w:t xml:space="preserve"> </w:t>
      </w:r>
      <w:r w:rsidRPr="00B30588">
        <w:rPr>
          <w:rFonts w:ascii="Times New Roman" w:hAnsi="Times New Roman" w:cs="Times New Roman"/>
          <w:b/>
          <w:lang w:val="en-GB"/>
        </w:rPr>
        <w:t>patent boxes</w:t>
      </w:r>
      <w:r w:rsidRPr="00B30588">
        <w:rPr>
          <w:rFonts w:ascii="Times New Roman" w:hAnsi="Times New Roman" w:cs="Times New Roman"/>
          <w:lang w:val="en-GB"/>
        </w:rPr>
        <w:t xml:space="preserve"> and similar harmful structures. </w:t>
      </w:r>
    </w:p>
    <w:p w:rsidR="00DD4C91" w:rsidRPr="00B30588" w:rsidRDefault="0091069B">
      <w:pPr>
        <w:rPr>
          <w:rFonts w:ascii="Times New Roman" w:hAnsi="Times New Roman" w:cs="Times New Roman"/>
          <w:lang w:val="en-GB"/>
        </w:rPr>
      </w:pPr>
      <w:r w:rsidRPr="00B30588">
        <w:rPr>
          <w:rFonts w:ascii="Times New Roman" w:hAnsi="Times New Roman" w:cs="Times New Roman"/>
          <w:lang w:val="en-GB"/>
        </w:rPr>
        <w:t>6</w:t>
      </w:r>
      <w:r w:rsidR="00DD4C91" w:rsidRPr="00B30588">
        <w:rPr>
          <w:rFonts w:ascii="Times New Roman" w:hAnsi="Times New Roman" w:cs="Times New Roman"/>
          <w:lang w:val="en-GB"/>
        </w:rPr>
        <w:t xml:space="preserve">. Ensure that </w:t>
      </w:r>
      <w:r w:rsidR="00DD4C91" w:rsidRPr="00B30588">
        <w:rPr>
          <w:rFonts w:ascii="Times New Roman" w:hAnsi="Times New Roman" w:cs="Times New Roman"/>
          <w:b/>
          <w:lang w:val="en-GB"/>
        </w:rPr>
        <w:t>tax advisors</w:t>
      </w:r>
      <w:r w:rsidR="00DD4C91" w:rsidRPr="00B30588">
        <w:rPr>
          <w:rFonts w:ascii="Times New Roman" w:hAnsi="Times New Roman" w:cs="Times New Roman"/>
          <w:lang w:val="en-GB"/>
        </w:rPr>
        <w:t xml:space="preserve"> are legally liable for promoting and advising on</w:t>
      </w:r>
      <w:r w:rsidR="008B0442" w:rsidRPr="00B30588">
        <w:rPr>
          <w:rFonts w:ascii="Times New Roman" w:hAnsi="Times New Roman" w:cs="Times New Roman"/>
          <w:lang w:val="en-GB"/>
        </w:rPr>
        <w:t xml:space="preserve"> practices that violate the law, and require tax advisors to publish a detailed outline of all types of cross-border tax schemes, on which they are advising multinational corporations. </w:t>
      </w:r>
    </w:p>
    <w:p w:rsidR="00DD4C91" w:rsidRPr="00B30588" w:rsidRDefault="0091069B" w:rsidP="007608B5">
      <w:pPr>
        <w:spacing w:after="0"/>
        <w:rPr>
          <w:rFonts w:ascii="Times New Roman" w:hAnsi="Times New Roman" w:cs="Times New Roman"/>
          <w:lang w:val="en-GB"/>
        </w:rPr>
      </w:pPr>
      <w:r w:rsidRPr="00B30588">
        <w:rPr>
          <w:rFonts w:ascii="Times New Roman" w:hAnsi="Times New Roman" w:cs="Times New Roman"/>
          <w:lang w:val="en-GB"/>
        </w:rPr>
        <w:t>7</w:t>
      </w:r>
      <w:r w:rsidR="00DD4C91" w:rsidRPr="00B30588">
        <w:rPr>
          <w:rFonts w:ascii="Times New Roman" w:hAnsi="Times New Roman" w:cs="Times New Roman"/>
          <w:lang w:val="en-GB"/>
        </w:rPr>
        <w:t>. If negotiating or renegotiating</w:t>
      </w:r>
      <w:r w:rsidR="00DD4C91" w:rsidRPr="00B30588">
        <w:rPr>
          <w:rFonts w:ascii="Times New Roman" w:hAnsi="Times New Roman" w:cs="Times New Roman"/>
          <w:b/>
          <w:lang w:val="en-GB"/>
        </w:rPr>
        <w:t xml:space="preserve"> tax treaties </w:t>
      </w:r>
      <w:r w:rsidR="00DD4C91" w:rsidRPr="00B30588">
        <w:rPr>
          <w:rFonts w:ascii="Times New Roman" w:hAnsi="Times New Roman" w:cs="Times New Roman"/>
          <w:lang w:val="en-GB"/>
        </w:rPr>
        <w:t xml:space="preserve">with developing countries, governments should: </w:t>
      </w:r>
    </w:p>
    <w:p w:rsidR="00DD4C91" w:rsidRPr="00B30588" w:rsidRDefault="00DD4C91" w:rsidP="007608B5">
      <w:pPr>
        <w:spacing w:after="0"/>
        <w:rPr>
          <w:rFonts w:ascii="Times New Roman" w:hAnsi="Times New Roman" w:cs="Times New Roman"/>
          <w:lang w:val="en-GB"/>
        </w:rPr>
      </w:pPr>
      <w:r w:rsidRPr="00B30588">
        <w:rPr>
          <w:rFonts w:ascii="Times New Roman" w:hAnsi="Times New Roman" w:cs="Times New Roman"/>
          <w:lang w:val="en-GB"/>
        </w:rPr>
        <w:lastRenderedPageBreak/>
        <w:t xml:space="preserve">• Conduct and publish a comprehensive impact assessment to analyse the impact on the developing country and ensure that negative impacts are avoided; </w:t>
      </w:r>
    </w:p>
    <w:p w:rsidR="00DD4C91" w:rsidRPr="00B30588" w:rsidRDefault="00DD4C91" w:rsidP="00ED4AAF">
      <w:pPr>
        <w:spacing w:after="0"/>
        <w:rPr>
          <w:rFonts w:ascii="Times New Roman" w:hAnsi="Times New Roman" w:cs="Times New Roman"/>
          <w:lang w:val="en-GB"/>
        </w:rPr>
      </w:pPr>
      <w:r w:rsidRPr="00B30588">
        <w:rPr>
          <w:rFonts w:ascii="Times New Roman" w:hAnsi="Times New Roman" w:cs="Times New Roman"/>
          <w:lang w:val="en-GB"/>
        </w:rPr>
        <w:t xml:space="preserve">• Fully respect source country rights to tax the profits generated by business activities in their countries, and stop reducing withholding tax rates; </w:t>
      </w:r>
    </w:p>
    <w:p w:rsidR="00ED4AAF" w:rsidRDefault="00DD4C91" w:rsidP="00ED4AAF">
      <w:pPr>
        <w:spacing w:after="0"/>
        <w:rPr>
          <w:rFonts w:ascii="Times New Roman" w:hAnsi="Times New Roman" w:cs="Times New Roman"/>
          <w:lang w:val="en-GB"/>
        </w:rPr>
      </w:pPr>
      <w:r w:rsidRPr="00B30588">
        <w:rPr>
          <w:rFonts w:ascii="Times New Roman" w:hAnsi="Times New Roman" w:cs="Times New Roman"/>
          <w:lang w:val="en-GB"/>
        </w:rPr>
        <w:t>• Ensure full transparency around every step of treaty negotiations as well as effective participation by civil society and parliamentarians.</w:t>
      </w:r>
    </w:p>
    <w:p w:rsidR="00E5701E" w:rsidRDefault="00E5701E" w:rsidP="00ED4AAF">
      <w:pPr>
        <w:spacing w:after="0"/>
        <w:rPr>
          <w:rFonts w:ascii="Times New Roman" w:hAnsi="Times New Roman" w:cs="Times New Roman"/>
          <w:lang w:val="en-GB"/>
        </w:rPr>
      </w:pPr>
    </w:p>
    <w:p w:rsidR="00E5701E" w:rsidRDefault="00E5701E" w:rsidP="00ED4AAF">
      <w:pPr>
        <w:spacing w:after="0"/>
        <w:rPr>
          <w:rFonts w:ascii="Times New Roman" w:hAnsi="Times New Roman" w:cs="Times New Roman"/>
          <w:lang w:val="en-GB"/>
        </w:rPr>
      </w:pPr>
      <w:r>
        <w:rPr>
          <w:rFonts w:ascii="Times New Roman" w:hAnsi="Times New Roman" w:cs="Times New Roman"/>
          <w:lang w:val="en-GB"/>
        </w:rPr>
        <w:t xml:space="preserve">New point. At the national level, governments must ensure that their national tax systems are progressive and counter inequalities, including gender inequalities. Especially in the context of the socio-economic crisis induced by the COVID-19 pandemic, governments should consider introducing or strengthening wealth taxes and excess profit taxes. These measures can be introduced on a temporary basis to combat the crisis. However, based on the experiences with temporary measures, governments should consider introducing such measures on a permanent basis. </w:t>
      </w:r>
    </w:p>
    <w:p w:rsidR="00E5701E" w:rsidRPr="00B30588" w:rsidRDefault="00E5701E" w:rsidP="00ED4AAF">
      <w:pPr>
        <w:spacing w:after="0"/>
        <w:rPr>
          <w:rFonts w:ascii="Times New Roman" w:hAnsi="Times New Roman" w:cs="Times New Roman"/>
          <w:lang w:val="en-GB"/>
        </w:rPr>
      </w:pPr>
    </w:p>
    <w:p w:rsidR="008B0442" w:rsidRPr="00B30588" w:rsidRDefault="008B0442" w:rsidP="00ED4AAF">
      <w:pPr>
        <w:spacing w:after="0"/>
        <w:rPr>
          <w:rFonts w:ascii="Times New Roman" w:hAnsi="Times New Roman" w:cs="Times New Roman"/>
          <w:b/>
          <w:lang w:val="en-GB"/>
        </w:rPr>
      </w:pPr>
    </w:p>
    <w:p w:rsidR="00DD4C91" w:rsidRPr="00B30588" w:rsidRDefault="00DD4C91">
      <w:pPr>
        <w:rPr>
          <w:rFonts w:ascii="Times New Roman" w:hAnsi="Times New Roman" w:cs="Times New Roman"/>
          <w:b/>
          <w:color w:val="C00000"/>
          <w:lang w:val="en-GB"/>
        </w:rPr>
      </w:pPr>
      <w:r w:rsidRPr="00B30588">
        <w:rPr>
          <w:rFonts w:ascii="Times New Roman" w:hAnsi="Times New Roman" w:cs="Times New Roman"/>
          <w:b/>
          <w:color w:val="C00000"/>
          <w:lang w:val="en-GB"/>
        </w:rPr>
        <w:t xml:space="preserve">Transparency </w:t>
      </w:r>
    </w:p>
    <w:p w:rsidR="00DD4C91" w:rsidRPr="00B30588" w:rsidRDefault="00DD4C91">
      <w:pPr>
        <w:rPr>
          <w:rFonts w:ascii="Times New Roman" w:hAnsi="Times New Roman" w:cs="Times New Roman"/>
          <w:lang w:val="en-GB"/>
        </w:rPr>
      </w:pPr>
      <w:r w:rsidRPr="00B30588">
        <w:rPr>
          <w:rFonts w:ascii="Times New Roman" w:hAnsi="Times New Roman" w:cs="Times New Roman"/>
          <w:lang w:val="en-GB"/>
        </w:rPr>
        <w:t xml:space="preserve">Governments and EU Institutions must allow the public to access the key corporate information necessary to ensure </w:t>
      </w:r>
      <w:r w:rsidRPr="00B30588">
        <w:rPr>
          <w:rFonts w:ascii="Times New Roman" w:hAnsi="Times New Roman" w:cs="Times New Roman"/>
          <w:b/>
          <w:lang w:val="en-GB"/>
        </w:rPr>
        <w:t>accountability</w:t>
      </w:r>
      <w:r w:rsidRPr="00B30588">
        <w:rPr>
          <w:rFonts w:ascii="Times New Roman" w:hAnsi="Times New Roman" w:cs="Times New Roman"/>
          <w:lang w:val="en-GB"/>
        </w:rPr>
        <w:t xml:space="preserve"> and </w:t>
      </w:r>
      <w:r w:rsidRPr="00B30588">
        <w:rPr>
          <w:rFonts w:ascii="Times New Roman" w:hAnsi="Times New Roman" w:cs="Times New Roman"/>
          <w:b/>
          <w:lang w:val="en-GB"/>
        </w:rPr>
        <w:t>tax justice</w:t>
      </w:r>
      <w:r w:rsidRPr="00B30588">
        <w:rPr>
          <w:rFonts w:ascii="Times New Roman" w:hAnsi="Times New Roman" w:cs="Times New Roman"/>
          <w:lang w:val="en-GB"/>
        </w:rPr>
        <w:t xml:space="preserve">. They must also ensure full and effective exchange of information between all the governments so that citizens are not able to use international structures to </w:t>
      </w:r>
      <w:r w:rsidRPr="00B30588">
        <w:rPr>
          <w:rFonts w:ascii="Times New Roman" w:hAnsi="Times New Roman" w:cs="Times New Roman"/>
          <w:b/>
          <w:lang w:val="en-GB"/>
        </w:rPr>
        <w:t>circumvent national tax laws</w:t>
      </w:r>
      <w:r w:rsidRPr="00B30588">
        <w:rPr>
          <w:rFonts w:ascii="Times New Roman" w:hAnsi="Times New Roman" w:cs="Times New Roman"/>
          <w:lang w:val="en-GB"/>
        </w:rPr>
        <w:t xml:space="preserve">. For this purpose, they should: </w:t>
      </w:r>
    </w:p>
    <w:p w:rsidR="00DD4C91" w:rsidRPr="00B30588" w:rsidRDefault="0091069B">
      <w:pPr>
        <w:rPr>
          <w:rFonts w:ascii="Times New Roman" w:hAnsi="Times New Roman" w:cs="Times New Roman"/>
          <w:lang w:val="en-GB"/>
        </w:rPr>
      </w:pPr>
      <w:r w:rsidRPr="00B30588">
        <w:rPr>
          <w:rFonts w:ascii="Times New Roman" w:hAnsi="Times New Roman" w:cs="Times New Roman"/>
          <w:lang w:val="en-GB"/>
        </w:rPr>
        <w:t>8</w:t>
      </w:r>
      <w:r w:rsidR="00DD4C91" w:rsidRPr="00B30588">
        <w:rPr>
          <w:rFonts w:ascii="Times New Roman" w:hAnsi="Times New Roman" w:cs="Times New Roman"/>
          <w:lang w:val="en-GB"/>
        </w:rPr>
        <w:t xml:space="preserve">. Work towards a Global Standard on </w:t>
      </w:r>
      <w:r w:rsidR="00DD4C91" w:rsidRPr="00B30588">
        <w:rPr>
          <w:rFonts w:ascii="Times New Roman" w:hAnsi="Times New Roman" w:cs="Times New Roman"/>
          <w:b/>
          <w:lang w:val="en-GB"/>
        </w:rPr>
        <w:t>Automatic Information Exchange</w:t>
      </w:r>
      <w:r w:rsidR="00DD4C91" w:rsidRPr="00B30588">
        <w:rPr>
          <w:rFonts w:ascii="Times New Roman" w:hAnsi="Times New Roman" w:cs="Times New Roman"/>
          <w:lang w:val="en-GB"/>
        </w:rPr>
        <w:t>, which includes a transition period for developing countries that cannot currently meet reciprocal exchange requirements due to lack of administrative capacity. This transition period should allow developing countries to receive information automatically, even though they might not have the capacity to share information from their own countries. Furthermore, under the current standards, developed country governments must commit to exchange information automatically with all developing countries that fulfil basic data protection requirements, by establishing the necessary bilateral exchange relationships.</w:t>
      </w:r>
    </w:p>
    <w:p w:rsidR="00DD4C91" w:rsidRPr="00B30588" w:rsidRDefault="0091069B" w:rsidP="00DD4C91">
      <w:pPr>
        <w:rPr>
          <w:rFonts w:ascii="Times New Roman" w:hAnsi="Times New Roman" w:cs="Times New Roman"/>
          <w:lang w:val="en-GB"/>
        </w:rPr>
      </w:pPr>
      <w:r w:rsidRPr="00B30588">
        <w:rPr>
          <w:rFonts w:ascii="Times New Roman" w:hAnsi="Times New Roman" w:cs="Times New Roman"/>
          <w:lang w:val="en-GB"/>
        </w:rPr>
        <w:t>9</w:t>
      </w:r>
      <w:r w:rsidR="00DD4C91" w:rsidRPr="00B30588">
        <w:rPr>
          <w:rFonts w:ascii="Times New Roman" w:hAnsi="Times New Roman" w:cs="Times New Roman"/>
          <w:lang w:val="en-GB"/>
        </w:rPr>
        <w:t xml:space="preserve">. Establish fully publicly accessible registries of the </w:t>
      </w:r>
      <w:r w:rsidR="00DD4C91" w:rsidRPr="00B30588">
        <w:rPr>
          <w:rFonts w:ascii="Times New Roman" w:hAnsi="Times New Roman" w:cs="Times New Roman"/>
          <w:b/>
          <w:lang w:val="en-GB"/>
        </w:rPr>
        <w:t>beneficial owners</w:t>
      </w:r>
      <w:r w:rsidR="00DD4C91" w:rsidRPr="00B30588">
        <w:rPr>
          <w:rFonts w:ascii="Times New Roman" w:hAnsi="Times New Roman" w:cs="Times New Roman"/>
          <w:lang w:val="en-GB"/>
        </w:rPr>
        <w:t xml:space="preserve"> of companies, trusts and similar legal structures. </w:t>
      </w:r>
      <w:r w:rsidR="006B4116" w:rsidRPr="00B30588">
        <w:rPr>
          <w:rFonts w:ascii="Times New Roman" w:hAnsi="Times New Roman" w:cs="Times New Roman"/>
          <w:lang w:val="en-GB"/>
        </w:rPr>
        <w:t>When implementing the 5</w:t>
      </w:r>
      <w:r w:rsidR="006B4116" w:rsidRPr="00B30588">
        <w:rPr>
          <w:rFonts w:ascii="Times New Roman" w:hAnsi="Times New Roman" w:cs="Times New Roman"/>
          <w:vertAlign w:val="superscript"/>
          <w:lang w:val="en-GB"/>
        </w:rPr>
        <w:t>th</w:t>
      </w:r>
      <w:r w:rsidR="006B4116" w:rsidRPr="00B30588">
        <w:rPr>
          <w:rFonts w:ascii="Times New Roman" w:hAnsi="Times New Roman" w:cs="Times New Roman"/>
          <w:lang w:val="en-GB"/>
        </w:rPr>
        <w:t xml:space="preserve"> Anti-Money Laundering Directive, EU governments should expand the public registers for beneficial owners of companies to also cover all trusts and similar legal structure with a connection point to their country.</w:t>
      </w:r>
    </w:p>
    <w:p w:rsidR="00DD4C91" w:rsidRPr="00B30588" w:rsidRDefault="00DD4C91" w:rsidP="00DD4C91">
      <w:pPr>
        <w:rPr>
          <w:rFonts w:ascii="Times New Roman" w:hAnsi="Times New Roman" w:cs="Times New Roman"/>
          <w:lang w:val="en-GB"/>
        </w:rPr>
      </w:pPr>
      <w:r w:rsidRPr="00B30588">
        <w:rPr>
          <w:rFonts w:ascii="Times New Roman" w:hAnsi="Times New Roman" w:cs="Times New Roman"/>
          <w:lang w:val="en-GB"/>
        </w:rPr>
        <w:t>1</w:t>
      </w:r>
      <w:r w:rsidR="0091069B" w:rsidRPr="00B30588">
        <w:rPr>
          <w:rFonts w:ascii="Times New Roman" w:hAnsi="Times New Roman" w:cs="Times New Roman"/>
          <w:lang w:val="en-GB"/>
        </w:rPr>
        <w:t>0</w:t>
      </w:r>
      <w:r w:rsidRPr="00B30588">
        <w:rPr>
          <w:rFonts w:ascii="Times New Roman" w:hAnsi="Times New Roman" w:cs="Times New Roman"/>
          <w:lang w:val="en-GB"/>
        </w:rPr>
        <w:t xml:space="preserve">. Adopt full </w:t>
      </w:r>
      <w:r w:rsidR="006B4116" w:rsidRPr="00B30588">
        <w:rPr>
          <w:rFonts w:ascii="Times New Roman" w:hAnsi="Times New Roman" w:cs="Times New Roman"/>
          <w:b/>
          <w:lang w:val="en-GB"/>
        </w:rPr>
        <w:t xml:space="preserve">public </w:t>
      </w:r>
      <w:r w:rsidRPr="00B30588">
        <w:rPr>
          <w:rFonts w:ascii="Times New Roman" w:hAnsi="Times New Roman" w:cs="Times New Roman"/>
          <w:b/>
          <w:lang w:val="en-GB"/>
        </w:rPr>
        <w:t>country by country reporting</w:t>
      </w:r>
      <w:r w:rsidRPr="00B30588">
        <w:rPr>
          <w:rFonts w:ascii="Times New Roman" w:hAnsi="Times New Roman" w:cs="Times New Roman"/>
          <w:lang w:val="en-GB"/>
        </w:rPr>
        <w:t xml:space="preserve"> for all large multinational corporations, and ensure that this information is available in an open data format that is machine readable and centralised in a public registry. This </w:t>
      </w:r>
      <w:r w:rsidR="003E4AC5">
        <w:rPr>
          <w:rFonts w:ascii="Times New Roman" w:hAnsi="Times New Roman" w:cs="Times New Roman"/>
          <w:lang w:val="en-GB"/>
        </w:rPr>
        <w:t xml:space="preserve">mandatory </w:t>
      </w:r>
      <w:r w:rsidRPr="00B30588">
        <w:rPr>
          <w:rFonts w:ascii="Times New Roman" w:hAnsi="Times New Roman" w:cs="Times New Roman"/>
          <w:lang w:val="en-GB"/>
        </w:rPr>
        <w:t xml:space="preserve">reporting should be at least as comprehensive as suggested in the </w:t>
      </w:r>
      <w:r w:rsidR="003E4AC5">
        <w:rPr>
          <w:rFonts w:ascii="Times New Roman" w:hAnsi="Times New Roman" w:cs="Times New Roman"/>
          <w:lang w:val="en-GB"/>
        </w:rPr>
        <w:t>Global Reporting Initiative</w:t>
      </w:r>
      <w:r w:rsidRPr="00B30588">
        <w:rPr>
          <w:rFonts w:ascii="Times New Roman" w:hAnsi="Times New Roman" w:cs="Times New Roman"/>
          <w:lang w:val="en-GB"/>
        </w:rPr>
        <w:t xml:space="preserve"> reporting template</w:t>
      </w:r>
      <w:r w:rsidRPr="00B30588">
        <w:rPr>
          <w:rStyle w:val="FootnoteReference"/>
          <w:rFonts w:ascii="Times New Roman" w:hAnsi="Times New Roman" w:cs="Times New Roman"/>
          <w:lang w:val="en-GB"/>
        </w:rPr>
        <w:footnoteReference w:id="2"/>
      </w:r>
      <w:r w:rsidRPr="00B30588">
        <w:rPr>
          <w:rFonts w:ascii="Times New Roman" w:hAnsi="Times New Roman" w:cs="Times New Roman"/>
          <w:lang w:val="en-GB"/>
        </w:rPr>
        <w:t>, but cover all corporations that meet the EU definition of ‘large undertaking’.</w:t>
      </w:r>
      <w:r w:rsidR="004D2CDF" w:rsidRPr="00B30588">
        <w:rPr>
          <w:rStyle w:val="FootnoteReference"/>
          <w:rFonts w:ascii="Times New Roman" w:hAnsi="Times New Roman" w:cs="Times New Roman"/>
          <w:lang w:val="en-GB"/>
        </w:rPr>
        <w:footnoteReference w:id="3"/>
      </w:r>
    </w:p>
    <w:p w:rsidR="00F707E5" w:rsidRPr="00B30588" w:rsidRDefault="0091069B" w:rsidP="00F707E5">
      <w:pPr>
        <w:rPr>
          <w:rFonts w:ascii="Times New Roman" w:hAnsi="Times New Roman" w:cs="Times New Roman"/>
          <w:lang w:val="en-GB"/>
        </w:rPr>
      </w:pPr>
      <w:r w:rsidRPr="00B30588">
        <w:rPr>
          <w:rFonts w:ascii="Times New Roman" w:hAnsi="Times New Roman" w:cs="Times New Roman"/>
          <w:lang w:val="en-GB"/>
        </w:rPr>
        <w:t>11</w:t>
      </w:r>
      <w:r w:rsidR="00F707E5" w:rsidRPr="00B30588">
        <w:rPr>
          <w:rFonts w:ascii="Times New Roman" w:hAnsi="Times New Roman" w:cs="Times New Roman"/>
          <w:lang w:val="en-GB"/>
        </w:rPr>
        <w:t xml:space="preserve">. Publish data showing the flow of investments through </w:t>
      </w:r>
      <w:r w:rsidR="00F707E5" w:rsidRPr="00B30588">
        <w:rPr>
          <w:rFonts w:ascii="Times New Roman" w:hAnsi="Times New Roman" w:cs="Times New Roman"/>
          <w:b/>
          <w:lang w:val="en-GB"/>
        </w:rPr>
        <w:t>special purpose entities</w:t>
      </w:r>
      <w:r w:rsidR="00F707E5" w:rsidRPr="00B30588">
        <w:rPr>
          <w:rFonts w:ascii="Times New Roman" w:hAnsi="Times New Roman" w:cs="Times New Roman"/>
          <w:lang w:val="en-GB"/>
        </w:rPr>
        <w:t xml:space="preserve"> in their countries. </w:t>
      </w:r>
    </w:p>
    <w:p w:rsidR="00F707E5" w:rsidRPr="00B30588" w:rsidRDefault="0091069B" w:rsidP="00F707E5">
      <w:pPr>
        <w:rPr>
          <w:rFonts w:ascii="Times New Roman" w:hAnsi="Times New Roman" w:cs="Times New Roman"/>
          <w:lang w:val="en-GB"/>
        </w:rPr>
      </w:pPr>
      <w:r w:rsidRPr="00B30588">
        <w:rPr>
          <w:rFonts w:ascii="Times New Roman" w:hAnsi="Times New Roman" w:cs="Times New Roman"/>
          <w:lang w:val="en-GB"/>
        </w:rPr>
        <w:t>12</w:t>
      </w:r>
      <w:r w:rsidR="00F707E5" w:rsidRPr="00B30588">
        <w:rPr>
          <w:rFonts w:ascii="Times New Roman" w:hAnsi="Times New Roman" w:cs="Times New Roman"/>
          <w:lang w:val="en-GB"/>
        </w:rPr>
        <w:t xml:space="preserve">. Publish the basic elements of all </w:t>
      </w:r>
      <w:r w:rsidR="00F707E5" w:rsidRPr="00B30588">
        <w:rPr>
          <w:rFonts w:ascii="Times New Roman" w:hAnsi="Times New Roman" w:cs="Times New Roman"/>
          <w:b/>
          <w:lang w:val="en-GB"/>
        </w:rPr>
        <w:t>advance tax agreements</w:t>
      </w:r>
      <w:r w:rsidR="00F707E5" w:rsidRPr="00B30588">
        <w:rPr>
          <w:rFonts w:ascii="Times New Roman" w:hAnsi="Times New Roman" w:cs="Times New Roman"/>
          <w:lang w:val="en-GB"/>
        </w:rPr>
        <w:t xml:space="preserve"> granted to multinational corporations (including, at a minimum, the name of the corporation to which it is issued, duration of the agreement and the topics covered). Move towards a system for taxing multinational corporations that is transparent, clear and less complex. </w:t>
      </w:r>
    </w:p>
    <w:p w:rsidR="00F707E5" w:rsidRPr="00B30588" w:rsidRDefault="0091069B" w:rsidP="00F707E5">
      <w:pPr>
        <w:rPr>
          <w:rFonts w:ascii="Times New Roman" w:hAnsi="Times New Roman" w:cs="Times New Roman"/>
          <w:lang w:val="en-GB"/>
        </w:rPr>
      </w:pPr>
      <w:r w:rsidRPr="00B30588">
        <w:rPr>
          <w:rFonts w:ascii="Times New Roman" w:hAnsi="Times New Roman" w:cs="Times New Roman"/>
          <w:lang w:val="en-GB"/>
        </w:rPr>
        <w:t>13</w:t>
      </w:r>
      <w:r w:rsidR="00F707E5" w:rsidRPr="00B30588">
        <w:rPr>
          <w:rFonts w:ascii="Times New Roman" w:hAnsi="Times New Roman" w:cs="Times New Roman"/>
          <w:lang w:val="en-GB"/>
        </w:rPr>
        <w:t xml:space="preserve">. Publish annual assessments of the cost and benefits of all </w:t>
      </w:r>
      <w:r w:rsidR="00F707E5" w:rsidRPr="00B30588">
        <w:rPr>
          <w:rFonts w:ascii="Times New Roman" w:hAnsi="Times New Roman" w:cs="Times New Roman"/>
          <w:b/>
          <w:lang w:val="en-GB"/>
        </w:rPr>
        <w:t>tax incentives</w:t>
      </w:r>
      <w:r w:rsidR="00F707E5" w:rsidRPr="00B30588">
        <w:rPr>
          <w:rFonts w:ascii="Times New Roman" w:hAnsi="Times New Roman" w:cs="Times New Roman"/>
          <w:lang w:val="en-GB"/>
        </w:rPr>
        <w:t xml:space="preserve"> provided to multinational corporations. </w:t>
      </w:r>
    </w:p>
    <w:p w:rsidR="000A558F" w:rsidRPr="00B30588" w:rsidRDefault="0091069B" w:rsidP="000A558F">
      <w:pPr>
        <w:rPr>
          <w:rFonts w:ascii="Times New Roman" w:hAnsi="Times New Roman" w:cs="Times New Roman"/>
          <w:lang w:val="en-GB"/>
        </w:rPr>
      </w:pPr>
      <w:r w:rsidRPr="00B30588">
        <w:rPr>
          <w:rFonts w:ascii="Times New Roman" w:hAnsi="Times New Roman" w:cs="Times New Roman"/>
          <w:lang w:val="en-GB"/>
        </w:rPr>
        <w:t>14</w:t>
      </w:r>
      <w:r w:rsidR="000A558F" w:rsidRPr="00B30588">
        <w:rPr>
          <w:rFonts w:ascii="Times New Roman" w:hAnsi="Times New Roman" w:cs="Times New Roman"/>
          <w:lang w:val="en-GB"/>
        </w:rPr>
        <w:t xml:space="preserve">. Implement effective legislation for </w:t>
      </w:r>
      <w:proofErr w:type="spellStart"/>
      <w:r w:rsidR="000A558F" w:rsidRPr="00B30588">
        <w:rPr>
          <w:rFonts w:ascii="Times New Roman" w:hAnsi="Times New Roman" w:cs="Times New Roman"/>
          <w:b/>
          <w:lang w:val="en-GB"/>
        </w:rPr>
        <w:t>whistleblower</w:t>
      </w:r>
      <w:proofErr w:type="spellEnd"/>
      <w:r w:rsidR="000A558F" w:rsidRPr="00B30588">
        <w:rPr>
          <w:rFonts w:ascii="Times New Roman" w:hAnsi="Times New Roman" w:cs="Times New Roman"/>
          <w:b/>
          <w:lang w:val="en-GB"/>
        </w:rPr>
        <w:t xml:space="preserve"> protection</w:t>
      </w:r>
      <w:r w:rsidR="000A558F" w:rsidRPr="00B30588">
        <w:rPr>
          <w:rFonts w:ascii="Times New Roman" w:hAnsi="Times New Roman" w:cs="Times New Roman"/>
          <w:lang w:val="en-GB"/>
        </w:rPr>
        <w:t xml:space="preserve">. Such legislation must protect those who act in the public interest, including those who disclose legal tax avoidance or tax evasion. The protection must include both private and public sector employees. </w:t>
      </w:r>
    </w:p>
    <w:p w:rsidR="0091069B" w:rsidRPr="00B30588" w:rsidRDefault="0091069B" w:rsidP="00DD4C91">
      <w:pPr>
        <w:rPr>
          <w:rFonts w:ascii="Times New Roman" w:hAnsi="Times New Roman" w:cs="Times New Roman"/>
          <w:b/>
          <w:color w:val="C00000"/>
          <w:lang w:val="en-GB"/>
        </w:rPr>
      </w:pPr>
    </w:p>
    <w:p w:rsidR="0091069B" w:rsidRPr="00B30588" w:rsidRDefault="0091069B" w:rsidP="00DD4C91">
      <w:pPr>
        <w:rPr>
          <w:rFonts w:ascii="Times New Roman" w:hAnsi="Times New Roman" w:cs="Times New Roman"/>
          <w:b/>
          <w:color w:val="C00000"/>
          <w:lang w:val="en-GB"/>
        </w:rPr>
      </w:pPr>
    </w:p>
    <w:p w:rsidR="0091069B" w:rsidRPr="00B30588" w:rsidRDefault="0091069B" w:rsidP="00DD4C91">
      <w:pPr>
        <w:rPr>
          <w:rFonts w:ascii="Times New Roman" w:hAnsi="Times New Roman" w:cs="Times New Roman"/>
          <w:b/>
          <w:color w:val="C00000"/>
          <w:lang w:val="en-GB"/>
        </w:rPr>
      </w:pPr>
    </w:p>
    <w:p w:rsidR="00DD4C91" w:rsidRPr="00B30588" w:rsidRDefault="00DD4C91" w:rsidP="00DD4C91">
      <w:pPr>
        <w:rPr>
          <w:rFonts w:ascii="Times New Roman" w:hAnsi="Times New Roman" w:cs="Times New Roman"/>
          <w:b/>
          <w:color w:val="C00000"/>
          <w:lang w:val="en-GB"/>
        </w:rPr>
      </w:pPr>
      <w:r w:rsidRPr="00B30588">
        <w:rPr>
          <w:rFonts w:ascii="Times New Roman" w:hAnsi="Times New Roman" w:cs="Times New Roman"/>
          <w:b/>
          <w:color w:val="C00000"/>
          <w:lang w:val="en-GB"/>
        </w:rPr>
        <w:t xml:space="preserve">International decision-making </w:t>
      </w:r>
    </w:p>
    <w:p w:rsidR="00DD4C91" w:rsidRPr="00B30588" w:rsidRDefault="00DD4C91" w:rsidP="00DD4C91">
      <w:pPr>
        <w:rPr>
          <w:rFonts w:ascii="Times New Roman" w:hAnsi="Times New Roman" w:cs="Times New Roman"/>
          <w:lang w:val="en-GB"/>
        </w:rPr>
      </w:pPr>
      <w:r w:rsidRPr="00B30588">
        <w:rPr>
          <w:rFonts w:ascii="Times New Roman" w:hAnsi="Times New Roman" w:cs="Times New Roman"/>
          <w:lang w:val="en-GB"/>
        </w:rPr>
        <w:t xml:space="preserve">Governments and EU institutions must support </w:t>
      </w:r>
      <w:r w:rsidR="000A558F" w:rsidRPr="00B30588">
        <w:rPr>
          <w:rFonts w:ascii="Times New Roman" w:hAnsi="Times New Roman" w:cs="Times New Roman"/>
          <w:lang w:val="en-GB"/>
        </w:rPr>
        <w:t xml:space="preserve">that </w:t>
      </w:r>
      <w:r w:rsidRPr="00B30588">
        <w:rPr>
          <w:rFonts w:ascii="Times New Roman" w:hAnsi="Times New Roman" w:cs="Times New Roman"/>
          <w:lang w:val="en-GB"/>
        </w:rPr>
        <w:t>all international decision-making on tax matters</w:t>
      </w:r>
      <w:r w:rsidR="000A558F" w:rsidRPr="00B30588">
        <w:rPr>
          <w:rFonts w:ascii="Times New Roman" w:hAnsi="Times New Roman" w:cs="Times New Roman"/>
          <w:lang w:val="en-GB"/>
        </w:rPr>
        <w:t xml:space="preserve"> is</w:t>
      </w:r>
      <w:r w:rsidRPr="00B30588">
        <w:rPr>
          <w:rFonts w:ascii="Times New Roman" w:hAnsi="Times New Roman" w:cs="Times New Roman"/>
          <w:b/>
          <w:lang w:val="en-GB"/>
        </w:rPr>
        <w:t xml:space="preserve"> fair and transparent</w:t>
      </w:r>
      <w:r w:rsidR="000A558F" w:rsidRPr="00B30588">
        <w:rPr>
          <w:rFonts w:ascii="Times New Roman" w:hAnsi="Times New Roman" w:cs="Times New Roman"/>
          <w:b/>
          <w:lang w:val="en-GB"/>
        </w:rPr>
        <w:t xml:space="preserve">. </w:t>
      </w:r>
      <w:r w:rsidR="000A558F" w:rsidRPr="00B30588">
        <w:rPr>
          <w:rFonts w:ascii="Times New Roman" w:hAnsi="Times New Roman" w:cs="Times New Roman"/>
          <w:lang w:val="en-GB"/>
        </w:rPr>
        <w:t xml:space="preserve">This is includes ensuring that </w:t>
      </w:r>
      <w:r w:rsidRPr="00B30588">
        <w:rPr>
          <w:rFonts w:ascii="Times New Roman" w:hAnsi="Times New Roman" w:cs="Times New Roman"/>
          <w:lang w:val="en-GB"/>
        </w:rPr>
        <w:t xml:space="preserve">all countries </w:t>
      </w:r>
      <w:r w:rsidR="000A558F" w:rsidRPr="00B30588">
        <w:rPr>
          <w:rFonts w:ascii="Times New Roman" w:hAnsi="Times New Roman" w:cs="Times New Roman"/>
          <w:lang w:val="en-GB"/>
        </w:rPr>
        <w:t xml:space="preserve">are able to participate </w:t>
      </w:r>
      <w:r w:rsidRPr="00B30588">
        <w:rPr>
          <w:rFonts w:ascii="Times New Roman" w:hAnsi="Times New Roman" w:cs="Times New Roman"/>
          <w:lang w:val="en-GB"/>
        </w:rPr>
        <w:t>on a truly equal footing</w:t>
      </w:r>
      <w:r w:rsidR="000A558F" w:rsidRPr="00B30588">
        <w:rPr>
          <w:rFonts w:ascii="Times New Roman" w:hAnsi="Times New Roman" w:cs="Times New Roman"/>
          <w:lang w:val="en-GB"/>
        </w:rPr>
        <w:t xml:space="preserve"> in the development of global tax rules and standards. Furthermore</w:t>
      </w:r>
      <w:r w:rsidRPr="00B30588">
        <w:rPr>
          <w:rFonts w:ascii="Times New Roman" w:hAnsi="Times New Roman" w:cs="Times New Roman"/>
          <w:lang w:val="en-GB"/>
        </w:rPr>
        <w:t>, intergovernmental decision</w:t>
      </w:r>
      <w:r w:rsidR="000A558F" w:rsidRPr="00B30588">
        <w:rPr>
          <w:rFonts w:ascii="Times New Roman" w:hAnsi="Times New Roman" w:cs="Times New Roman"/>
          <w:lang w:val="en-GB"/>
        </w:rPr>
        <w:t>-</w:t>
      </w:r>
      <w:r w:rsidRPr="00B30588">
        <w:rPr>
          <w:rFonts w:ascii="Times New Roman" w:hAnsi="Times New Roman" w:cs="Times New Roman"/>
          <w:lang w:val="en-GB"/>
        </w:rPr>
        <w:t>making process</w:t>
      </w:r>
      <w:r w:rsidR="000A558F" w:rsidRPr="00B30588">
        <w:rPr>
          <w:rFonts w:ascii="Times New Roman" w:hAnsi="Times New Roman" w:cs="Times New Roman"/>
          <w:lang w:val="en-GB"/>
        </w:rPr>
        <w:t>es must</w:t>
      </w:r>
      <w:r w:rsidRPr="00B30588">
        <w:rPr>
          <w:rFonts w:ascii="Times New Roman" w:hAnsi="Times New Roman" w:cs="Times New Roman"/>
          <w:lang w:val="en-GB"/>
        </w:rPr>
        <w:t xml:space="preserve"> allow full access for observers. For this purpose, they should: </w:t>
      </w:r>
    </w:p>
    <w:p w:rsidR="00DD4C91" w:rsidRPr="00B30588" w:rsidRDefault="00DD4C91" w:rsidP="00DD4C91">
      <w:pPr>
        <w:rPr>
          <w:rFonts w:ascii="Times New Roman" w:hAnsi="Times New Roman" w:cs="Times New Roman"/>
          <w:lang w:val="en-GB"/>
        </w:rPr>
      </w:pPr>
      <w:r w:rsidRPr="00B30588">
        <w:rPr>
          <w:rFonts w:ascii="Times New Roman" w:hAnsi="Times New Roman" w:cs="Times New Roman"/>
          <w:lang w:val="en-GB"/>
        </w:rPr>
        <w:t>1</w:t>
      </w:r>
      <w:r w:rsidR="0091069B" w:rsidRPr="00B30588">
        <w:rPr>
          <w:rFonts w:ascii="Times New Roman" w:hAnsi="Times New Roman" w:cs="Times New Roman"/>
          <w:lang w:val="en-GB"/>
        </w:rPr>
        <w:t>5</w:t>
      </w:r>
      <w:r w:rsidRPr="00B30588">
        <w:rPr>
          <w:rFonts w:ascii="Times New Roman" w:hAnsi="Times New Roman" w:cs="Times New Roman"/>
          <w:lang w:val="en-GB"/>
        </w:rPr>
        <w:t xml:space="preserve">. Support the establishment of an </w:t>
      </w:r>
      <w:r w:rsidRPr="00B30588">
        <w:rPr>
          <w:rFonts w:ascii="Times New Roman" w:hAnsi="Times New Roman" w:cs="Times New Roman"/>
          <w:b/>
          <w:lang w:val="en-GB"/>
        </w:rPr>
        <w:t xml:space="preserve">intergovernmental tax </w:t>
      </w:r>
      <w:r w:rsidR="006B4116" w:rsidRPr="00B30588">
        <w:rPr>
          <w:rFonts w:ascii="Times New Roman" w:hAnsi="Times New Roman" w:cs="Times New Roman"/>
          <w:b/>
          <w:lang w:val="en-GB"/>
        </w:rPr>
        <w:t>commission</w:t>
      </w:r>
      <w:r w:rsidRPr="00B30588">
        <w:rPr>
          <w:rFonts w:ascii="Times New Roman" w:hAnsi="Times New Roman" w:cs="Times New Roman"/>
          <w:b/>
          <w:lang w:val="en-GB"/>
        </w:rPr>
        <w:t xml:space="preserve"> under the auspices of the U</w:t>
      </w:r>
      <w:r w:rsidR="006B4116" w:rsidRPr="00B30588">
        <w:rPr>
          <w:rFonts w:ascii="Times New Roman" w:hAnsi="Times New Roman" w:cs="Times New Roman"/>
          <w:b/>
          <w:lang w:val="en-GB"/>
        </w:rPr>
        <w:t xml:space="preserve">nited </w:t>
      </w:r>
      <w:r w:rsidRPr="00B30588">
        <w:rPr>
          <w:rFonts w:ascii="Times New Roman" w:hAnsi="Times New Roman" w:cs="Times New Roman"/>
          <w:b/>
          <w:lang w:val="en-GB"/>
        </w:rPr>
        <w:t>N</w:t>
      </w:r>
      <w:r w:rsidR="006B4116" w:rsidRPr="00B30588">
        <w:rPr>
          <w:rFonts w:ascii="Times New Roman" w:hAnsi="Times New Roman" w:cs="Times New Roman"/>
          <w:b/>
          <w:lang w:val="en-GB"/>
        </w:rPr>
        <w:t>ations</w:t>
      </w:r>
      <w:r w:rsidRPr="00B30588">
        <w:rPr>
          <w:rFonts w:ascii="Times New Roman" w:hAnsi="Times New Roman" w:cs="Times New Roman"/>
          <w:lang w:val="en-GB"/>
        </w:rPr>
        <w:t xml:space="preserve">, with the aim of ensuring that developing countries can participate equally in the global reform of international tax rules. This forum should become the main forum for international cooperation in tax matters and related transparency issues. The tax </w:t>
      </w:r>
      <w:r w:rsidR="006B4116" w:rsidRPr="00B30588">
        <w:rPr>
          <w:rFonts w:ascii="Times New Roman" w:hAnsi="Times New Roman" w:cs="Times New Roman"/>
          <w:lang w:val="en-GB"/>
        </w:rPr>
        <w:t>commission</w:t>
      </w:r>
      <w:r w:rsidRPr="00B30588">
        <w:rPr>
          <w:rFonts w:ascii="Times New Roman" w:hAnsi="Times New Roman" w:cs="Times New Roman"/>
          <w:lang w:val="en-GB"/>
        </w:rPr>
        <w:t xml:space="preserve"> should be adequately funded and allow full access </w:t>
      </w:r>
      <w:r w:rsidR="000A558F" w:rsidRPr="00B30588">
        <w:rPr>
          <w:rFonts w:ascii="Times New Roman" w:hAnsi="Times New Roman" w:cs="Times New Roman"/>
          <w:lang w:val="en-GB"/>
        </w:rPr>
        <w:t>for</w:t>
      </w:r>
      <w:r w:rsidRPr="00B30588">
        <w:rPr>
          <w:rFonts w:ascii="Times New Roman" w:hAnsi="Times New Roman" w:cs="Times New Roman"/>
          <w:lang w:val="en-GB"/>
        </w:rPr>
        <w:t xml:space="preserve"> observers, including civil society and parliamentarians. One of the key priorities of the commission should be to negotiate and adopt an international convention on tax cooperation and related transparency. </w:t>
      </w:r>
    </w:p>
    <w:p w:rsidR="00DD4C91" w:rsidRPr="00B30588" w:rsidRDefault="00DD4C91" w:rsidP="00DD4C91">
      <w:pPr>
        <w:rPr>
          <w:rFonts w:ascii="Times New Roman" w:hAnsi="Times New Roman" w:cs="Times New Roman"/>
          <w:lang w:val="en-GB"/>
        </w:rPr>
      </w:pPr>
      <w:r w:rsidRPr="00B30588">
        <w:rPr>
          <w:rFonts w:ascii="Times New Roman" w:hAnsi="Times New Roman" w:cs="Times New Roman"/>
          <w:lang w:val="en-GB"/>
        </w:rPr>
        <w:t>1</w:t>
      </w:r>
      <w:r w:rsidR="0091069B" w:rsidRPr="00B30588">
        <w:rPr>
          <w:rFonts w:ascii="Times New Roman" w:hAnsi="Times New Roman" w:cs="Times New Roman"/>
          <w:lang w:val="en-GB"/>
        </w:rPr>
        <w:t>6</w:t>
      </w:r>
      <w:r w:rsidRPr="00B30588">
        <w:rPr>
          <w:rFonts w:ascii="Times New Roman" w:hAnsi="Times New Roman" w:cs="Times New Roman"/>
          <w:lang w:val="en-GB"/>
        </w:rPr>
        <w:t xml:space="preserve">. Replace or fundamentally reform the </w:t>
      </w:r>
      <w:r w:rsidRPr="00B30588">
        <w:rPr>
          <w:rFonts w:ascii="Times New Roman" w:hAnsi="Times New Roman" w:cs="Times New Roman"/>
          <w:b/>
          <w:lang w:val="en-GB"/>
        </w:rPr>
        <w:t>EU Code of Conduct Group on Business Taxation</w:t>
      </w:r>
      <w:r w:rsidRPr="00B30588">
        <w:rPr>
          <w:rFonts w:ascii="Times New Roman" w:hAnsi="Times New Roman" w:cs="Times New Roman"/>
          <w:lang w:val="en-GB"/>
        </w:rPr>
        <w:t xml:space="preserve"> to ensure that EU decision-making on international tax matters becomes fully transparent to the public, and that decision-makers become accountable to their citizens.</w:t>
      </w:r>
    </w:p>
    <w:sectPr w:rsidR="00DD4C91" w:rsidRPr="00B305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4D9" w:rsidRDefault="00E054D9" w:rsidP="00DD4C91">
      <w:pPr>
        <w:spacing w:after="0" w:line="240" w:lineRule="auto"/>
      </w:pPr>
      <w:r>
        <w:separator/>
      </w:r>
    </w:p>
  </w:endnote>
  <w:endnote w:type="continuationSeparator" w:id="0">
    <w:p w:rsidR="00E054D9" w:rsidRDefault="00E054D9" w:rsidP="00DD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4D9" w:rsidRDefault="00E054D9" w:rsidP="00DD4C91">
      <w:pPr>
        <w:spacing w:after="0" w:line="240" w:lineRule="auto"/>
      </w:pPr>
      <w:r>
        <w:separator/>
      </w:r>
    </w:p>
  </w:footnote>
  <w:footnote w:type="continuationSeparator" w:id="0">
    <w:p w:rsidR="00E054D9" w:rsidRDefault="00E054D9" w:rsidP="00DD4C91">
      <w:pPr>
        <w:spacing w:after="0" w:line="240" w:lineRule="auto"/>
      </w:pPr>
      <w:r>
        <w:continuationSeparator/>
      </w:r>
    </w:p>
  </w:footnote>
  <w:footnote w:id="1">
    <w:p w:rsidR="00AD26BA" w:rsidRPr="00AD26BA" w:rsidRDefault="00AD26BA" w:rsidP="00B30588">
      <w:pPr>
        <w:pStyle w:val="FootnoteText"/>
        <w:rPr>
          <w:rFonts w:ascii="Times New Roman" w:hAnsi="Times New Roman" w:cs="Times New Roman"/>
          <w:sz w:val="14"/>
          <w:szCs w:val="14"/>
          <w:lang w:val="en-US"/>
        </w:rPr>
      </w:pPr>
      <w:r w:rsidRPr="00AD26BA">
        <w:rPr>
          <w:rStyle w:val="FootnoteReference"/>
          <w:rFonts w:ascii="Times New Roman" w:hAnsi="Times New Roman" w:cs="Times New Roman"/>
          <w:sz w:val="14"/>
          <w:szCs w:val="14"/>
        </w:rPr>
        <w:footnoteRef/>
      </w:r>
      <w:r w:rsidRPr="00AD26BA">
        <w:rPr>
          <w:rFonts w:ascii="Times New Roman" w:hAnsi="Times New Roman" w:cs="Times New Roman"/>
          <w:sz w:val="14"/>
          <w:szCs w:val="14"/>
          <w:lang w:val="en-US"/>
        </w:rPr>
        <w:t xml:space="preserve"> ICRICT (2019), </w:t>
      </w:r>
      <w:r w:rsidRPr="00AD26BA">
        <w:rPr>
          <w:rFonts w:ascii="Times New Roman" w:hAnsi="Times New Roman" w:cs="Times New Roman"/>
          <w:i/>
          <w:sz w:val="14"/>
          <w:szCs w:val="14"/>
          <w:lang w:val="en-US"/>
        </w:rPr>
        <w:t>International Corporate Tax Reform: Towards a fair and comprehensive solution</w:t>
      </w:r>
      <w:r w:rsidRPr="00AD26BA">
        <w:rPr>
          <w:rFonts w:ascii="Times New Roman" w:hAnsi="Times New Roman" w:cs="Times New Roman"/>
          <w:sz w:val="14"/>
          <w:szCs w:val="14"/>
          <w:lang w:val="en-US"/>
        </w:rPr>
        <w:t xml:space="preserve">, </w:t>
      </w:r>
      <w:hyperlink r:id="rId1" w:history="1">
        <w:r w:rsidRPr="00AD26BA">
          <w:rPr>
            <w:rStyle w:val="Hyperlink"/>
            <w:rFonts w:ascii="Times New Roman" w:hAnsi="Times New Roman" w:cs="Times New Roman"/>
            <w:sz w:val="14"/>
            <w:szCs w:val="14"/>
            <w:lang w:val="en-US"/>
          </w:rPr>
          <w:t>https://static1.squarespace.com/static/5a0c602bf43b5594845abb81/t/5d979e6dc5f7cb7b66842c49/1570217588721/ICRICT-INTERNATIONAL+CORPORATE+TAX+REFORM.pdf</w:t>
        </w:r>
      </w:hyperlink>
      <w:r w:rsidRPr="00AD26BA">
        <w:rPr>
          <w:rFonts w:ascii="Times New Roman" w:hAnsi="Times New Roman" w:cs="Times New Roman"/>
          <w:sz w:val="14"/>
          <w:szCs w:val="14"/>
          <w:lang w:val="en-US"/>
        </w:rPr>
        <w:t xml:space="preserve"> </w:t>
      </w:r>
    </w:p>
  </w:footnote>
  <w:footnote w:id="2">
    <w:p w:rsidR="00DD4C91" w:rsidRPr="00494B15" w:rsidRDefault="00DD4C91">
      <w:pPr>
        <w:pStyle w:val="FootnoteText"/>
        <w:rPr>
          <w:rFonts w:ascii="Times New Roman" w:hAnsi="Times New Roman" w:cs="Times New Roman"/>
          <w:sz w:val="14"/>
          <w:szCs w:val="14"/>
          <w:lang w:val="en-GB"/>
        </w:rPr>
      </w:pPr>
      <w:r w:rsidRPr="00AD26BA">
        <w:rPr>
          <w:rStyle w:val="FootnoteReference"/>
          <w:rFonts w:ascii="Times New Roman" w:hAnsi="Times New Roman" w:cs="Times New Roman"/>
          <w:sz w:val="14"/>
          <w:szCs w:val="14"/>
        </w:rPr>
        <w:footnoteRef/>
      </w:r>
      <w:r w:rsidRPr="00AD26BA">
        <w:rPr>
          <w:rFonts w:ascii="Times New Roman" w:hAnsi="Times New Roman" w:cs="Times New Roman"/>
          <w:sz w:val="14"/>
          <w:szCs w:val="14"/>
          <w:lang w:val="en-GB"/>
        </w:rPr>
        <w:t xml:space="preserve"> </w:t>
      </w:r>
      <w:r w:rsidR="003E4AC5" w:rsidRPr="003E4AC5">
        <w:rPr>
          <w:rFonts w:ascii="Times New Roman" w:hAnsi="Times New Roman" w:cs="Times New Roman"/>
          <w:sz w:val="14"/>
          <w:szCs w:val="14"/>
          <w:lang w:val="en-US"/>
        </w:rPr>
        <w:t xml:space="preserve">The Global Reporting Initiative Tax Standard 207 includes a public country by country reporting template titled 207-4. This template calls for disclosure of the following for each tax jurisdiction: </w:t>
      </w:r>
      <w:proofErr w:type="spellStart"/>
      <w:r w:rsidR="003E4AC5" w:rsidRPr="003E4AC5">
        <w:rPr>
          <w:rFonts w:ascii="Times New Roman" w:hAnsi="Times New Roman" w:cs="Times New Roman"/>
          <w:sz w:val="14"/>
          <w:szCs w:val="14"/>
          <w:lang w:val="en-US"/>
        </w:rPr>
        <w:t>i</w:t>
      </w:r>
      <w:proofErr w:type="spellEnd"/>
      <w:r w:rsidR="003E4AC5" w:rsidRPr="003E4AC5">
        <w:rPr>
          <w:rFonts w:ascii="Times New Roman" w:hAnsi="Times New Roman" w:cs="Times New Roman"/>
          <w:sz w:val="14"/>
          <w:szCs w:val="14"/>
          <w:lang w:val="en-US"/>
        </w:rPr>
        <w:t xml:space="preserve">. Names of the resident entities; ii. Primary activities of the organization; iii. Number of employees, and the basis of calculation of this number; iv. Revenues from third-party sales; v. Revenues from intra-group transactions with other tax jurisdictions; vi. Profit/loss before tax; vii. Tangible assets other than cash and cash equivalents; viii. Corporate income tax paid on a cash basis; ix. Corporate income tax accrued on profit/loss; x. Reasons for the difference between corporate income tax accrued on profit/loss and the tax due if the statutory tax rate is applied to profit/loss before tax. The template also calls on reporting </w:t>
      </w:r>
      <w:proofErr w:type="spellStart"/>
      <w:r w:rsidR="003E4AC5" w:rsidRPr="003E4AC5">
        <w:rPr>
          <w:rFonts w:ascii="Times New Roman" w:hAnsi="Times New Roman" w:cs="Times New Roman"/>
          <w:sz w:val="14"/>
          <w:szCs w:val="14"/>
          <w:lang w:val="en-US"/>
        </w:rPr>
        <w:t>organisations</w:t>
      </w:r>
      <w:proofErr w:type="spellEnd"/>
      <w:r w:rsidR="003E4AC5" w:rsidRPr="003E4AC5">
        <w:rPr>
          <w:rFonts w:ascii="Times New Roman" w:hAnsi="Times New Roman" w:cs="Times New Roman"/>
          <w:sz w:val="14"/>
          <w:szCs w:val="14"/>
          <w:lang w:val="en-US"/>
        </w:rPr>
        <w:t xml:space="preserve"> to report the time period covered by the information reported in Disclosure 207-4. The template is available from </w:t>
      </w:r>
      <w:hyperlink r:id="rId2" w:history="1">
        <w:r w:rsidR="003E4AC5" w:rsidRPr="003E4AC5">
          <w:rPr>
            <w:rStyle w:val="Hyperlink"/>
            <w:rFonts w:ascii="Times New Roman" w:hAnsi="Times New Roman" w:cs="Times New Roman"/>
            <w:sz w:val="14"/>
            <w:szCs w:val="14"/>
            <w:lang w:val="en-US"/>
          </w:rPr>
          <w:t>https://www.globalreporting.org/media/sfcpcrt4/gri-207-tax-standard-2019-factsheet.pdf?id=1616</w:t>
        </w:r>
      </w:hyperlink>
      <w:r w:rsidR="003E4AC5" w:rsidRPr="003E4AC5">
        <w:rPr>
          <w:rFonts w:ascii="Times New Roman" w:hAnsi="Times New Roman" w:cs="Times New Roman"/>
          <w:sz w:val="14"/>
          <w:szCs w:val="14"/>
          <w:lang w:val="en-US"/>
        </w:rPr>
        <w:t xml:space="preserve"> </w:t>
      </w:r>
    </w:p>
  </w:footnote>
  <w:footnote w:id="3">
    <w:p w:rsidR="004D2CDF" w:rsidRPr="00AD26BA" w:rsidRDefault="004D2CDF" w:rsidP="004D2CDF">
      <w:pPr>
        <w:pStyle w:val="FootnoteText"/>
        <w:rPr>
          <w:rFonts w:ascii="Times New Roman" w:hAnsi="Times New Roman" w:cs="Times New Roman"/>
          <w:sz w:val="14"/>
          <w:szCs w:val="14"/>
          <w:lang w:val="en-GB"/>
        </w:rPr>
      </w:pPr>
      <w:r w:rsidRPr="00494B15">
        <w:rPr>
          <w:rStyle w:val="FootnoteReference"/>
          <w:rFonts w:ascii="Times New Roman" w:hAnsi="Times New Roman" w:cs="Times New Roman"/>
          <w:sz w:val="14"/>
          <w:szCs w:val="14"/>
        </w:rPr>
        <w:footnoteRef/>
      </w:r>
      <w:r w:rsidRPr="00494B15">
        <w:rPr>
          <w:rFonts w:ascii="Times New Roman" w:hAnsi="Times New Roman" w:cs="Times New Roman"/>
          <w:sz w:val="14"/>
          <w:szCs w:val="14"/>
          <w:lang w:val="en-GB"/>
        </w:rPr>
        <w:t xml:space="preserve"> A ‘large undertaking’ is a company that on its balance sheet dates exceed two of the three following criteria: (a) balance sheet total: EUR 20 000 000; (b)</w:t>
      </w:r>
      <w:r w:rsidRPr="00AD26BA">
        <w:rPr>
          <w:rFonts w:ascii="Times New Roman" w:hAnsi="Times New Roman" w:cs="Times New Roman"/>
          <w:sz w:val="14"/>
          <w:szCs w:val="14"/>
          <w:lang w:val="en-GB"/>
        </w:rPr>
        <w:t xml:space="preserve"> net turnover: EUR 40 000 000; (c) average number of employees during the financial year: 250.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B5" w:rsidRDefault="007608B5" w:rsidP="007608B5">
    <w:pPr>
      <w:pStyle w:val="Header"/>
      <w:jc w:val="right"/>
    </w:pPr>
    <w:r>
      <w:rPr>
        <w:noProof/>
        <w:lang w:val="en-IE" w:eastAsia="en-IE"/>
      </w:rPr>
      <w:drawing>
        <wp:inline distT="0" distB="0" distL="0" distR="0" wp14:anchorId="5471D592" wp14:editId="2E1B307C">
          <wp:extent cx="1664335" cy="596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E logo.png"/>
                  <pic:cNvPicPr/>
                </pic:nvPicPr>
                <pic:blipFill>
                  <a:blip r:embed="rId1">
                    <a:extLst>
                      <a:ext uri="{28A0092B-C50C-407E-A947-70E740481C1C}">
                        <a14:useLocalDpi xmlns:a14="http://schemas.microsoft.com/office/drawing/2010/main" val="0"/>
                      </a:ext>
                    </a:extLst>
                  </a:blip>
                  <a:stretch>
                    <a:fillRect/>
                  </a:stretch>
                </pic:blipFill>
                <pic:spPr>
                  <a:xfrm>
                    <a:off x="0" y="0"/>
                    <a:ext cx="1777950" cy="637706"/>
                  </a:xfrm>
                  <a:prstGeom prst="rect">
                    <a:avLst/>
                  </a:prstGeom>
                </pic:spPr>
              </pic:pic>
            </a:graphicData>
          </a:graphic>
        </wp:inline>
      </w:drawing>
    </w:r>
  </w:p>
  <w:p w:rsidR="007608B5" w:rsidRDefault="007608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33BDA"/>
    <w:multiLevelType w:val="hybridMultilevel"/>
    <w:tmpl w:val="C878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97ACA"/>
    <w:multiLevelType w:val="hybridMultilevel"/>
    <w:tmpl w:val="154C6A5E"/>
    <w:lvl w:ilvl="0" w:tplc="CF72C5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91"/>
    <w:rsid w:val="00013E67"/>
    <w:rsid w:val="000A558F"/>
    <w:rsid w:val="000C7E81"/>
    <w:rsid w:val="000F1E44"/>
    <w:rsid w:val="00113902"/>
    <w:rsid w:val="00202814"/>
    <w:rsid w:val="002C5452"/>
    <w:rsid w:val="002D4706"/>
    <w:rsid w:val="00315559"/>
    <w:rsid w:val="00343BC2"/>
    <w:rsid w:val="003C5391"/>
    <w:rsid w:val="003E4AC5"/>
    <w:rsid w:val="0040365C"/>
    <w:rsid w:val="00460B48"/>
    <w:rsid w:val="00494B15"/>
    <w:rsid w:val="004D2CDF"/>
    <w:rsid w:val="00553777"/>
    <w:rsid w:val="005664C8"/>
    <w:rsid w:val="00636235"/>
    <w:rsid w:val="006B4116"/>
    <w:rsid w:val="007608B5"/>
    <w:rsid w:val="00897772"/>
    <w:rsid w:val="008B0442"/>
    <w:rsid w:val="0091069B"/>
    <w:rsid w:val="00967E70"/>
    <w:rsid w:val="00990CFB"/>
    <w:rsid w:val="00AD26BA"/>
    <w:rsid w:val="00B04A68"/>
    <w:rsid w:val="00B07CA2"/>
    <w:rsid w:val="00B30588"/>
    <w:rsid w:val="00B63F36"/>
    <w:rsid w:val="00DD4C91"/>
    <w:rsid w:val="00DE1D5E"/>
    <w:rsid w:val="00E054D9"/>
    <w:rsid w:val="00E5701E"/>
    <w:rsid w:val="00E67B9A"/>
    <w:rsid w:val="00E856AC"/>
    <w:rsid w:val="00ED4AAF"/>
    <w:rsid w:val="00EE16C4"/>
    <w:rsid w:val="00F7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EF4C"/>
  <w15:chartTrackingRefBased/>
  <w15:docId w15:val="{E061E197-3A1D-469C-A8D6-B67C579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4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C91"/>
    <w:rPr>
      <w:sz w:val="20"/>
      <w:szCs w:val="20"/>
      <w:lang w:val="da-DK"/>
    </w:rPr>
  </w:style>
  <w:style w:type="character" w:styleId="FootnoteReference">
    <w:name w:val="footnote reference"/>
    <w:basedOn w:val="DefaultParagraphFont"/>
    <w:uiPriority w:val="99"/>
    <w:semiHidden/>
    <w:unhideWhenUsed/>
    <w:rsid w:val="00DD4C91"/>
    <w:rPr>
      <w:vertAlign w:val="superscript"/>
    </w:rPr>
  </w:style>
  <w:style w:type="character" w:styleId="Hyperlink">
    <w:name w:val="Hyperlink"/>
    <w:basedOn w:val="DefaultParagraphFont"/>
    <w:uiPriority w:val="99"/>
    <w:unhideWhenUsed/>
    <w:rsid w:val="00DD4C91"/>
    <w:rPr>
      <w:color w:val="0563C1" w:themeColor="hyperlink"/>
      <w:u w:val="single"/>
    </w:rPr>
  </w:style>
  <w:style w:type="paragraph" w:styleId="Header">
    <w:name w:val="header"/>
    <w:basedOn w:val="Normal"/>
    <w:link w:val="HeaderChar"/>
    <w:uiPriority w:val="99"/>
    <w:unhideWhenUsed/>
    <w:rsid w:val="0076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B5"/>
    <w:rPr>
      <w:lang w:val="da-DK"/>
    </w:rPr>
  </w:style>
  <w:style w:type="paragraph" w:styleId="Footer">
    <w:name w:val="footer"/>
    <w:basedOn w:val="Normal"/>
    <w:link w:val="FooterChar"/>
    <w:uiPriority w:val="99"/>
    <w:unhideWhenUsed/>
    <w:rsid w:val="0076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B5"/>
    <w:rPr>
      <w:lang w:val="da-DK"/>
    </w:rPr>
  </w:style>
  <w:style w:type="paragraph" w:styleId="ListParagraph">
    <w:name w:val="List Paragraph"/>
    <w:basedOn w:val="Normal"/>
    <w:uiPriority w:val="34"/>
    <w:qFormat/>
    <w:rsid w:val="0091069B"/>
    <w:pPr>
      <w:ind w:left="720"/>
      <w:contextualSpacing/>
    </w:pPr>
  </w:style>
  <w:style w:type="paragraph" w:styleId="EndnoteText">
    <w:name w:val="endnote text"/>
    <w:basedOn w:val="Normal"/>
    <w:link w:val="EndnoteTextChar"/>
    <w:uiPriority w:val="99"/>
    <w:unhideWhenUsed/>
    <w:rsid w:val="00B30588"/>
    <w:pPr>
      <w:spacing w:after="0" w:line="240" w:lineRule="auto"/>
    </w:pPr>
    <w:rPr>
      <w:sz w:val="20"/>
      <w:szCs w:val="20"/>
      <w:lang w:val="en-GB"/>
    </w:rPr>
  </w:style>
  <w:style w:type="character" w:customStyle="1" w:styleId="EndnoteTextChar">
    <w:name w:val="Endnote Text Char"/>
    <w:basedOn w:val="DefaultParagraphFont"/>
    <w:link w:val="EndnoteText"/>
    <w:uiPriority w:val="99"/>
    <w:rsid w:val="00B30588"/>
    <w:rPr>
      <w:sz w:val="20"/>
      <w:szCs w:val="20"/>
      <w:lang w:val="en-GB"/>
    </w:rPr>
  </w:style>
  <w:style w:type="character" w:styleId="EndnoteReference">
    <w:name w:val="endnote reference"/>
    <w:uiPriority w:val="99"/>
    <w:semiHidden/>
    <w:unhideWhenUsed/>
    <w:rsid w:val="00B30588"/>
    <w:rPr>
      <w:vertAlign w:val="superscript"/>
    </w:rPr>
  </w:style>
  <w:style w:type="paragraph" w:styleId="BalloonText">
    <w:name w:val="Balloon Text"/>
    <w:basedOn w:val="Normal"/>
    <w:link w:val="BalloonTextChar"/>
    <w:uiPriority w:val="99"/>
    <w:semiHidden/>
    <w:unhideWhenUsed/>
    <w:rsid w:val="0089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72"/>
    <w:rPr>
      <w:rFonts w:ascii="Segoe UI" w:hAnsi="Segoe UI" w:cs="Segoe UI"/>
      <w:sz w:val="18"/>
      <w:szCs w:val="18"/>
      <w:lang w:val="da-DK"/>
    </w:rPr>
  </w:style>
  <w:style w:type="character" w:styleId="FollowedHyperlink">
    <w:name w:val="FollowedHyperlink"/>
    <w:basedOn w:val="DefaultParagraphFont"/>
    <w:uiPriority w:val="99"/>
    <w:semiHidden/>
    <w:unhideWhenUsed/>
    <w:rsid w:val="00897772"/>
    <w:rPr>
      <w:color w:val="954F72" w:themeColor="followedHyperlink"/>
      <w:u w:val="single"/>
    </w:rPr>
  </w:style>
  <w:style w:type="character" w:customStyle="1" w:styleId="UnresolvedMention">
    <w:name w:val="Unresolved Mention"/>
    <w:basedOn w:val="DefaultParagraphFont"/>
    <w:uiPriority w:val="99"/>
    <w:semiHidden/>
    <w:unhideWhenUsed/>
    <w:rsid w:val="0049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lobalreporting.org/media/sfcpcrt4/gri-207-tax-standard-2019-factsheet.pdf?id=1616" TargetMode="External"/><Relationship Id="rId1" Type="http://schemas.openxmlformats.org/officeDocument/2006/relationships/hyperlink" Target="https://static1.squarespace.com/static/5a0c602bf43b5594845abb81/t/5d979e6dc5f7cb7b66842c49/1570217588721/ICRICT-INTERNATIONAL+CORPORATE+TAX+RE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70AFD-FCD8-4D5E-8600-AFAC7753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dc:description/>
  <cp:lastModifiedBy>Olivia Lally</cp:lastModifiedBy>
  <cp:revision>2</cp:revision>
  <dcterms:created xsi:type="dcterms:W3CDTF">2021-10-20T10:43:00Z</dcterms:created>
  <dcterms:modified xsi:type="dcterms:W3CDTF">2021-10-20T10:43:00Z</dcterms:modified>
</cp:coreProperties>
</file>