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1C179" w14:textId="77777777" w:rsidR="00733933" w:rsidRDefault="00733933" w:rsidP="00733933">
      <w:r>
        <w:t>Foundations for Youth Success</w:t>
      </w:r>
    </w:p>
    <w:p w14:paraId="355832A6" w14:textId="77777777" w:rsidR="00733933" w:rsidRDefault="00733933" w:rsidP="00733933">
      <w:r>
        <w:t>April 2016 Meeting</w:t>
      </w:r>
    </w:p>
    <w:p w14:paraId="139BCF2B" w14:textId="77777777" w:rsidR="00733933" w:rsidRDefault="00733933" w:rsidP="00733933">
      <w:r>
        <w:t>Minneapolis, Minnesota</w:t>
      </w:r>
    </w:p>
    <w:p w14:paraId="5B675553" w14:textId="77777777" w:rsidR="00733933" w:rsidRDefault="00733933" w:rsidP="00733933"/>
    <w:p w14:paraId="26412D8A" w14:textId="77777777" w:rsidR="00733933" w:rsidRDefault="00733933" w:rsidP="00733933">
      <w:r>
        <w:t>Day 1: Thursday, April 7, 2016</w:t>
      </w:r>
    </w:p>
    <w:p w14:paraId="2D7CDF8D" w14:textId="77777777" w:rsidR="00733933" w:rsidRDefault="00733933" w:rsidP="00733933">
      <w:pPr>
        <w:rPr>
          <w:b/>
        </w:rPr>
      </w:pPr>
    </w:p>
    <w:p w14:paraId="7F78DC25" w14:textId="77777777" w:rsidR="005F3A26" w:rsidRPr="005F3A26" w:rsidRDefault="005F3A26" w:rsidP="005F3A26">
      <w:pPr>
        <w:rPr>
          <w:b/>
        </w:rPr>
      </w:pPr>
      <w:r w:rsidRPr="005F3A26">
        <w:rPr>
          <w:b/>
        </w:rPr>
        <w:t>Fishbowl</w:t>
      </w:r>
    </w:p>
    <w:p w14:paraId="5AA27BB0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The Fish:</w:t>
      </w:r>
    </w:p>
    <w:p w14:paraId="266FFFB5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>Jim Koppel, assist commissioner for children and family services MN depart of human services. Does TANF, SNAP, and Child Welfare</w:t>
      </w:r>
    </w:p>
    <w:p w14:paraId="31B18464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 Andrea </w:t>
      </w:r>
      <w:proofErr w:type="spellStart"/>
      <w:r>
        <w:t>Simonett</w:t>
      </w:r>
      <w:proofErr w:type="spellEnd"/>
      <w:r>
        <w:t>, Minnesota Department of Human services, Assist. Commissioner for Children and Family services</w:t>
      </w:r>
    </w:p>
    <w:p w14:paraId="0230CEAB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Travis </w:t>
      </w:r>
      <w:proofErr w:type="spellStart"/>
      <w:r>
        <w:t>Gransee</w:t>
      </w:r>
      <w:proofErr w:type="spellEnd"/>
      <w:r>
        <w:t xml:space="preserve">, Director, Dodge, </w:t>
      </w:r>
      <w:proofErr w:type="spellStart"/>
      <w:r>
        <w:t>Filmore</w:t>
      </w:r>
      <w:proofErr w:type="spellEnd"/>
      <w:r>
        <w:t>, Olmsted county community corrections at Olmsted County in Minnesota. Trying to keep people out of the system. Works in probation and reports to the same person as Jodi.</w:t>
      </w:r>
    </w:p>
    <w:p w14:paraId="25751D89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Jodi M. </w:t>
      </w:r>
      <w:proofErr w:type="spellStart"/>
      <w:r>
        <w:t>Wentland</w:t>
      </w:r>
      <w:proofErr w:type="spellEnd"/>
      <w:r>
        <w:t xml:space="preserve">, Olmsted County Community Services. </w:t>
      </w:r>
    </w:p>
    <w:p w14:paraId="18FAD915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Beth </w:t>
      </w:r>
      <w:proofErr w:type="spellStart"/>
      <w:r>
        <w:t>Holdger</w:t>
      </w:r>
      <w:proofErr w:type="spellEnd"/>
      <w:r>
        <w:t>-Ambrose, ED of The Link. Experience in direct services for youth.</w:t>
      </w:r>
    </w:p>
    <w:p w14:paraId="6A66A99B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What was a catalyst for bringing the systems in your community together?</w:t>
      </w:r>
    </w:p>
    <w:p w14:paraId="7F859B3D" w14:textId="451DFEFB" w:rsidR="005F3A26" w:rsidRDefault="002D1EF9" w:rsidP="005F3A26">
      <w:pPr>
        <w:pStyle w:val="ListParagraph"/>
        <w:numPr>
          <w:ilvl w:val="2"/>
          <w:numId w:val="1"/>
        </w:numPr>
      </w:pPr>
      <w:r>
        <w:t>C</w:t>
      </w:r>
      <w:r w:rsidR="005F3A26">
        <w:t>hange of leadership and culture. Need for collaboration was provided from leadership. Also saw that outcomes were not that good. Noticed that they were stepping on each other</w:t>
      </w:r>
      <w:bookmarkStart w:id="0" w:name="_GoBack"/>
      <w:bookmarkEnd w:id="0"/>
      <w:r w:rsidR="005F3A26">
        <w:t>’s toes—needed to re-think to work together to provide services. Created a MOU between the divisions. Wanted to build alternatives for youth in their communities and not have silos</w:t>
      </w:r>
    </w:p>
    <w:p w14:paraId="43A15DA2" w14:textId="656CFD5C" w:rsidR="005F3A26" w:rsidRDefault="005F3A26" w:rsidP="005F3A26">
      <w:pPr>
        <w:pStyle w:val="ListParagraph"/>
        <w:numPr>
          <w:ilvl w:val="2"/>
          <w:numId w:val="1"/>
        </w:numPr>
      </w:pPr>
      <w:r>
        <w:t>Established the culture of ‘these are our kids.’ Did not allow for silos</w:t>
      </w:r>
    </w:p>
    <w:p w14:paraId="2091EE0A" w14:textId="77777777" w:rsidR="005F3A26" w:rsidRDefault="005F3A26" w:rsidP="005F3A26">
      <w:pPr>
        <w:pStyle w:val="ListParagraph"/>
        <w:numPr>
          <w:ilvl w:val="2"/>
          <w:numId w:val="1"/>
        </w:numPr>
      </w:pPr>
      <w:r>
        <w:t>Follow-up: do you have data sharing?</w:t>
      </w:r>
    </w:p>
    <w:p w14:paraId="1965B579" w14:textId="706DC18E" w:rsidR="005F3A26" w:rsidRDefault="002D1EF9" w:rsidP="005F3A26">
      <w:pPr>
        <w:pStyle w:val="ListParagraph"/>
        <w:numPr>
          <w:ilvl w:val="3"/>
          <w:numId w:val="1"/>
        </w:numPr>
      </w:pPr>
      <w:r>
        <w:t>W</w:t>
      </w:r>
      <w:r w:rsidR="005F3A26">
        <w:t>e share a lot of data. Have a unit that collects and shares data in a way that helps them get all of the answers. Always check both systems to see if a youth has open cases in both systems, and then work together</w:t>
      </w:r>
    </w:p>
    <w:p w14:paraId="6DEFB381" w14:textId="1FA5A5B2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Leadership </w:t>
      </w:r>
      <w:r w:rsidR="002D1EF9">
        <w:t>m</w:t>
      </w:r>
      <w:r>
        <w:t>atters a great deal. Creates change and gives permission for others to change. Leaders have to build trust to get the change started. You have to be patient and persistent</w:t>
      </w:r>
    </w:p>
    <w:p w14:paraId="1FC63FD2" w14:textId="111211A6" w:rsidR="005F3A26" w:rsidRDefault="002D1EF9" w:rsidP="005F3A26">
      <w:pPr>
        <w:pStyle w:val="ListParagraph"/>
        <w:numPr>
          <w:ilvl w:val="2"/>
          <w:numId w:val="1"/>
        </w:numPr>
      </w:pPr>
      <w:r>
        <w:t>C</w:t>
      </w:r>
      <w:r w:rsidR="005F3A26">
        <w:t>atalysts can be federal law, a crisis, funding, or data</w:t>
      </w:r>
    </w:p>
    <w:p w14:paraId="138B1AC2" w14:textId="7D3BBED4" w:rsidR="005F3A26" w:rsidRDefault="005F3A26" w:rsidP="005F3A26">
      <w:pPr>
        <w:pStyle w:val="ListParagraph"/>
        <w:numPr>
          <w:ilvl w:val="2"/>
          <w:numId w:val="1"/>
        </w:numPr>
      </w:pPr>
      <w:r>
        <w:t>Advocacy/creating legislation/grassroots movements; partnership between private funders and providers (in response to a funding crisis)</w:t>
      </w:r>
    </w:p>
    <w:p w14:paraId="5A8E322E" w14:textId="7814CDB0" w:rsidR="005F3A26" w:rsidRDefault="005F3A26" w:rsidP="005F3A26">
      <w:pPr>
        <w:pStyle w:val="ListParagraph"/>
        <w:numPr>
          <w:ilvl w:val="2"/>
          <w:numId w:val="1"/>
        </w:numPr>
      </w:pPr>
      <w:r>
        <w:rPr>
          <w:b/>
        </w:rPr>
        <w:t xml:space="preserve">Catalysts: leadership change, data, federal law, crisis, funding changes, grassroots movements/advocacy, corporate leaders, </w:t>
      </w:r>
      <w:proofErr w:type="gramStart"/>
      <w:r>
        <w:rPr>
          <w:b/>
        </w:rPr>
        <w:t>partnerships</w:t>
      </w:r>
      <w:proofErr w:type="gramEnd"/>
      <w:r>
        <w:rPr>
          <w:b/>
        </w:rPr>
        <w:t xml:space="preserve"> </w:t>
      </w:r>
      <w:r>
        <w:t>(between agencies, providers</w:t>
      </w:r>
      <w:r w:rsidR="002D1EF9">
        <w:t xml:space="preserve">, </w:t>
      </w:r>
      <w:r>
        <w:t>private funding, etc.)</w:t>
      </w:r>
    </w:p>
    <w:p w14:paraId="1C280746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What has worked really well in bringing systems into alignment and coordination? What has brought friction?</w:t>
      </w:r>
    </w:p>
    <w:p w14:paraId="46ABC5DF" w14:textId="795A2A41" w:rsidR="005F3A26" w:rsidRDefault="002D1EF9" w:rsidP="005F3A26">
      <w:pPr>
        <w:pStyle w:val="ListParagraph"/>
        <w:numPr>
          <w:ilvl w:val="2"/>
          <w:numId w:val="1"/>
        </w:numPr>
      </w:pPr>
      <w:proofErr w:type="gramStart"/>
      <w:r>
        <w:t>C</w:t>
      </w:r>
      <w:r w:rsidR="005F3A26">
        <w:t>ounty relationships with community non-profits, providers, experts, community, etc. has</w:t>
      </w:r>
      <w:proofErr w:type="gramEnd"/>
      <w:r w:rsidR="005F3A26">
        <w:t xml:space="preserve"> worked well to advance their work. </w:t>
      </w:r>
      <w:r>
        <w:t xml:space="preserve"> </w:t>
      </w:r>
      <w:r w:rsidR="005F3A26">
        <w:t xml:space="preserve">It often is better that the county does not drive the bus—they are able to move around as work ebbs </w:t>
      </w:r>
      <w:proofErr w:type="gramStart"/>
      <w:r w:rsidR="005F3A26">
        <w:t>and</w:t>
      </w:r>
      <w:proofErr w:type="gramEnd"/>
      <w:r w:rsidR="005F3A26">
        <w:t xml:space="preserve"> flows </w:t>
      </w:r>
    </w:p>
    <w:p w14:paraId="46D2D3C1" w14:textId="6360DD0D" w:rsidR="005F3A26" w:rsidRDefault="002D1EF9" w:rsidP="005F3A26">
      <w:pPr>
        <w:pStyle w:val="ListParagraph"/>
        <w:numPr>
          <w:ilvl w:val="2"/>
          <w:numId w:val="1"/>
        </w:numPr>
      </w:pPr>
      <w:r>
        <w:t>H</w:t>
      </w:r>
      <w:r w:rsidR="005F3A26">
        <w:t>ave dynamic, forward-thinking political leadership. County-based administration can allow for counties to do really innovative work, and then you can bring that to scale. Although, there can be great disparities between counties, which is a big challenge</w:t>
      </w:r>
    </w:p>
    <w:p w14:paraId="2112617E" w14:textId="375CAF00" w:rsidR="005F3A26" w:rsidRDefault="002D1EF9" w:rsidP="005F3A26">
      <w:pPr>
        <w:pStyle w:val="ListParagraph"/>
        <w:numPr>
          <w:ilvl w:val="2"/>
          <w:numId w:val="1"/>
        </w:numPr>
      </w:pPr>
      <w:r>
        <w:lastRenderedPageBreak/>
        <w:t>F</w:t>
      </w:r>
      <w:r w:rsidR="005F3A26">
        <w:t>or trafficking, human services convened a meeting of very diverse stakeholders—it was very challenging because everyone had competing priorities. What worked well: bringing young people to the table</w:t>
      </w:r>
    </w:p>
    <w:p w14:paraId="5932D219" w14:textId="49901406" w:rsidR="005F3A26" w:rsidRDefault="002D1EF9" w:rsidP="005F3A26">
      <w:pPr>
        <w:pStyle w:val="ListParagraph"/>
        <w:numPr>
          <w:ilvl w:val="2"/>
          <w:numId w:val="1"/>
        </w:numPr>
      </w:pPr>
      <w:r>
        <w:t>H</w:t>
      </w:r>
      <w:r w:rsidR="005F3A26">
        <w:t>aving youth with lived experience at the table and really listening to them is the thing that is working. They can help inform the discussions and help plan the programs</w:t>
      </w:r>
    </w:p>
    <w:p w14:paraId="0DB2F32F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What is the role of private funders in contributing to, catalyzing, sustaining the systemic collaboration?</w:t>
      </w:r>
    </w:p>
    <w:p w14:paraId="25280D58" w14:textId="375D08BD" w:rsidR="005F3A26" w:rsidRDefault="005F3A26" w:rsidP="005F3A26">
      <w:pPr>
        <w:pStyle w:val="ListParagraph"/>
        <w:numPr>
          <w:ilvl w:val="2"/>
          <w:numId w:val="1"/>
        </w:numPr>
      </w:pPr>
      <w:r>
        <w:t>1) Fund advocacy! 2) Engage youth! Funders can come up with strategies that don’t actually solve the problem—it becomes more about the foundation than the solution</w:t>
      </w:r>
    </w:p>
    <w:p w14:paraId="0C94B673" w14:textId="7208F478" w:rsidR="005F3A26" w:rsidRDefault="002D1EF9" w:rsidP="005F3A26">
      <w:pPr>
        <w:pStyle w:val="ListParagraph"/>
        <w:numPr>
          <w:ilvl w:val="2"/>
          <w:numId w:val="1"/>
        </w:numPr>
      </w:pPr>
      <w:r>
        <w:t>D</w:t>
      </w:r>
      <w:r w:rsidR="005F3A26">
        <w:t>on’t shy away from taking risks! Necessary to create innovative solutions. Start the pilot project</w:t>
      </w:r>
    </w:p>
    <w:p w14:paraId="40280636" w14:textId="3EFCD0E4" w:rsidR="005F3A26" w:rsidRDefault="002D1EF9" w:rsidP="005F3A26">
      <w:pPr>
        <w:pStyle w:val="ListParagraph"/>
        <w:numPr>
          <w:ilvl w:val="2"/>
          <w:numId w:val="1"/>
        </w:numPr>
      </w:pPr>
      <w:r>
        <w:t>P</w:t>
      </w:r>
      <w:r w:rsidR="005F3A26">
        <w:t>rivate funders can bring flexibility and innovation.</w:t>
      </w:r>
    </w:p>
    <w:p w14:paraId="5A831471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How do you get stakeholders involved who don’t have as much internal motivation?</w:t>
      </w:r>
    </w:p>
    <w:p w14:paraId="71B4102F" w14:textId="03E68636" w:rsidR="005F3A26" w:rsidRDefault="005F3A26" w:rsidP="005F3A26">
      <w:pPr>
        <w:pStyle w:val="ListParagraph"/>
        <w:numPr>
          <w:ilvl w:val="2"/>
          <w:numId w:val="1"/>
        </w:numPr>
      </w:pPr>
      <w:r>
        <w:t>Find the champion and work with that person. The energy and motivation can also come from the community—it can come from community leadership as well.</w:t>
      </w:r>
    </w:p>
    <w:p w14:paraId="23DDD2D0" w14:textId="1E3C43CF" w:rsidR="005F3A26" w:rsidRDefault="002D1EF9" w:rsidP="005F3A26">
      <w:pPr>
        <w:pStyle w:val="ListParagraph"/>
        <w:numPr>
          <w:ilvl w:val="2"/>
          <w:numId w:val="1"/>
        </w:numPr>
      </w:pPr>
      <w:r>
        <w:t>T</w:t>
      </w:r>
      <w:r w:rsidR="005F3A26">
        <w:t>he county leaders need the community pressure to keep going. The pressure gives government the permission to do the work</w:t>
      </w:r>
    </w:p>
    <w:p w14:paraId="0FED333B" w14:textId="7569C645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Foundations have so much power and their voice means a lot. They can fund gaps that can’t be addressed by government. Advocacy of the philanthropy—can make huge legislative changes. Example: Women’s foundation put out a challenge to the legislature and made a huge change. </w:t>
      </w:r>
    </w:p>
    <w:p w14:paraId="19D324B8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How does the interagency council at the state level translate to the county level?</w:t>
      </w:r>
    </w:p>
    <w:p w14:paraId="543468DB" w14:textId="4A2C3B9B" w:rsidR="005F3A26" w:rsidRDefault="002D1EF9" w:rsidP="005F3A26">
      <w:pPr>
        <w:pStyle w:val="ListParagraph"/>
        <w:numPr>
          <w:ilvl w:val="2"/>
          <w:numId w:val="1"/>
        </w:numPr>
      </w:pPr>
      <w:r>
        <w:t>S</w:t>
      </w:r>
      <w:r w:rsidR="005F3A26">
        <w:t>tate sometimes has to step in to take the pressure off the counties. Talk to legislature about this—if counties don’t have a change to equalize, some counties are going to continue to do much better than others. Counties cannot be held accountable to achieve on their own—there needs to be a financial state partnership</w:t>
      </w:r>
    </w:p>
    <w:p w14:paraId="79A7745E" w14:textId="398C3034" w:rsidR="005F3A26" w:rsidRDefault="002D1EF9" w:rsidP="005F3A26">
      <w:pPr>
        <w:pStyle w:val="ListParagraph"/>
        <w:numPr>
          <w:ilvl w:val="2"/>
          <w:numId w:val="1"/>
        </w:numPr>
      </w:pPr>
      <w:r>
        <w:t>T</w:t>
      </w:r>
      <w:r w:rsidR="005F3A26">
        <w:t xml:space="preserve">he county-state relationship is on the forefront of the conversation about implementing the interagency </w:t>
      </w:r>
      <w:proofErr w:type="gramStart"/>
      <w:r w:rsidR="005F3A26">
        <w:t>state-wide</w:t>
      </w:r>
      <w:proofErr w:type="gramEnd"/>
      <w:r w:rsidR="005F3A26">
        <w:t xml:space="preserve"> plan.</w:t>
      </w:r>
    </w:p>
    <w:p w14:paraId="2828400C" w14:textId="00B5D948" w:rsidR="005F3A26" w:rsidRDefault="002D1EF9" w:rsidP="005F3A26">
      <w:pPr>
        <w:pStyle w:val="ListParagraph"/>
        <w:numPr>
          <w:ilvl w:val="2"/>
          <w:numId w:val="1"/>
        </w:numPr>
      </w:pPr>
      <w:r>
        <w:t>S</w:t>
      </w:r>
      <w:r w:rsidR="005F3A26">
        <w:t xml:space="preserve">ometimes there are opportunities to being a county—you can move faster than that state and be more innovative. Counties are really good with linking and sharing because they don’t have the same </w:t>
      </w:r>
      <w:r w:rsidR="005F3A26" w:rsidRPr="00B53EF1">
        <w:t>bureaucracy</w:t>
      </w:r>
      <w:r w:rsidR="005F3A26">
        <w:t xml:space="preserve"> as the state</w:t>
      </w:r>
    </w:p>
    <w:p w14:paraId="2B2DD69D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Older unaccompanied minor youth—how do you deal with the discrepancy between PIT counts and what you know from who you serve?</w:t>
      </w:r>
    </w:p>
    <w:p w14:paraId="188F1F1A" w14:textId="58ADA878" w:rsidR="005F3A26" w:rsidRDefault="002D1EF9" w:rsidP="005F3A26">
      <w:pPr>
        <w:pStyle w:val="ListParagraph"/>
        <w:numPr>
          <w:ilvl w:val="2"/>
          <w:numId w:val="1"/>
        </w:numPr>
      </w:pPr>
      <w:r>
        <w:t>P</w:t>
      </w:r>
      <w:r w:rsidR="005F3A26">
        <w:t>roviders try to utilize local data, not just PIT data</w:t>
      </w:r>
    </w:p>
    <w:p w14:paraId="45A8E8A9" w14:textId="3AB0CA8F" w:rsidR="005F3A26" w:rsidRDefault="002D1EF9" w:rsidP="005F3A26">
      <w:pPr>
        <w:pStyle w:val="ListParagraph"/>
        <w:numPr>
          <w:ilvl w:val="2"/>
          <w:numId w:val="1"/>
        </w:numPr>
      </w:pPr>
      <w:r>
        <w:t>Y</w:t>
      </w:r>
      <w:r w:rsidR="005F3A26">
        <w:t>ou have to talk about the PIT data in the right way—qualify it within the larger picture.</w:t>
      </w:r>
    </w:p>
    <w:p w14:paraId="7BF2686B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Legal/corporate partnership to create a handbook to help youth navigate legal issues—has it been helpful?</w:t>
      </w:r>
    </w:p>
    <w:p w14:paraId="1D9CC696" w14:textId="5DA375D8" w:rsidR="005F3A26" w:rsidRDefault="002D1EF9" w:rsidP="005F3A26">
      <w:pPr>
        <w:pStyle w:val="ListParagraph"/>
        <w:numPr>
          <w:ilvl w:val="2"/>
          <w:numId w:val="1"/>
        </w:numPr>
      </w:pPr>
      <w:r>
        <w:t>T</w:t>
      </w:r>
      <w:r w:rsidR="005F3A26">
        <w:t>he handbook has been very helpful, especially in combination with the Youth Law Center, which holds trainings and can represent youth in court.</w:t>
      </w:r>
    </w:p>
    <w:p w14:paraId="227B29C2" w14:textId="77777777" w:rsidR="005F3A26" w:rsidRDefault="005F3A26" w:rsidP="005F3A26">
      <w:pPr>
        <w:pStyle w:val="ListParagraph"/>
        <w:numPr>
          <w:ilvl w:val="1"/>
          <w:numId w:val="1"/>
        </w:numPr>
      </w:pPr>
      <w:r>
        <w:t>Do you feel like there is a window of opportunity to push forward this work? And how do you accelerate the work?</w:t>
      </w:r>
    </w:p>
    <w:p w14:paraId="69FDB2F8" w14:textId="149E9454" w:rsidR="005F3A26" w:rsidRDefault="000B5A5F" w:rsidP="005F3A26">
      <w:pPr>
        <w:pStyle w:val="ListParagraph"/>
        <w:numPr>
          <w:ilvl w:val="2"/>
          <w:numId w:val="1"/>
        </w:numPr>
      </w:pPr>
      <w:r>
        <w:t>L</w:t>
      </w:r>
      <w:r w:rsidR="005F3A26">
        <w:t>ack of visibility fosters a fragmented response. Which reinforces the lack of visibility. Any effort to make the issue visible and create a cohesive message would help break down the fragmentation</w:t>
      </w:r>
    </w:p>
    <w:p w14:paraId="44C7B67A" w14:textId="632CC462" w:rsidR="005F3A26" w:rsidRDefault="000B5A5F" w:rsidP="005F3A26">
      <w:pPr>
        <w:pStyle w:val="ListParagraph"/>
        <w:numPr>
          <w:ilvl w:val="2"/>
          <w:numId w:val="1"/>
        </w:numPr>
      </w:pPr>
      <w:r>
        <w:lastRenderedPageBreak/>
        <w:t>H</w:t>
      </w:r>
      <w:r w:rsidR="005F3A26">
        <w:t xml:space="preserve">ave private foundations and service providers help push government. </w:t>
      </w:r>
    </w:p>
    <w:p w14:paraId="3CB02CC1" w14:textId="361412C3" w:rsidR="005F3A26" w:rsidRDefault="005F3A26" w:rsidP="005F3A26">
      <w:pPr>
        <w:pStyle w:val="ListParagraph"/>
        <w:numPr>
          <w:ilvl w:val="2"/>
          <w:numId w:val="1"/>
        </w:numPr>
      </w:pPr>
      <w:r>
        <w:t xml:space="preserve"> “Prove it”--Fund what works and </w:t>
      </w:r>
      <w:r w:rsidR="000B5A5F">
        <w:t xml:space="preserve">don’t fund </w:t>
      </w:r>
      <w:r>
        <w:t>what doesn’t</w:t>
      </w:r>
    </w:p>
    <w:p w14:paraId="326AE1B9" w14:textId="77777777" w:rsidR="00867C03" w:rsidRDefault="00867C03" w:rsidP="005F3A26"/>
    <w:sectPr w:rsidR="0086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E83DCD" w15:done="0"/>
  <w15:commentEx w15:paraId="11DD110D" w15:paraIdParent="5AE83DCD" w15:done="0"/>
  <w15:commentEx w15:paraId="790FAEAF" w15:done="0"/>
  <w15:commentEx w15:paraId="1E521C62" w15:paraIdParent="790FAEA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0FDC"/>
    <w:multiLevelType w:val="hybridMultilevel"/>
    <w:tmpl w:val="5748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Olney">
    <w15:presenceInfo w15:providerId="None" w15:userId="Jennifer Oln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33"/>
    <w:rsid w:val="000B5A5F"/>
    <w:rsid w:val="002D1EF9"/>
    <w:rsid w:val="0042531D"/>
    <w:rsid w:val="005F3A26"/>
    <w:rsid w:val="00733933"/>
    <w:rsid w:val="00867C03"/>
    <w:rsid w:val="00E964B2"/>
    <w:rsid w:val="00F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3E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733933"/>
    <w:pPr>
      <w:spacing w:after="0" w:line="240" w:lineRule="auto"/>
    </w:pPr>
    <w:rPr>
      <w:rFonts w:asciiTheme="majorHAnsi" w:eastAsiaTheme="min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E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F9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EF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EF9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F9"/>
    <w:rPr>
      <w:rFonts w:asciiTheme="majorHAnsi" w:eastAsiaTheme="minorEastAsia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EF9"/>
    <w:pPr>
      <w:spacing w:after="0" w:line="240" w:lineRule="auto"/>
    </w:pPr>
    <w:rPr>
      <w:rFonts w:asciiTheme="majorHAnsi" w:eastAsiaTheme="minorEastAsia" w:hAnsiTheme="majorHAns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733933"/>
    <w:pPr>
      <w:spacing w:after="0" w:line="240" w:lineRule="auto"/>
    </w:pPr>
    <w:rPr>
      <w:rFonts w:asciiTheme="majorHAnsi" w:eastAsiaTheme="min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E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F9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EF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EF9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F9"/>
    <w:rPr>
      <w:rFonts w:asciiTheme="majorHAnsi" w:eastAsiaTheme="minorEastAsia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EF9"/>
    <w:pPr>
      <w:spacing w:after="0" w:line="240" w:lineRule="auto"/>
    </w:pPr>
    <w:rPr>
      <w:rFonts w:asciiTheme="majorHAnsi" w:eastAsiaTheme="minorEastAsia" w:hAnsiTheme="maj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D4D76D675E4FB33EBDD78C999722" ma:contentTypeVersion="3" ma:contentTypeDescription="Create a new document." ma:contentTypeScope="" ma:versionID="8f259d2565f8c376979805b2dbfb92d4">
  <xsd:schema xmlns:xsd="http://www.w3.org/2001/XMLSchema" xmlns:xs="http://www.w3.org/2001/XMLSchema" xmlns:p="http://schemas.microsoft.com/office/2006/metadata/properties" xmlns:ns2="c1e8f12d-b0db-4f3c-933e-10c5143ac294" targetNamespace="http://schemas.microsoft.com/office/2006/metadata/properties" ma:root="true" ma:fieldsID="e79ebc13a6dfdffa9b10e1457f143230" ns2:_="">
    <xsd:import namespace="c1e8f12d-b0db-4f3c-933e-10c5143ac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f12d-b0db-4f3c-933e-10c5143ac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CC821-3096-4627-9468-193AF775C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8f12d-b0db-4f3c-933e-10c5143a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77F33-F23D-4B45-AD9F-B8833A80D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60E5E-4FA0-483E-A0B0-8E18B06F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859</Words>
  <Characters>4902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Olney</dc:creator>
  <cp:keywords/>
  <dc:description/>
  <cp:lastModifiedBy>Tigran Shougarian</cp:lastModifiedBy>
  <cp:revision>4</cp:revision>
  <dcterms:created xsi:type="dcterms:W3CDTF">2016-12-16T14:56:00Z</dcterms:created>
  <dcterms:modified xsi:type="dcterms:W3CDTF">2016-12-20T14:17:00Z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0x010100A6D4D4D76D675E4FB33EBDD78C999722</vt:lpwstr>
  </property>
</Properties>
</file>