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  <w:r w:rsidRPr="002F77C2">
        <w:rPr>
          <w:rFonts w:cs="Arial"/>
          <w:b/>
          <w:caps/>
          <w:sz w:val="32"/>
          <w:szCs w:val="32"/>
        </w:rPr>
        <w:t xml:space="preserve">Agenda item </w:t>
      </w:r>
      <w:r w:rsidR="00EA62AA" w:rsidRPr="00EA62AA">
        <w:rPr>
          <w:rFonts w:cs="Arial"/>
          <w:b/>
          <w:caps/>
          <w:sz w:val="32"/>
          <w:szCs w:val="32"/>
          <w:highlight w:val="yellow"/>
        </w:rPr>
        <w:t>XX</w:t>
      </w:r>
      <w:r>
        <w:rPr>
          <w:rFonts w:cs="Arial"/>
          <w:b/>
          <w:caps/>
          <w:sz w:val="32"/>
          <w:szCs w:val="32"/>
        </w:rPr>
        <w:t xml:space="preserve"> - </w:t>
      </w:r>
      <w:r w:rsidRPr="00315AFD">
        <w:rPr>
          <w:rFonts w:cs="Arial"/>
          <w:sz w:val="32"/>
          <w:szCs w:val="32"/>
        </w:rPr>
        <w:t xml:space="preserve">Portsmouth City Council </w:t>
      </w:r>
      <w:r>
        <w:rPr>
          <w:rFonts w:cs="Arial"/>
          <w:sz w:val="32"/>
          <w:szCs w:val="32"/>
        </w:rPr>
        <w:t xml:space="preserve">Revenue </w:t>
      </w:r>
      <w:r w:rsidRPr="00315AFD">
        <w:rPr>
          <w:rFonts w:cs="Arial"/>
          <w:sz w:val="32"/>
          <w:szCs w:val="32"/>
        </w:rPr>
        <w:t>Budget</w:t>
      </w:r>
      <w:r>
        <w:rPr>
          <w:rFonts w:cs="Arial"/>
          <w:sz w:val="32"/>
          <w:szCs w:val="32"/>
        </w:rPr>
        <w:t xml:space="preserve"> </w:t>
      </w:r>
      <w:r w:rsidRPr="00315AFD">
        <w:rPr>
          <w:rFonts w:cs="Arial"/>
          <w:sz w:val="32"/>
          <w:szCs w:val="32"/>
        </w:rPr>
        <w:t>201</w:t>
      </w:r>
      <w:r w:rsidR="00EA62AA">
        <w:rPr>
          <w:rFonts w:cs="Arial"/>
          <w:sz w:val="32"/>
          <w:szCs w:val="32"/>
        </w:rPr>
        <w:t>8</w:t>
      </w:r>
      <w:r w:rsidRPr="00315AFD">
        <w:rPr>
          <w:rFonts w:cs="Arial"/>
          <w:sz w:val="32"/>
          <w:szCs w:val="32"/>
        </w:rPr>
        <w:t>/1</w:t>
      </w:r>
      <w:r w:rsidR="00EA62AA">
        <w:rPr>
          <w:rFonts w:cs="Arial"/>
          <w:sz w:val="32"/>
          <w:szCs w:val="32"/>
        </w:rPr>
        <w:t>9</w:t>
      </w:r>
      <w:r w:rsidRPr="00315AFD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- Savings Proposals</w:t>
      </w: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Amendment to Cabinet recommendations attached.</w:t>
      </w: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pStyle w:val="ListParagraph"/>
        <w:ind w:left="0"/>
        <w:rPr>
          <w:rFonts w:cs="Arial"/>
          <w:sz w:val="32"/>
          <w:szCs w:val="32"/>
        </w:rPr>
      </w:pPr>
    </w:p>
    <w:p w:rsidR="00E35071" w:rsidRDefault="00E35071" w:rsidP="00E35071">
      <w:pPr>
        <w:rPr>
          <w:rFonts w:ascii="Arial" w:hAnsi="Arial" w:cs="Arial"/>
          <w:sz w:val="28"/>
        </w:rPr>
      </w:pPr>
    </w:p>
    <w:p w:rsidR="00E35071" w:rsidRDefault="00E35071" w:rsidP="00E3507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Proposed by (Name) </w:t>
      </w:r>
      <w:r w:rsidR="00CD6976">
        <w:rPr>
          <w:rFonts w:ascii="Arial" w:hAnsi="Arial" w:cs="Arial"/>
          <w:sz w:val="28"/>
        </w:rPr>
        <w:t xml:space="preserve">    </w:t>
      </w:r>
      <w:r w:rsidR="00CD6976" w:rsidRPr="00CD6976">
        <w:rPr>
          <w:rFonts w:ascii="Arial" w:hAnsi="Arial" w:cs="Arial"/>
          <w:sz w:val="28"/>
        </w:rPr>
        <w:t>Councillor Hugh Mason</w:t>
      </w:r>
    </w:p>
    <w:p w:rsidR="00CD6976" w:rsidRDefault="00CD6976" w:rsidP="00E35071">
      <w:pPr>
        <w:rPr>
          <w:rFonts w:ascii="Arial" w:hAnsi="Arial" w:cs="Arial"/>
          <w:sz w:val="28"/>
        </w:rPr>
      </w:pPr>
    </w:p>
    <w:p w:rsidR="00E35071" w:rsidRPr="00FB5C4A" w:rsidRDefault="00E35071" w:rsidP="00E35071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Signed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:rsidR="00E35071" w:rsidRDefault="00E35071" w:rsidP="00E35071">
      <w:pPr>
        <w:rPr>
          <w:rFonts w:ascii="Arial" w:hAnsi="Arial" w:cs="Arial"/>
          <w:sz w:val="28"/>
        </w:rPr>
      </w:pPr>
    </w:p>
    <w:p w:rsidR="00E35071" w:rsidRDefault="00E35071" w:rsidP="00E35071">
      <w:pPr>
        <w:rPr>
          <w:rFonts w:ascii="Arial" w:hAnsi="Arial" w:cs="Arial"/>
          <w:sz w:val="28"/>
        </w:rPr>
      </w:pPr>
    </w:p>
    <w:p w:rsidR="00E35071" w:rsidRDefault="00E35071" w:rsidP="00E35071">
      <w:pPr>
        <w:rPr>
          <w:rFonts w:ascii="Arial" w:hAnsi="Arial" w:cs="Arial"/>
          <w:sz w:val="28"/>
        </w:rPr>
      </w:pPr>
    </w:p>
    <w:p w:rsidR="00E35071" w:rsidRDefault="00E35071" w:rsidP="00E35071">
      <w:pPr>
        <w:rPr>
          <w:rFonts w:ascii="Arial" w:hAnsi="Arial" w:cs="Arial"/>
          <w:sz w:val="28"/>
        </w:rPr>
      </w:pPr>
    </w:p>
    <w:p w:rsidR="00E35071" w:rsidRPr="00FB5C4A" w:rsidRDefault="00E35071" w:rsidP="00E35071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Seconded by (Name) </w:t>
      </w:r>
      <w:r w:rsidR="00CD6976">
        <w:rPr>
          <w:rFonts w:ascii="Arial" w:hAnsi="Arial" w:cs="Arial"/>
          <w:sz w:val="28"/>
        </w:rPr>
        <w:tab/>
        <w:t>Councillor Ben Dowling</w:t>
      </w:r>
    </w:p>
    <w:p w:rsidR="00E35071" w:rsidRDefault="00E35071" w:rsidP="00E35071">
      <w:pPr>
        <w:rPr>
          <w:rFonts w:ascii="Arial" w:hAnsi="Arial" w:cs="Arial"/>
          <w:sz w:val="28"/>
        </w:rPr>
      </w:pPr>
    </w:p>
    <w:p w:rsidR="00E35071" w:rsidRPr="00FB5C4A" w:rsidRDefault="00E35071" w:rsidP="00E35071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Signed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:rsidR="00E35071" w:rsidRDefault="00E35071" w:rsidP="00E35071">
      <w:pPr>
        <w:pStyle w:val="BodyText"/>
        <w:jc w:val="left"/>
        <w:rPr>
          <w:rFonts w:ascii="Arial" w:hAnsi="Arial"/>
          <w:b/>
          <w:sz w:val="28"/>
          <w:u w:val="single"/>
        </w:rPr>
      </w:pPr>
    </w:p>
    <w:p w:rsidR="00B76EC4" w:rsidRDefault="00E35071" w:rsidP="00E35071">
      <w:pPr>
        <w:pStyle w:val="BodyText"/>
        <w:jc w:val="lef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br w:type="page"/>
      </w:r>
      <w:r w:rsidR="00B76EC4">
        <w:rPr>
          <w:rFonts w:ascii="Arial" w:hAnsi="Arial"/>
          <w:b/>
          <w:sz w:val="28"/>
          <w:u w:val="single"/>
        </w:rPr>
        <w:t xml:space="preserve">Amendment proposed by the </w:t>
      </w:r>
      <w:r w:rsidR="008229B1">
        <w:rPr>
          <w:rFonts w:ascii="Arial" w:hAnsi="Arial"/>
          <w:b/>
          <w:sz w:val="28"/>
          <w:u w:val="single"/>
        </w:rPr>
        <w:t>Liberal Democrat Group</w:t>
      </w:r>
      <w:r w:rsidR="00B76EC4">
        <w:rPr>
          <w:rFonts w:ascii="Arial" w:hAnsi="Arial"/>
          <w:b/>
          <w:sz w:val="28"/>
          <w:u w:val="single"/>
        </w:rPr>
        <w:t xml:space="preserve"> </w:t>
      </w:r>
      <w:r w:rsidR="00B76EC4">
        <w:rPr>
          <w:rFonts w:ascii="Arial" w:hAnsi="Arial"/>
          <w:b/>
          <w:sz w:val="28"/>
        </w:rPr>
        <w:t xml:space="preserve"> </w:t>
      </w:r>
    </w:p>
    <w:p w:rsidR="00B76EC4" w:rsidRDefault="00B76EC4">
      <w:pPr>
        <w:pStyle w:val="BodyText"/>
        <w:jc w:val="left"/>
        <w:rPr>
          <w:i/>
          <w:sz w:val="28"/>
        </w:rPr>
      </w:pPr>
    </w:p>
    <w:p w:rsidR="0082774D" w:rsidRDefault="0082774D">
      <w:pPr>
        <w:pStyle w:val="BodyText"/>
        <w:rPr>
          <w:rFonts w:ascii="Arial" w:hAnsi="Arial"/>
          <w:b/>
          <w:sz w:val="28"/>
        </w:rPr>
      </w:pPr>
    </w:p>
    <w:p w:rsidR="00B76EC4" w:rsidRDefault="00D67FA2">
      <w:pPr>
        <w:pStyle w:val="BodyText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Portsmouth City Council Revenue </w:t>
      </w:r>
      <w:r w:rsidR="00B76EC4">
        <w:rPr>
          <w:rFonts w:ascii="Arial" w:hAnsi="Arial"/>
          <w:b/>
          <w:sz w:val="28"/>
        </w:rPr>
        <w:t>Budget 20</w:t>
      </w:r>
      <w:r w:rsidR="004769B2">
        <w:rPr>
          <w:rFonts w:ascii="Arial" w:hAnsi="Arial"/>
          <w:b/>
          <w:sz w:val="28"/>
        </w:rPr>
        <w:t>1</w:t>
      </w:r>
      <w:r w:rsidR="00EA62AA">
        <w:rPr>
          <w:rFonts w:ascii="Arial" w:hAnsi="Arial"/>
          <w:b/>
          <w:sz w:val="28"/>
        </w:rPr>
        <w:t>8</w:t>
      </w:r>
      <w:r w:rsidR="004769B2">
        <w:rPr>
          <w:rFonts w:ascii="Arial" w:hAnsi="Arial"/>
          <w:b/>
          <w:sz w:val="28"/>
        </w:rPr>
        <w:t>/1</w:t>
      </w:r>
      <w:r w:rsidR="00EA62AA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- Savings Proposals</w:t>
      </w:r>
      <w:r w:rsidR="00B76EC4">
        <w:rPr>
          <w:rFonts w:ascii="Arial" w:hAnsi="Arial"/>
          <w:b/>
          <w:sz w:val="28"/>
        </w:rPr>
        <w:tab/>
      </w:r>
      <w:r w:rsidR="00B76EC4">
        <w:rPr>
          <w:rFonts w:ascii="Arial" w:hAnsi="Arial"/>
          <w:b/>
          <w:sz w:val="28"/>
        </w:rPr>
        <w:tab/>
      </w:r>
    </w:p>
    <w:p w:rsidR="00B76EC4" w:rsidRDefault="00B76EC4">
      <w:pPr>
        <w:pStyle w:val="BodyText"/>
      </w:pPr>
    </w:p>
    <w:p w:rsidR="00B76EC4" w:rsidRDefault="00B76EC4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That the recommendations of the Cabinet of </w:t>
      </w:r>
      <w:r w:rsidR="00EA62AA">
        <w:rPr>
          <w:rFonts w:ascii="Arial" w:hAnsi="Arial"/>
        </w:rPr>
        <w:t>11</w:t>
      </w:r>
      <w:r w:rsidR="00DB38E1" w:rsidRPr="00DB38E1">
        <w:rPr>
          <w:rFonts w:ascii="Arial" w:hAnsi="Arial"/>
          <w:vertAlign w:val="superscript"/>
        </w:rPr>
        <w:t>th</w:t>
      </w:r>
      <w:r w:rsidR="00DB38E1">
        <w:rPr>
          <w:rFonts w:ascii="Arial" w:hAnsi="Arial"/>
        </w:rPr>
        <w:t xml:space="preserve"> </w:t>
      </w:r>
      <w:r w:rsidR="00A02BB1">
        <w:rPr>
          <w:rFonts w:ascii="Arial" w:hAnsi="Arial"/>
        </w:rPr>
        <w:t>December</w:t>
      </w:r>
      <w:r>
        <w:rPr>
          <w:rFonts w:ascii="Arial" w:hAnsi="Arial"/>
        </w:rPr>
        <w:t xml:space="preserve"> 20</w:t>
      </w:r>
      <w:r w:rsidR="004769B2">
        <w:rPr>
          <w:rFonts w:ascii="Arial" w:hAnsi="Arial"/>
        </w:rPr>
        <w:t>1</w:t>
      </w:r>
      <w:r w:rsidR="00EA62AA">
        <w:rPr>
          <w:rFonts w:ascii="Arial" w:hAnsi="Arial"/>
        </w:rPr>
        <w:t>7</w:t>
      </w:r>
      <w:r>
        <w:rPr>
          <w:rFonts w:ascii="Arial" w:hAnsi="Arial"/>
        </w:rPr>
        <w:t xml:space="preserve"> (Minute </w:t>
      </w:r>
      <w:r w:rsidR="00EA62AA" w:rsidRPr="00EA62AA">
        <w:rPr>
          <w:rFonts w:ascii="Arial" w:hAnsi="Arial"/>
          <w:highlight w:val="yellow"/>
        </w:rPr>
        <w:t>XX</w:t>
      </w:r>
      <w:r w:rsidRPr="002E1C0E">
        <w:rPr>
          <w:rFonts w:ascii="Arial" w:hAnsi="Arial"/>
        </w:rPr>
        <w:t>/</w:t>
      </w:r>
      <w:r w:rsidR="00E650DF">
        <w:rPr>
          <w:rFonts w:ascii="Arial" w:hAnsi="Arial"/>
        </w:rPr>
        <w:t>1</w:t>
      </w:r>
      <w:r w:rsidR="00EA62AA">
        <w:rPr>
          <w:rFonts w:ascii="Arial" w:hAnsi="Arial"/>
        </w:rPr>
        <w:t>7</w:t>
      </w:r>
      <w:r>
        <w:rPr>
          <w:rFonts w:ascii="Arial" w:hAnsi="Arial"/>
        </w:rPr>
        <w:t xml:space="preserve">) on "Portsmouth City Council </w:t>
      </w:r>
      <w:r w:rsidR="00D67FA2">
        <w:rPr>
          <w:rFonts w:ascii="Arial" w:hAnsi="Arial"/>
        </w:rPr>
        <w:t xml:space="preserve">Revenue </w:t>
      </w:r>
      <w:r>
        <w:rPr>
          <w:rFonts w:ascii="Arial" w:hAnsi="Arial"/>
        </w:rPr>
        <w:t>Budget 20</w:t>
      </w:r>
      <w:r w:rsidR="004769B2">
        <w:rPr>
          <w:rFonts w:ascii="Arial" w:hAnsi="Arial"/>
        </w:rPr>
        <w:t>1</w:t>
      </w:r>
      <w:r w:rsidR="00EA62AA">
        <w:rPr>
          <w:rFonts w:ascii="Arial" w:hAnsi="Arial"/>
        </w:rPr>
        <w:t>8</w:t>
      </w:r>
      <w:r w:rsidR="004769B2">
        <w:rPr>
          <w:rFonts w:ascii="Arial" w:hAnsi="Arial"/>
        </w:rPr>
        <w:t>/1</w:t>
      </w:r>
      <w:r w:rsidR="00EA62AA">
        <w:rPr>
          <w:rFonts w:ascii="Arial" w:hAnsi="Arial"/>
        </w:rPr>
        <w:t>9</w:t>
      </w:r>
      <w:r w:rsidR="00D67FA2">
        <w:rPr>
          <w:rFonts w:ascii="Arial" w:hAnsi="Arial"/>
        </w:rPr>
        <w:t xml:space="preserve"> - Savings Proposals</w:t>
      </w:r>
      <w:r w:rsidR="00462C62">
        <w:rPr>
          <w:rFonts w:ascii="Arial" w:hAnsi="Arial"/>
        </w:rPr>
        <w:t>"</w:t>
      </w:r>
      <w:r w:rsidR="00D67FA2">
        <w:rPr>
          <w:rFonts w:ascii="Arial" w:hAnsi="Arial"/>
        </w:rPr>
        <w:t xml:space="preserve"> </w:t>
      </w:r>
      <w:r>
        <w:rPr>
          <w:rFonts w:ascii="Arial" w:hAnsi="Arial"/>
        </w:rPr>
        <w:t>be amended as follows:-</w:t>
      </w:r>
    </w:p>
    <w:p w:rsidR="00B76EC4" w:rsidRDefault="00B76EC4">
      <w:pPr>
        <w:pStyle w:val="BodyText"/>
        <w:rPr>
          <w:rFonts w:ascii="Arial" w:hAnsi="Arial"/>
        </w:rPr>
      </w:pPr>
    </w:p>
    <w:p w:rsidR="009D5745" w:rsidRDefault="009D5745" w:rsidP="009D5745">
      <w:pPr>
        <w:pStyle w:val="BodyText"/>
        <w:rPr>
          <w:rFonts w:ascii="Arial" w:hAnsi="Arial"/>
        </w:rPr>
      </w:pPr>
      <w:r>
        <w:rPr>
          <w:rFonts w:ascii="Arial" w:hAnsi="Arial"/>
          <w:b/>
        </w:rPr>
        <w:t>Recommendation 1 of the Cabinet be amended to:-</w:t>
      </w:r>
    </w:p>
    <w:p w:rsidR="009D5745" w:rsidRDefault="009D5745" w:rsidP="009D5745">
      <w:pPr>
        <w:pStyle w:val="BodyText"/>
        <w:ind w:left="1080"/>
        <w:rPr>
          <w:rFonts w:ascii="Arial" w:hAnsi="Arial"/>
        </w:rPr>
      </w:pPr>
    </w:p>
    <w:p w:rsidR="009D5745" w:rsidRDefault="009D5745" w:rsidP="009D5745">
      <w:pPr>
        <w:pStyle w:val="BodyText"/>
        <w:ind w:left="567" w:hanging="567"/>
        <w:rPr>
          <w:rFonts w:ascii="Arial" w:hAnsi="Arial"/>
        </w:rPr>
      </w:pPr>
      <w:r>
        <w:rPr>
          <w:rFonts w:ascii="Arial" w:hAnsi="Arial"/>
          <w:b/>
        </w:rPr>
        <w:t>(d)</w:t>
      </w:r>
      <w:r>
        <w:rPr>
          <w:rFonts w:ascii="Arial" w:hAnsi="Arial"/>
          <w:b/>
        </w:rPr>
        <w:tab/>
      </w:r>
      <w:r w:rsidRPr="00823976">
        <w:rPr>
          <w:rFonts w:ascii="Arial" w:hAnsi="Arial"/>
        </w:rPr>
        <w:t xml:space="preserve">The savings proposals </w:t>
      </w:r>
      <w:r>
        <w:rPr>
          <w:rFonts w:ascii="Arial" w:hAnsi="Arial"/>
        </w:rPr>
        <w:t xml:space="preserve">for each Portfolio </w:t>
      </w:r>
      <w:r w:rsidRPr="00823976">
        <w:rPr>
          <w:rFonts w:ascii="Arial" w:hAnsi="Arial"/>
        </w:rPr>
        <w:t>amounting</w:t>
      </w:r>
      <w:r>
        <w:rPr>
          <w:rFonts w:ascii="Arial" w:hAnsi="Arial"/>
        </w:rPr>
        <w:t>, in total,</w:t>
      </w:r>
      <w:r w:rsidRPr="00823976">
        <w:rPr>
          <w:rFonts w:ascii="Arial" w:hAnsi="Arial"/>
        </w:rPr>
        <w:t xml:space="preserve"> to £</w:t>
      </w:r>
      <w:r>
        <w:rPr>
          <w:rFonts w:ascii="Arial" w:hAnsi="Arial"/>
        </w:rPr>
        <w:t>4.0</w:t>
      </w:r>
      <w:r w:rsidRPr="00823976">
        <w:rPr>
          <w:rFonts w:ascii="Arial" w:hAnsi="Arial"/>
        </w:rPr>
        <w:t>m for 201</w:t>
      </w:r>
      <w:r>
        <w:rPr>
          <w:rFonts w:ascii="Arial" w:hAnsi="Arial"/>
        </w:rPr>
        <w:t>8</w:t>
      </w:r>
      <w:r w:rsidRPr="00823976">
        <w:rPr>
          <w:rFonts w:ascii="Arial" w:hAnsi="Arial"/>
        </w:rPr>
        <w:t>/1</w:t>
      </w:r>
      <w:r>
        <w:rPr>
          <w:rFonts w:ascii="Arial" w:hAnsi="Arial"/>
        </w:rPr>
        <w:t xml:space="preserve">9 and continuing into future years </w:t>
      </w:r>
      <w:r w:rsidRPr="00823976">
        <w:rPr>
          <w:rFonts w:ascii="Arial" w:hAnsi="Arial"/>
        </w:rPr>
        <w:t xml:space="preserve">as set out </w:t>
      </w:r>
      <w:r>
        <w:rPr>
          <w:rFonts w:ascii="Arial" w:hAnsi="Arial"/>
        </w:rPr>
        <w:t xml:space="preserve">in Appendix A </w:t>
      </w:r>
      <w:r w:rsidR="00381BCB">
        <w:rPr>
          <w:rFonts w:ascii="Arial" w:hAnsi="Arial"/>
        </w:rPr>
        <w:t xml:space="preserve">of the report </w:t>
      </w:r>
      <w:r>
        <w:rPr>
          <w:rFonts w:ascii="Arial" w:hAnsi="Arial"/>
        </w:rPr>
        <w:t>to enable appropriate consultation and notice periods to be given to  affected parties be replaced as follows</w:t>
      </w:r>
      <w:r w:rsidRPr="00823976">
        <w:rPr>
          <w:rFonts w:ascii="Arial" w:hAnsi="Arial"/>
        </w:rPr>
        <w:t>:</w:t>
      </w:r>
    </w:p>
    <w:p w:rsidR="009D5745" w:rsidRDefault="009D5745" w:rsidP="009D5745">
      <w:pPr>
        <w:pStyle w:val="BodyText"/>
        <w:ind w:left="567" w:hanging="567"/>
        <w:rPr>
          <w:rFonts w:ascii="Arial" w:hAnsi="Arial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5612"/>
        <w:gridCol w:w="1529"/>
        <w:gridCol w:w="1529"/>
      </w:tblGrid>
      <w:tr w:rsidR="009D5745" w:rsidRPr="00B345B2" w:rsidTr="00E540BA">
        <w:trPr>
          <w:trHeight w:val="1062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745" w:rsidRPr="00B345B2" w:rsidRDefault="009D5745" w:rsidP="00E540BA">
            <w:pP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Portfolio/Committee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745" w:rsidRPr="00B345B2" w:rsidRDefault="009D5745" w:rsidP="00E5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201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8</w:t>
            </w: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/1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45" w:rsidRPr="00B345B2" w:rsidRDefault="009D5745" w:rsidP="00E5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201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9</w:t>
            </w: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20</w:t>
            </w: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 xml:space="preserve"> &amp; Future Years</w:t>
            </w:r>
          </w:p>
        </w:tc>
      </w:tr>
      <w:tr w:rsidR="009D5745" w:rsidRPr="00B345B2" w:rsidTr="00E540BA">
        <w:trPr>
          <w:trHeight w:val="354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745" w:rsidRPr="00B345B2" w:rsidRDefault="009D5745" w:rsidP="00E540BA">
            <w:pP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45" w:rsidRPr="00B345B2" w:rsidRDefault="009D5745" w:rsidP="00E5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£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45" w:rsidRPr="00B345B2" w:rsidRDefault="009D5745" w:rsidP="00E5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£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E540BA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Children's Social Care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E540BA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381BCB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6210B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Culture, Leisure and Sport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272,300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032920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267,300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6210B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Education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180,000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381BCB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180,000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6210B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Environment and Community Safety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032920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(78,000)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032920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(189,000)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6210B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Health and Social Care - Adult Social Care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860,600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381BCB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860,600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6210B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Health and Social Care - Public Health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236,000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381BCB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236,000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6210B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Housing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104,000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032920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108,000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6210B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Planning Regeneration and Economic Development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815,100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381BCB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815,100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6210B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Resources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890,000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032920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826,000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6210B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Traffic and Transportation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451,000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381BCB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627,000</w:t>
            </w:r>
          </w:p>
        </w:tc>
      </w:tr>
      <w:tr w:rsidR="00032920" w:rsidRPr="00B345B2" w:rsidTr="00E540BA">
        <w:trPr>
          <w:trHeight w:val="354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E540BA" w:rsidRDefault="00032920" w:rsidP="006210B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E540BA">
              <w:rPr>
                <w:rFonts w:ascii="Arial" w:hAnsi="Arial" w:cs="Arial"/>
                <w:sz w:val="28"/>
                <w:szCs w:val="28"/>
                <w:lang w:eastAsia="en-GB"/>
              </w:rPr>
              <w:t>Other Expenditure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269,000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20" w:rsidRPr="00B345B2" w:rsidRDefault="00032920" w:rsidP="00381BCB">
            <w:pPr>
              <w:jc w:val="right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269,000</w:t>
            </w:r>
          </w:p>
        </w:tc>
      </w:tr>
      <w:tr w:rsidR="00032920" w:rsidRPr="00B345B2" w:rsidTr="00E540BA">
        <w:trPr>
          <w:trHeight w:val="369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920" w:rsidRPr="00B345B2" w:rsidRDefault="00032920" w:rsidP="006210B5">
            <w:pP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Grand Total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4</w:t>
            </w: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,000,000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20" w:rsidRPr="00B345B2" w:rsidRDefault="00032920" w:rsidP="006210B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4</w:t>
            </w:r>
            <w:r w:rsidRPr="00B345B2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,000,000</w:t>
            </w:r>
          </w:p>
        </w:tc>
      </w:tr>
    </w:tbl>
    <w:p w:rsidR="009D5745" w:rsidRDefault="009D5745" w:rsidP="00A700C0">
      <w:pPr>
        <w:pStyle w:val="Outline3"/>
        <w:ind w:left="720" w:hanging="720"/>
        <w:jc w:val="left"/>
        <w:rPr>
          <w:rFonts w:ascii="Arial" w:hAnsi="Arial"/>
          <w:b/>
        </w:rPr>
      </w:pPr>
    </w:p>
    <w:p w:rsidR="009D5745" w:rsidRDefault="009D5745">
      <w:pPr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</w:rPr>
        <w:br w:type="page"/>
      </w:r>
    </w:p>
    <w:p w:rsidR="00A700C0" w:rsidRPr="00FB509C" w:rsidRDefault="00A700C0" w:rsidP="00A700C0">
      <w:pPr>
        <w:pStyle w:val="Outline3"/>
        <w:ind w:left="720" w:hanging="72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Rec</w:t>
      </w:r>
      <w:r w:rsidRPr="00FB509C">
        <w:rPr>
          <w:rFonts w:ascii="Arial" w:hAnsi="Arial"/>
          <w:b/>
        </w:rPr>
        <w:t xml:space="preserve">ommendation 2 </w:t>
      </w:r>
      <w:r w:rsidR="00462C62">
        <w:rPr>
          <w:rFonts w:ascii="Arial" w:hAnsi="Arial"/>
          <w:b/>
        </w:rPr>
        <w:t xml:space="preserve">of the </w:t>
      </w:r>
      <w:r w:rsidR="00E02A73">
        <w:rPr>
          <w:rFonts w:ascii="Arial" w:hAnsi="Arial"/>
          <w:b/>
        </w:rPr>
        <w:t>Cabinet</w:t>
      </w:r>
      <w:r w:rsidR="00462C62">
        <w:rPr>
          <w:rFonts w:ascii="Arial" w:hAnsi="Arial"/>
          <w:b/>
        </w:rPr>
        <w:t xml:space="preserve"> </w:t>
      </w:r>
      <w:r w:rsidRPr="00FB509C">
        <w:rPr>
          <w:rFonts w:ascii="Arial" w:hAnsi="Arial"/>
          <w:b/>
        </w:rPr>
        <w:t>be amended to:-</w:t>
      </w:r>
    </w:p>
    <w:p w:rsidR="002F7458" w:rsidRDefault="00FB509C" w:rsidP="00E47AD1">
      <w:pPr>
        <w:pStyle w:val="BodyText"/>
        <w:ind w:left="709" w:hanging="709"/>
        <w:rPr>
          <w:rFonts w:ascii="Arial" w:hAnsi="Arial"/>
        </w:rPr>
      </w:pPr>
      <w:r>
        <w:rPr>
          <w:rFonts w:ascii="Arial" w:hAnsi="Arial"/>
          <w:b/>
        </w:rPr>
        <w:t>(c)</w:t>
      </w:r>
      <w:r>
        <w:rPr>
          <w:rFonts w:ascii="Arial" w:hAnsi="Arial"/>
          <w:b/>
        </w:rPr>
        <w:tab/>
      </w:r>
      <w:r w:rsidRPr="00FB509C">
        <w:rPr>
          <w:rFonts w:ascii="Arial" w:hAnsi="Arial"/>
        </w:rPr>
        <w:t xml:space="preserve">The indicative savings proposals set out in Appendix B </w:t>
      </w:r>
      <w:r w:rsidR="00EF2757">
        <w:rPr>
          <w:rFonts w:ascii="Arial" w:hAnsi="Arial"/>
        </w:rPr>
        <w:t xml:space="preserve">of the report </w:t>
      </w:r>
      <w:r w:rsidRPr="00FB509C">
        <w:rPr>
          <w:rFonts w:ascii="Arial" w:hAnsi="Arial"/>
        </w:rPr>
        <w:t xml:space="preserve">which are provided for the purpose of demonstrating to the Council that the Portfolio savings as recommended in paragraph </w:t>
      </w:r>
      <w:r w:rsidR="00E02A73">
        <w:rPr>
          <w:rFonts w:ascii="Arial" w:hAnsi="Arial"/>
        </w:rPr>
        <w:t>1</w:t>
      </w:r>
      <w:r w:rsidRPr="00FB509C">
        <w:rPr>
          <w:rFonts w:ascii="Arial" w:hAnsi="Arial"/>
        </w:rPr>
        <w:t xml:space="preserve"> (</w:t>
      </w:r>
      <w:r w:rsidR="00FD2514">
        <w:rPr>
          <w:rFonts w:ascii="Arial" w:hAnsi="Arial"/>
        </w:rPr>
        <w:t>d</w:t>
      </w:r>
      <w:r w:rsidRPr="00FB509C">
        <w:rPr>
          <w:rFonts w:ascii="Arial" w:hAnsi="Arial"/>
        </w:rPr>
        <w:t xml:space="preserve">) above are robust and deliverable be amended </w:t>
      </w:r>
      <w:r w:rsidR="002547A9">
        <w:rPr>
          <w:rFonts w:ascii="Arial" w:hAnsi="Arial"/>
        </w:rPr>
        <w:t>to include the f</w:t>
      </w:r>
      <w:r w:rsidRPr="00FB509C">
        <w:rPr>
          <w:rFonts w:ascii="Arial" w:hAnsi="Arial"/>
        </w:rPr>
        <w:t>ollow</w:t>
      </w:r>
      <w:r w:rsidR="002547A9">
        <w:rPr>
          <w:rFonts w:ascii="Arial" w:hAnsi="Arial"/>
        </w:rPr>
        <w:t xml:space="preserve">ing </w:t>
      </w:r>
      <w:r w:rsidR="002547A9" w:rsidRPr="00100417">
        <w:rPr>
          <w:rFonts w:ascii="Arial" w:hAnsi="Arial"/>
          <w:b/>
          <w:u w:val="single"/>
        </w:rPr>
        <w:t>additional indicative savings</w:t>
      </w:r>
      <w:r w:rsidR="002547A9">
        <w:rPr>
          <w:rFonts w:ascii="Arial" w:hAnsi="Arial"/>
        </w:rPr>
        <w:t xml:space="preserve"> proposals</w:t>
      </w:r>
      <w:r w:rsidRPr="00FB509C">
        <w:rPr>
          <w:rFonts w:ascii="Arial" w:hAnsi="Arial"/>
        </w:rPr>
        <w:t>:</w:t>
      </w:r>
    </w:p>
    <w:p w:rsidR="0082774D" w:rsidRDefault="0082774D" w:rsidP="00E47AD1">
      <w:pPr>
        <w:pStyle w:val="BodyText"/>
        <w:ind w:left="709" w:hanging="709"/>
        <w:rPr>
          <w:rFonts w:ascii="Arial" w:hAnsi="Arial"/>
        </w:rPr>
      </w:pPr>
    </w:p>
    <w:p w:rsidR="0082774D" w:rsidRDefault="0082774D" w:rsidP="00E47AD1">
      <w:pPr>
        <w:pStyle w:val="BodyText"/>
        <w:ind w:left="709" w:hanging="709"/>
        <w:rPr>
          <w:rFonts w:ascii="Arial" w:hAnsi="Arial"/>
        </w:rPr>
      </w:pPr>
    </w:p>
    <w:p w:rsidR="0082774D" w:rsidRDefault="0082774D" w:rsidP="00E47AD1">
      <w:pPr>
        <w:pStyle w:val="BodyText"/>
        <w:ind w:left="709" w:hanging="709"/>
        <w:rPr>
          <w:rFonts w:ascii="Arial" w:hAnsi="Arial"/>
        </w:rPr>
      </w:pPr>
    </w:p>
    <w:p w:rsidR="0082774D" w:rsidRDefault="0082774D" w:rsidP="00E47AD1">
      <w:pPr>
        <w:pStyle w:val="BodyText"/>
        <w:ind w:left="709" w:hanging="709"/>
        <w:rPr>
          <w:rFonts w:ascii="Arial" w:hAnsi="Arial"/>
        </w:rPr>
      </w:pPr>
    </w:p>
    <w:p w:rsidR="002F7458" w:rsidRDefault="002F7458" w:rsidP="002F7458">
      <w:pPr>
        <w:pStyle w:val="BodyText"/>
        <w:rPr>
          <w:rFonts w:ascii="Arial" w:hAnsi="Arial"/>
        </w:rPr>
      </w:pPr>
    </w:p>
    <w:tbl>
      <w:tblPr>
        <w:tblW w:w="864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1134"/>
        <w:gridCol w:w="1134"/>
      </w:tblGrid>
      <w:tr w:rsidR="00C3448D" w:rsidTr="00977A3D">
        <w:trPr>
          <w:cantSplit/>
          <w:tblHeader/>
        </w:trPr>
        <w:tc>
          <w:tcPr>
            <w:tcW w:w="2977" w:type="dxa"/>
            <w:vMerge w:val="restart"/>
          </w:tcPr>
          <w:p w:rsidR="00C3448D" w:rsidRPr="00B21BF5" w:rsidRDefault="00C3448D" w:rsidP="00CB0239">
            <w:pPr>
              <w:pStyle w:val="BodyText"/>
              <w:jc w:val="left"/>
              <w:rPr>
                <w:rFonts w:ascii="Arial" w:hAnsi="Arial"/>
                <w:b/>
              </w:rPr>
            </w:pPr>
            <w:r w:rsidRPr="00B21BF5">
              <w:rPr>
                <w:rFonts w:ascii="Arial" w:hAnsi="Arial"/>
                <w:b/>
              </w:rPr>
              <w:t xml:space="preserve">Indicative </w:t>
            </w:r>
            <w:r>
              <w:rPr>
                <w:rFonts w:ascii="Arial" w:hAnsi="Arial"/>
                <w:b/>
              </w:rPr>
              <w:t xml:space="preserve">Portfolio </w:t>
            </w:r>
            <w:r w:rsidRPr="00B21BF5">
              <w:rPr>
                <w:rFonts w:ascii="Arial" w:hAnsi="Arial"/>
                <w:b/>
              </w:rPr>
              <w:t>Savings Proposal</w:t>
            </w:r>
          </w:p>
        </w:tc>
        <w:tc>
          <w:tcPr>
            <w:tcW w:w="3402" w:type="dxa"/>
            <w:vMerge w:val="restart"/>
          </w:tcPr>
          <w:p w:rsidR="00C3448D" w:rsidRDefault="00C3448D" w:rsidP="00B21BF5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Impact on Level of Service &amp; Service Outcomes</w:t>
            </w:r>
          </w:p>
        </w:tc>
        <w:tc>
          <w:tcPr>
            <w:tcW w:w="1134" w:type="dxa"/>
          </w:tcPr>
          <w:p w:rsidR="00C3448D" w:rsidRDefault="00C3448D" w:rsidP="009E1FBC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</w:t>
            </w:r>
            <w:r w:rsidR="009E1FBC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/1</w:t>
            </w:r>
            <w:r w:rsidR="009E1FBC">
              <w:rPr>
                <w:rFonts w:ascii="Arial" w:hAnsi="Arial"/>
                <w:b/>
              </w:rPr>
              <w:t>9</w:t>
            </w:r>
          </w:p>
        </w:tc>
        <w:tc>
          <w:tcPr>
            <w:tcW w:w="1134" w:type="dxa"/>
          </w:tcPr>
          <w:p w:rsidR="00C3448D" w:rsidRDefault="00C3448D" w:rsidP="00B21BF5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</w:t>
            </w:r>
            <w:r w:rsidR="009E1FBC">
              <w:rPr>
                <w:rFonts w:ascii="Arial" w:hAnsi="Arial"/>
                <w:b/>
              </w:rPr>
              <w:t>9/20</w:t>
            </w:r>
            <w:r>
              <w:rPr>
                <w:rFonts w:ascii="Arial" w:hAnsi="Arial"/>
                <w:b/>
              </w:rPr>
              <w:t>&amp;</w:t>
            </w:r>
          </w:p>
          <w:p w:rsidR="00C3448D" w:rsidRDefault="00C3448D" w:rsidP="00B21BF5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Future Years</w:t>
            </w:r>
          </w:p>
        </w:tc>
      </w:tr>
      <w:tr w:rsidR="00C3448D" w:rsidTr="00977A3D">
        <w:trPr>
          <w:cantSplit/>
          <w:tblHeader/>
        </w:trPr>
        <w:tc>
          <w:tcPr>
            <w:tcW w:w="2977" w:type="dxa"/>
            <w:vMerge/>
          </w:tcPr>
          <w:p w:rsidR="00C3448D" w:rsidRDefault="00C3448D" w:rsidP="00A1672F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3402" w:type="dxa"/>
            <w:vMerge/>
          </w:tcPr>
          <w:p w:rsidR="00C3448D" w:rsidRDefault="00C3448D" w:rsidP="00B21BF5">
            <w:pPr>
              <w:pStyle w:val="TableTex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C3448D" w:rsidRDefault="00C3448D" w:rsidP="00B21BF5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  <w:tc>
          <w:tcPr>
            <w:tcW w:w="1134" w:type="dxa"/>
          </w:tcPr>
          <w:p w:rsidR="00C3448D" w:rsidRDefault="00C3448D" w:rsidP="00B21BF5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tr w:rsidR="008B4EA2" w:rsidTr="00977A3D">
        <w:trPr>
          <w:cantSplit/>
        </w:trPr>
        <w:tc>
          <w:tcPr>
            <w:tcW w:w="2977" w:type="dxa"/>
          </w:tcPr>
          <w:p w:rsidR="008B4EA2" w:rsidRDefault="008B4EA2" w:rsidP="003B09FC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6B91">
              <w:rPr>
                <w:rFonts w:ascii="Arial" w:hAnsi="Arial" w:cs="Arial"/>
                <w:b/>
                <w:sz w:val="22"/>
                <w:szCs w:val="22"/>
                <w:u w:val="single"/>
              </w:rPr>
              <w:t>Resources</w:t>
            </w:r>
          </w:p>
        </w:tc>
        <w:tc>
          <w:tcPr>
            <w:tcW w:w="3402" w:type="dxa"/>
          </w:tcPr>
          <w:p w:rsidR="008B4EA2" w:rsidRPr="00C44471" w:rsidRDefault="008B4EA2" w:rsidP="00C44471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EA2" w:rsidRDefault="008B4EA2" w:rsidP="00C66C90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4EA2" w:rsidRDefault="008B4EA2" w:rsidP="00C66C90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A2" w:rsidTr="00977A3D">
        <w:trPr>
          <w:cantSplit/>
        </w:trPr>
        <w:tc>
          <w:tcPr>
            <w:tcW w:w="2977" w:type="dxa"/>
          </w:tcPr>
          <w:p w:rsidR="008B4EA2" w:rsidRPr="0086039A" w:rsidRDefault="008B4EA2" w:rsidP="00381BCB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Reduction in </w:t>
            </w:r>
            <w:r w:rsidR="00381BCB">
              <w:rPr>
                <w:rFonts w:ascii="Arial" w:hAnsi="Arial" w:cs="Arial"/>
                <w:sz w:val="22"/>
                <w:szCs w:val="22"/>
              </w:rPr>
              <w:t>A</w:t>
            </w:r>
            <w:r w:rsidR="009E1FBC">
              <w:rPr>
                <w:rFonts w:ascii="Arial" w:hAnsi="Arial" w:cs="Arial"/>
                <w:sz w:val="22"/>
                <w:szCs w:val="22"/>
              </w:rPr>
              <w:t>dmin</w:t>
            </w:r>
            <w:r w:rsidR="00381BCB">
              <w:rPr>
                <w:rFonts w:ascii="Arial" w:hAnsi="Arial" w:cs="Arial"/>
                <w:sz w:val="22"/>
                <w:szCs w:val="22"/>
              </w:rPr>
              <w:t>istrative S</w:t>
            </w:r>
            <w:r w:rsidR="009E1FBC">
              <w:rPr>
                <w:rFonts w:ascii="Arial" w:hAnsi="Arial" w:cs="Arial"/>
                <w:sz w:val="22"/>
                <w:szCs w:val="22"/>
              </w:rPr>
              <w:t>upport</w:t>
            </w:r>
            <w:r w:rsidR="0079785A">
              <w:rPr>
                <w:rFonts w:ascii="Arial" w:hAnsi="Arial" w:cs="Arial"/>
                <w:sz w:val="22"/>
                <w:szCs w:val="22"/>
              </w:rPr>
              <w:t xml:space="preserve"> across Departments</w:t>
            </w:r>
          </w:p>
        </w:tc>
        <w:tc>
          <w:tcPr>
            <w:tcW w:w="3402" w:type="dxa"/>
          </w:tcPr>
          <w:p w:rsidR="008B4EA2" w:rsidRDefault="009E1FBC" w:rsidP="00032920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Reduction in the capacity, availability and accessibility of</w:t>
            </w:r>
            <w:r w:rsidR="00CD6976">
              <w:rPr>
                <w:rFonts w:ascii="Arial" w:hAnsi="Arial" w:cs="Arial"/>
                <w:sz w:val="22"/>
                <w:szCs w:val="22"/>
              </w:rPr>
              <w:t xml:space="preserve"> some</w:t>
            </w:r>
            <w:r>
              <w:rPr>
                <w:rFonts w:ascii="Arial" w:hAnsi="Arial" w:cs="Arial"/>
                <w:sz w:val="22"/>
                <w:szCs w:val="22"/>
              </w:rPr>
              <w:t xml:space="preserve"> key persons.  </w:t>
            </w:r>
            <w:r w:rsidR="00032920">
              <w:rPr>
                <w:rFonts w:ascii="Arial" w:hAnsi="Arial" w:cs="Arial"/>
                <w:sz w:val="22"/>
                <w:szCs w:val="22"/>
              </w:rPr>
              <w:t>Some k</w:t>
            </w:r>
            <w:r>
              <w:rPr>
                <w:rFonts w:ascii="Arial" w:hAnsi="Arial" w:cs="Arial"/>
                <w:sz w:val="22"/>
                <w:szCs w:val="22"/>
              </w:rPr>
              <w:t>ey people will spend a meaningful proportion of their time on administrative functions</w:t>
            </w:r>
            <w:r w:rsidR="000329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B4EA2" w:rsidRDefault="008B4EA2" w:rsidP="009E1FBC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1FB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2,000)</w:t>
            </w:r>
          </w:p>
        </w:tc>
        <w:tc>
          <w:tcPr>
            <w:tcW w:w="1134" w:type="dxa"/>
          </w:tcPr>
          <w:p w:rsidR="008B4EA2" w:rsidRDefault="008B4EA2" w:rsidP="003123D7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1FB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2,000)</w:t>
            </w:r>
          </w:p>
        </w:tc>
      </w:tr>
      <w:tr w:rsidR="008B4EA2" w:rsidTr="00977A3D">
        <w:trPr>
          <w:cantSplit/>
        </w:trPr>
        <w:tc>
          <w:tcPr>
            <w:tcW w:w="2977" w:type="dxa"/>
          </w:tcPr>
          <w:p w:rsidR="008B4EA2" w:rsidRDefault="008B4EA2" w:rsidP="00F214CE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</w:t>
            </w:r>
            <w:r w:rsidR="009E1FBC">
              <w:rPr>
                <w:rFonts w:ascii="Arial" w:hAnsi="Arial" w:cs="Arial"/>
                <w:sz w:val="22"/>
                <w:szCs w:val="22"/>
              </w:rPr>
              <w:t xml:space="preserve">tion in </w:t>
            </w:r>
            <w:r w:rsidR="0079785A">
              <w:rPr>
                <w:rFonts w:ascii="Arial" w:hAnsi="Arial" w:cs="Arial"/>
                <w:sz w:val="22"/>
                <w:szCs w:val="22"/>
              </w:rPr>
              <w:t>Support S</w:t>
            </w:r>
            <w:r w:rsidR="009E1FBC" w:rsidRPr="009E1FBC">
              <w:rPr>
                <w:rFonts w:ascii="Arial" w:hAnsi="Arial" w:cs="Arial"/>
                <w:sz w:val="22"/>
                <w:szCs w:val="22"/>
              </w:rPr>
              <w:t>ervices</w:t>
            </w:r>
            <w:r w:rsidR="0079785A">
              <w:rPr>
                <w:rFonts w:ascii="Arial" w:hAnsi="Arial" w:cs="Arial"/>
                <w:sz w:val="22"/>
                <w:szCs w:val="22"/>
              </w:rPr>
              <w:t xml:space="preserve"> across Departments</w:t>
            </w:r>
          </w:p>
        </w:tc>
        <w:tc>
          <w:tcPr>
            <w:tcW w:w="3402" w:type="dxa"/>
          </w:tcPr>
          <w:p w:rsidR="008B4EA2" w:rsidRDefault="00EE00E9" w:rsidP="004B179C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reduction in </w:t>
            </w:r>
            <w:r w:rsidR="008B4EA2" w:rsidRPr="007A0658">
              <w:rPr>
                <w:rFonts w:ascii="Arial" w:hAnsi="Arial" w:cs="Arial"/>
                <w:sz w:val="22"/>
                <w:szCs w:val="22"/>
              </w:rPr>
              <w:t xml:space="preserve">capacity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present a </w:t>
            </w:r>
            <w:r w:rsidR="008B4EA2" w:rsidRPr="007A0658">
              <w:rPr>
                <w:rFonts w:ascii="Arial" w:hAnsi="Arial" w:cs="Arial"/>
                <w:sz w:val="22"/>
                <w:szCs w:val="22"/>
              </w:rPr>
              <w:t>risk to the organisation</w:t>
            </w:r>
            <w:r w:rsidR="00491DA7">
              <w:rPr>
                <w:rFonts w:ascii="Arial" w:hAnsi="Arial" w:cs="Arial"/>
                <w:sz w:val="22"/>
                <w:szCs w:val="22"/>
              </w:rPr>
              <w:t xml:space="preserve"> including a reduction in the advice available on </w:t>
            </w:r>
            <w:r w:rsidR="004B179C">
              <w:rPr>
                <w:rFonts w:ascii="Arial" w:hAnsi="Arial" w:cs="Arial"/>
                <w:sz w:val="22"/>
                <w:szCs w:val="22"/>
              </w:rPr>
              <w:t xml:space="preserve">professional and technical </w:t>
            </w:r>
            <w:r w:rsidR="00491DA7">
              <w:rPr>
                <w:rFonts w:ascii="Arial" w:hAnsi="Arial" w:cs="Arial"/>
                <w:sz w:val="22"/>
                <w:szCs w:val="22"/>
              </w:rPr>
              <w:t xml:space="preserve">matters and may compromise the </w:t>
            </w:r>
            <w:r w:rsidR="008B4EA2" w:rsidRPr="007A0658">
              <w:rPr>
                <w:rFonts w:ascii="Arial" w:hAnsi="Arial" w:cs="Arial"/>
                <w:sz w:val="22"/>
                <w:szCs w:val="22"/>
              </w:rPr>
              <w:t>ability to deliver savings in other areas of the council</w:t>
            </w:r>
            <w:r w:rsidR="00491D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B4EA2" w:rsidRDefault="008B4EA2" w:rsidP="00CB2C2C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2C2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5,000)</w:t>
            </w:r>
          </w:p>
        </w:tc>
        <w:tc>
          <w:tcPr>
            <w:tcW w:w="1134" w:type="dxa"/>
          </w:tcPr>
          <w:p w:rsidR="008B4EA2" w:rsidRDefault="008B4EA2" w:rsidP="00CB2C2C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2C2C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>,000)</w:t>
            </w:r>
          </w:p>
        </w:tc>
      </w:tr>
      <w:tr w:rsidR="008B4EA2" w:rsidTr="00977A3D">
        <w:trPr>
          <w:cantSplit/>
        </w:trPr>
        <w:tc>
          <w:tcPr>
            <w:tcW w:w="8647" w:type="dxa"/>
            <w:gridSpan w:val="4"/>
          </w:tcPr>
          <w:p w:rsidR="008B4EA2" w:rsidRPr="0086039A" w:rsidRDefault="008B4EA2" w:rsidP="005F6B91">
            <w:pPr>
              <w:pStyle w:val="TableText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6039A">
              <w:rPr>
                <w:rFonts w:ascii="Arial" w:hAnsi="Arial" w:cs="Arial"/>
                <w:b/>
                <w:sz w:val="22"/>
                <w:szCs w:val="22"/>
                <w:u w:val="single"/>
              </w:rPr>
              <w:t>Traffic &amp; Transportation</w:t>
            </w:r>
          </w:p>
        </w:tc>
      </w:tr>
      <w:tr w:rsidR="008B4EA2" w:rsidTr="00977A3D">
        <w:trPr>
          <w:cantSplit/>
        </w:trPr>
        <w:tc>
          <w:tcPr>
            <w:tcW w:w="2977" w:type="dxa"/>
          </w:tcPr>
          <w:p w:rsidR="008B4EA2" w:rsidRPr="0086039A" w:rsidRDefault="008B4EA2" w:rsidP="0046332B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32B">
              <w:rPr>
                <w:rFonts w:ascii="Arial" w:hAnsi="Arial" w:cs="Arial"/>
                <w:sz w:val="22"/>
                <w:szCs w:val="22"/>
                <w:u w:val="single"/>
              </w:rPr>
              <w:t>Re-instatement of MB Parking Zone</w:t>
            </w:r>
            <w:r>
              <w:rPr>
                <w:rFonts w:ascii="Arial" w:hAnsi="Arial" w:cs="Arial"/>
                <w:sz w:val="22"/>
                <w:szCs w:val="22"/>
              </w:rPr>
              <w:t xml:space="preserve"> to improve the current parking policy through the efficient management of on-street parking in the area and in accordance with the vote from residents</w:t>
            </w:r>
          </w:p>
        </w:tc>
        <w:tc>
          <w:tcPr>
            <w:tcW w:w="3402" w:type="dxa"/>
          </w:tcPr>
          <w:p w:rsidR="008B4EA2" w:rsidRPr="007C41FE" w:rsidRDefault="008B4EA2" w:rsidP="00CD6976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41FE">
              <w:rPr>
                <w:rFonts w:ascii="Arial" w:hAnsi="Arial" w:cs="Arial"/>
                <w:sz w:val="22"/>
                <w:szCs w:val="22"/>
              </w:rPr>
              <w:t xml:space="preserve">Expected to lead to additional parking demand in adjacent areas as a consequence of displacement. </w:t>
            </w:r>
          </w:p>
        </w:tc>
        <w:tc>
          <w:tcPr>
            <w:tcW w:w="1134" w:type="dxa"/>
          </w:tcPr>
          <w:p w:rsidR="008B4EA2" w:rsidRDefault="008B4EA2" w:rsidP="00C70C0D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="00C70C0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70C0D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B4EA2" w:rsidRDefault="008B4EA2" w:rsidP="006A39BB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(49,000)</w:t>
            </w:r>
          </w:p>
        </w:tc>
      </w:tr>
      <w:tr w:rsidR="008B4EA2" w:rsidTr="00977A3D">
        <w:trPr>
          <w:cantSplit/>
        </w:trPr>
        <w:tc>
          <w:tcPr>
            <w:tcW w:w="2977" w:type="dxa"/>
          </w:tcPr>
          <w:p w:rsidR="008B4EA2" w:rsidRDefault="008B4EA2" w:rsidP="007244CC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32B">
              <w:rPr>
                <w:rFonts w:ascii="Arial" w:hAnsi="Arial" w:cs="Arial"/>
                <w:sz w:val="22"/>
                <w:szCs w:val="22"/>
                <w:u w:val="single"/>
              </w:rPr>
              <w:t xml:space="preserve">Re-instatement of MC </w:t>
            </w:r>
            <w:r w:rsidRPr="00F84DD8">
              <w:rPr>
                <w:rFonts w:ascii="Arial" w:hAnsi="Arial" w:cs="Arial"/>
                <w:sz w:val="22"/>
                <w:szCs w:val="22"/>
                <w:u w:val="single"/>
              </w:rPr>
              <w:t>Parking Zone</w:t>
            </w:r>
            <w:r>
              <w:rPr>
                <w:rFonts w:ascii="Arial" w:hAnsi="Arial" w:cs="Arial"/>
                <w:sz w:val="22"/>
                <w:szCs w:val="22"/>
              </w:rPr>
              <w:t xml:space="preserve"> to improve the current parking policy through the efficient management of on-street parking in the area and in accordance with the vote from residents</w:t>
            </w:r>
          </w:p>
        </w:tc>
        <w:tc>
          <w:tcPr>
            <w:tcW w:w="3402" w:type="dxa"/>
          </w:tcPr>
          <w:p w:rsidR="008B4EA2" w:rsidRPr="007C41FE" w:rsidRDefault="008B4EA2" w:rsidP="00CD6976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41FE">
              <w:rPr>
                <w:rFonts w:ascii="Arial" w:hAnsi="Arial" w:cs="Arial"/>
                <w:sz w:val="22"/>
                <w:szCs w:val="22"/>
              </w:rPr>
              <w:t>Expected to lead to additional parking demand in adjacent areas as a consequence of displacement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8B4EA2" w:rsidRDefault="008B4EA2" w:rsidP="006A39BB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(75,000)</w:t>
            </w:r>
          </w:p>
        </w:tc>
        <w:tc>
          <w:tcPr>
            <w:tcW w:w="1134" w:type="dxa"/>
          </w:tcPr>
          <w:p w:rsidR="008B4EA2" w:rsidRDefault="008B4EA2" w:rsidP="006A39BB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(98,000)</w:t>
            </w:r>
          </w:p>
        </w:tc>
      </w:tr>
      <w:tr w:rsidR="008B4EA2" w:rsidTr="007244CC">
        <w:trPr>
          <w:cantSplit/>
        </w:trPr>
        <w:tc>
          <w:tcPr>
            <w:tcW w:w="2977" w:type="dxa"/>
          </w:tcPr>
          <w:p w:rsidR="008B4EA2" w:rsidRDefault="008B4EA2" w:rsidP="007244CC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32B">
              <w:rPr>
                <w:rFonts w:ascii="Arial" w:hAnsi="Arial" w:cs="Arial"/>
                <w:sz w:val="22"/>
                <w:szCs w:val="22"/>
              </w:rPr>
              <w:t>Implementation of residents' car parking zones</w:t>
            </w:r>
            <w:r>
              <w:rPr>
                <w:rFonts w:ascii="Arial" w:hAnsi="Arial" w:cs="Arial"/>
                <w:sz w:val="22"/>
                <w:szCs w:val="22"/>
              </w:rPr>
              <w:t xml:space="preserve"> to improve the current parking policy through the efficient management of on-street parking and in the areas where residents have voted in favour of doing so.</w:t>
            </w:r>
          </w:p>
          <w:p w:rsidR="008B4EA2" w:rsidRDefault="008B4EA2" w:rsidP="007244CC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B4EA2" w:rsidRPr="00C66C90" w:rsidRDefault="008B4EA2" w:rsidP="007244CC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6C90">
              <w:rPr>
                <w:rFonts w:ascii="Arial" w:hAnsi="Arial" w:cs="Arial"/>
                <w:sz w:val="22"/>
                <w:szCs w:val="22"/>
                <w:u w:val="single"/>
              </w:rPr>
              <w:t xml:space="preserve">North Kings:  </w:t>
            </w:r>
          </w:p>
          <w:p w:rsidR="008B4EA2" w:rsidRPr="00100417" w:rsidRDefault="008B4EA2" w:rsidP="007244CC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(Area 1 of the Five Zone Survey of Central Southsea 2014)</w:t>
            </w:r>
          </w:p>
          <w:p w:rsidR="008B4EA2" w:rsidRDefault="008B4EA2" w:rsidP="007244CC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B4EA2" w:rsidRPr="007C41FE" w:rsidRDefault="008B4EA2" w:rsidP="00CD6976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41FE">
              <w:rPr>
                <w:rFonts w:ascii="Arial" w:hAnsi="Arial" w:cs="Arial"/>
                <w:sz w:val="22"/>
                <w:szCs w:val="22"/>
              </w:rPr>
              <w:t>Expected to lead to additional parking demand in adjacent areas as a consequence of displacement.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B4EA2" w:rsidRDefault="008B4EA2" w:rsidP="007244CC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(14,000)</w:t>
            </w:r>
          </w:p>
        </w:tc>
        <w:tc>
          <w:tcPr>
            <w:tcW w:w="1134" w:type="dxa"/>
          </w:tcPr>
          <w:p w:rsidR="008B4EA2" w:rsidRDefault="008B4EA2" w:rsidP="007244CC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(44,000)</w:t>
            </w:r>
          </w:p>
        </w:tc>
      </w:tr>
      <w:tr w:rsidR="008B4EA2" w:rsidTr="00977A3D">
        <w:trPr>
          <w:cantSplit/>
        </w:trPr>
        <w:tc>
          <w:tcPr>
            <w:tcW w:w="2977" w:type="dxa"/>
          </w:tcPr>
          <w:p w:rsidR="008B4EA2" w:rsidRDefault="008B4EA2" w:rsidP="0046332B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32B">
              <w:rPr>
                <w:rFonts w:ascii="Arial" w:hAnsi="Arial" w:cs="Arial"/>
                <w:sz w:val="22"/>
                <w:szCs w:val="22"/>
              </w:rPr>
              <w:t>Implementation of residents' car parking zones</w:t>
            </w:r>
            <w:r>
              <w:rPr>
                <w:rFonts w:ascii="Arial" w:hAnsi="Arial" w:cs="Arial"/>
                <w:sz w:val="22"/>
                <w:szCs w:val="22"/>
              </w:rPr>
              <w:t xml:space="preserve"> to improve the current parking policy through the efficient management of on-street parking and in the areas where residents have voted in favour of doing so.</w:t>
            </w:r>
          </w:p>
          <w:p w:rsidR="008B4EA2" w:rsidRDefault="008B4EA2" w:rsidP="00652792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B4EA2" w:rsidRPr="00100417" w:rsidRDefault="008B4EA2" w:rsidP="00652792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C12B5">
              <w:rPr>
                <w:rFonts w:ascii="Arial" w:hAnsi="Arial" w:cs="Arial"/>
                <w:sz w:val="22"/>
                <w:szCs w:val="22"/>
                <w:u w:val="single"/>
              </w:rPr>
              <w:t>Owens Gardens</w:t>
            </w:r>
            <w:r>
              <w:rPr>
                <w:rFonts w:ascii="Arial" w:hAnsi="Arial" w:cs="Arial"/>
                <w:sz w:val="22"/>
                <w:szCs w:val="22"/>
              </w:rPr>
              <w:t xml:space="preserve">  - boundary Grove Road South,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Grove, Merton/Nelson Road and Victoria Road South: (Area 2 of the Five Zone Survey of Central Southsea 2014)</w:t>
            </w:r>
          </w:p>
          <w:p w:rsidR="008B4EA2" w:rsidRPr="00100417" w:rsidRDefault="008B4EA2" w:rsidP="00652792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B4EA2" w:rsidRPr="007C41FE" w:rsidRDefault="008B4EA2" w:rsidP="00CD6976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41FE">
              <w:rPr>
                <w:rFonts w:ascii="Arial" w:hAnsi="Arial" w:cs="Arial"/>
                <w:sz w:val="22"/>
                <w:szCs w:val="22"/>
              </w:rPr>
              <w:t>Expected to lead to additional parking demand in adjacent areas as a consequence of displacement.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B4EA2" w:rsidRDefault="008B4EA2" w:rsidP="006A39BB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(6,000)</w:t>
            </w:r>
          </w:p>
        </w:tc>
        <w:tc>
          <w:tcPr>
            <w:tcW w:w="1134" w:type="dxa"/>
          </w:tcPr>
          <w:p w:rsidR="008B4EA2" w:rsidRDefault="008B4EA2" w:rsidP="006A39BB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(30,000)</w:t>
            </w:r>
          </w:p>
        </w:tc>
      </w:tr>
      <w:tr w:rsidR="008B4EA2" w:rsidTr="00977A3D">
        <w:trPr>
          <w:cantSplit/>
        </w:trPr>
        <w:tc>
          <w:tcPr>
            <w:tcW w:w="2977" w:type="dxa"/>
          </w:tcPr>
          <w:p w:rsidR="008B4EA2" w:rsidRDefault="008B4EA2" w:rsidP="0046332B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32B">
              <w:rPr>
                <w:rFonts w:ascii="Arial" w:hAnsi="Arial" w:cs="Arial"/>
                <w:sz w:val="22"/>
                <w:szCs w:val="22"/>
              </w:rPr>
              <w:t>Implementation of residents' car parking zones</w:t>
            </w:r>
            <w:r>
              <w:rPr>
                <w:rFonts w:ascii="Arial" w:hAnsi="Arial" w:cs="Arial"/>
                <w:sz w:val="22"/>
                <w:szCs w:val="22"/>
              </w:rPr>
              <w:t xml:space="preserve"> to improve the current parking policy through the efficient management of on-street parking and in the areas where residents have voted in favour of doing so.</w:t>
            </w:r>
          </w:p>
          <w:p w:rsidR="008B4EA2" w:rsidRDefault="008B4EA2" w:rsidP="00652792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B4EA2" w:rsidRPr="005C12B5" w:rsidRDefault="008B4EA2" w:rsidP="00652792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12B5">
              <w:rPr>
                <w:rFonts w:ascii="Arial" w:hAnsi="Arial" w:cs="Arial"/>
                <w:sz w:val="22"/>
                <w:szCs w:val="22"/>
                <w:u w:val="single"/>
              </w:rPr>
              <w:t>South Kings:</w:t>
            </w:r>
          </w:p>
          <w:p w:rsidR="008B4EA2" w:rsidRDefault="008B4EA2" w:rsidP="00652792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(Area 3 of the Five Zone Survey of Central Southsea 2014)</w:t>
            </w:r>
          </w:p>
        </w:tc>
        <w:tc>
          <w:tcPr>
            <w:tcW w:w="3402" w:type="dxa"/>
          </w:tcPr>
          <w:p w:rsidR="008B4EA2" w:rsidRPr="007C41FE" w:rsidRDefault="008B4EA2" w:rsidP="00CD6976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41FE">
              <w:rPr>
                <w:rFonts w:ascii="Arial" w:hAnsi="Arial" w:cs="Arial"/>
                <w:sz w:val="22"/>
                <w:szCs w:val="22"/>
              </w:rPr>
              <w:t>Expected to lead to additional parking demand in adjacent areas as a consequence of displacement.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B4EA2" w:rsidRDefault="008B4EA2" w:rsidP="006A39BB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(15,000)</w:t>
            </w:r>
          </w:p>
        </w:tc>
        <w:tc>
          <w:tcPr>
            <w:tcW w:w="1134" w:type="dxa"/>
          </w:tcPr>
          <w:p w:rsidR="008B4EA2" w:rsidRDefault="008B4EA2" w:rsidP="006A39BB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(45,000)</w:t>
            </w:r>
          </w:p>
        </w:tc>
      </w:tr>
      <w:tr w:rsidR="008B4EA2" w:rsidTr="00977A3D">
        <w:trPr>
          <w:cantSplit/>
        </w:trPr>
        <w:tc>
          <w:tcPr>
            <w:tcW w:w="2977" w:type="dxa"/>
          </w:tcPr>
          <w:p w:rsidR="008B4EA2" w:rsidRDefault="008B4EA2" w:rsidP="0046332B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32B">
              <w:rPr>
                <w:rFonts w:ascii="Arial" w:hAnsi="Arial" w:cs="Arial"/>
                <w:sz w:val="22"/>
                <w:szCs w:val="22"/>
              </w:rPr>
              <w:t>Implementation of residents' car parking zones</w:t>
            </w:r>
            <w:r>
              <w:rPr>
                <w:rFonts w:ascii="Arial" w:hAnsi="Arial" w:cs="Arial"/>
                <w:sz w:val="22"/>
                <w:szCs w:val="22"/>
              </w:rPr>
              <w:t xml:space="preserve"> to improve the current parking policy through the efficient management of on-street parking and in the areas where residents have voted in favour of doing so.</w:t>
            </w:r>
          </w:p>
          <w:p w:rsidR="008B4EA2" w:rsidRDefault="008B4EA2" w:rsidP="00652792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B4EA2" w:rsidRDefault="008B4EA2" w:rsidP="00652792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C12B5">
              <w:rPr>
                <w:rFonts w:ascii="Arial" w:hAnsi="Arial" w:cs="Arial"/>
                <w:sz w:val="22"/>
                <w:szCs w:val="22"/>
                <w:u w:val="single"/>
              </w:rPr>
              <w:t>Boundary of Highland Road, Winter Road, Goldsmith Avenue and Francis Avenue</w:t>
            </w:r>
            <w:r>
              <w:rPr>
                <w:rFonts w:ascii="Arial" w:hAnsi="Arial" w:cs="Arial"/>
                <w:sz w:val="22"/>
                <w:szCs w:val="22"/>
              </w:rPr>
              <w:t>: (Area 5 of the Five Zone Survey of Central Southsea 2014)</w:t>
            </w:r>
          </w:p>
        </w:tc>
        <w:tc>
          <w:tcPr>
            <w:tcW w:w="3402" w:type="dxa"/>
          </w:tcPr>
          <w:p w:rsidR="008B4EA2" w:rsidRPr="007C41FE" w:rsidRDefault="008B4EA2" w:rsidP="00CD6976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41FE">
              <w:rPr>
                <w:rFonts w:ascii="Arial" w:hAnsi="Arial" w:cs="Arial"/>
                <w:sz w:val="22"/>
                <w:szCs w:val="22"/>
              </w:rPr>
              <w:t>Expected to lead to additional parking demand in adjacent areas as a consequence of displacement.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B4EA2" w:rsidRDefault="008B4EA2" w:rsidP="006A39BB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(52,000)</w:t>
            </w:r>
          </w:p>
        </w:tc>
        <w:tc>
          <w:tcPr>
            <w:tcW w:w="1134" w:type="dxa"/>
          </w:tcPr>
          <w:p w:rsidR="008B4EA2" w:rsidRDefault="008B4EA2" w:rsidP="006A39BB">
            <w:pPr>
              <w:pStyle w:val="Table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(106,000)</w:t>
            </w:r>
          </w:p>
        </w:tc>
      </w:tr>
      <w:tr w:rsidR="008B4EA2" w:rsidTr="00977A3D">
        <w:trPr>
          <w:cantSplit/>
        </w:trPr>
        <w:tc>
          <w:tcPr>
            <w:tcW w:w="6379" w:type="dxa"/>
            <w:gridSpan w:val="2"/>
          </w:tcPr>
          <w:p w:rsidR="008B4EA2" w:rsidRPr="00FA68D3" w:rsidRDefault="008B4EA2" w:rsidP="00831B0F">
            <w:pPr>
              <w:pStyle w:val="Table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A68D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8B4EA2" w:rsidRPr="00DD38D4" w:rsidRDefault="008B4EA2" w:rsidP="00DD38D4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8D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D38D4" w:rsidRPr="00DD38D4">
              <w:rPr>
                <w:rFonts w:ascii="Arial" w:hAnsi="Arial" w:cs="Arial"/>
                <w:b/>
                <w:sz w:val="22"/>
                <w:szCs w:val="22"/>
              </w:rPr>
              <w:t>393,000</w:t>
            </w:r>
            <w:r w:rsidRPr="00DD38D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B4EA2" w:rsidRPr="00DD38D4" w:rsidRDefault="008B4EA2" w:rsidP="00DD38D4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38D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D38D4" w:rsidRPr="00DD38D4">
              <w:rPr>
                <w:rFonts w:ascii="Arial" w:hAnsi="Arial" w:cs="Arial"/>
                <w:b/>
                <w:sz w:val="22"/>
                <w:szCs w:val="22"/>
              </w:rPr>
              <w:t>569,000</w:t>
            </w:r>
            <w:r w:rsidRPr="00DD38D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AE05CB" w:rsidRDefault="00AE05CB" w:rsidP="00AE05CB">
      <w:pPr>
        <w:rPr>
          <w:rFonts w:ascii="Arial" w:hAnsi="Arial"/>
          <w:b/>
        </w:rPr>
      </w:pPr>
    </w:p>
    <w:p w:rsidR="00343C30" w:rsidRDefault="00343C30" w:rsidP="00A700C0">
      <w:pPr>
        <w:pStyle w:val="Outline3"/>
        <w:ind w:left="720" w:hanging="720"/>
        <w:jc w:val="left"/>
        <w:rPr>
          <w:rFonts w:ascii="Arial" w:hAnsi="Arial" w:cs="Arial"/>
          <w:b/>
          <w:color w:val="auto"/>
          <w:szCs w:val="24"/>
        </w:rPr>
      </w:pPr>
    </w:p>
    <w:p w:rsidR="00A700C0" w:rsidRDefault="00A700C0" w:rsidP="00850C45">
      <w:pPr>
        <w:pStyle w:val="Outline3"/>
        <w:ind w:left="567" w:hanging="567"/>
        <w:jc w:val="left"/>
        <w:rPr>
          <w:rFonts w:ascii="Arial" w:hAnsi="Arial"/>
        </w:rPr>
      </w:pPr>
      <w:r w:rsidRPr="00D26E5A">
        <w:rPr>
          <w:rFonts w:ascii="Arial" w:hAnsi="Arial" w:cs="Arial"/>
          <w:b/>
          <w:color w:val="auto"/>
          <w:szCs w:val="24"/>
        </w:rPr>
        <w:t>(</w:t>
      </w:r>
      <w:r w:rsidR="00850C45">
        <w:rPr>
          <w:rFonts w:ascii="Arial" w:hAnsi="Arial" w:cs="Arial"/>
          <w:b/>
          <w:color w:val="auto"/>
          <w:szCs w:val="24"/>
        </w:rPr>
        <w:t>k</w:t>
      </w:r>
      <w:r w:rsidR="009969EA">
        <w:rPr>
          <w:rFonts w:ascii="Arial" w:hAnsi="Arial" w:cs="Arial"/>
          <w:b/>
          <w:color w:val="auto"/>
          <w:szCs w:val="24"/>
        </w:rPr>
        <w:t xml:space="preserve">) </w:t>
      </w:r>
      <w:r w:rsidR="00850C45">
        <w:rPr>
          <w:rFonts w:ascii="Arial" w:hAnsi="Arial" w:cs="Arial"/>
          <w:b/>
          <w:color w:val="auto"/>
          <w:szCs w:val="24"/>
        </w:rPr>
        <w:tab/>
      </w:r>
      <w:r w:rsidRPr="0007334C">
        <w:rPr>
          <w:rFonts w:ascii="Arial" w:hAnsi="Arial"/>
        </w:rPr>
        <w:t>In arriving at the savings proposals for each Portfolio</w:t>
      </w:r>
      <w:r w:rsidR="008578B7" w:rsidRPr="0007334C">
        <w:rPr>
          <w:rFonts w:ascii="Arial" w:hAnsi="Arial"/>
        </w:rPr>
        <w:t xml:space="preserve"> as recommended in paragraph</w:t>
      </w:r>
      <w:r w:rsidR="008578B7">
        <w:rPr>
          <w:rFonts w:ascii="Arial" w:hAnsi="Arial"/>
        </w:rPr>
        <w:t xml:space="preserve"> </w:t>
      </w:r>
      <w:r w:rsidR="00D63D26">
        <w:rPr>
          <w:rFonts w:ascii="Arial" w:hAnsi="Arial"/>
        </w:rPr>
        <w:t>1</w:t>
      </w:r>
      <w:r w:rsidR="008578B7">
        <w:rPr>
          <w:rFonts w:ascii="Arial" w:hAnsi="Arial"/>
        </w:rPr>
        <w:t>(</w:t>
      </w:r>
      <w:r w:rsidR="00071B98">
        <w:rPr>
          <w:rFonts w:ascii="Arial" w:hAnsi="Arial"/>
        </w:rPr>
        <w:t>d</w:t>
      </w:r>
      <w:r w:rsidR="008578B7">
        <w:rPr>
          <w:rFonts w:ascii="Arial" w:hAnsi="Arial"/>
        </w:rPr>
        <w:t>)</w:t>
      </w:r>
      <w:r w:rsidRPr="00D26E5A">
        <w:rPr>
          <w:rFonts w:ascii="Arial" w:hAnsi="Arial"/>
        </w:rPr>
        <w:t xml:space="preserve">, the following amounts </w:t>
      </w:r>
      <w:r w:rsidR="00E93E01">
        <w:rPr>
          <w:rFonts w:ascii="Arial" w:hAnsi="Arial"/>
        </w:rPr>
        <w:t xml:space="preserve">have been </w:t>
      </w:r>
      <w:r w:rsidRPr="0004388E">
        <w:rPr>
          <w:rFonts w:ascii="Arial" w:hAnsi="Arial"/>
          <w:b/>
          <w:u w:val="single"/>
        </w:rPr>
        <w:t>added to cash limits</w:t>
      </w:r>
      <w:r w:rsidR="00850C45">
        <w:rPr>
          <w:rFonts w:ascii="Arial" w:hAnsi="Arial"/>
          <w:b/>
          <w:u w:val="single"/>
        </w:rPr>
        <w:t>:</w:t>
      </w:r>
    </w:p>
    <w:tbl>
      <w:tblPr>
        <w:tblW w:w="864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34"/>
        <w:gridCol w:w="1134"/>
      </w:tblGrid>
      <w:tr w:rsidR="003A0DF2" w:rsidTr="00032A9B">
        <w:trPr>
          <w:cantSplit/>
          <w:tblHeader/>
        </w:trPr>
        <w:tc>
          <w:tcPr>
            <w:tcW w:w="567" w:type="dxa"/>
            <w:vMerge w:val="restart"/>
          </w:tcPr>
          <w:p w:rsidR="003A0DF2" w:rsidRPr="00637AE9" w:rsidRDefault="003A0DF2" w:rsidP="00637AE9">
            <w:pPr>
              <w:pStyle w:val="BodyText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637AE9">
              <w:rPr>
                <w:rFonts w:ascii="Arial" w:hAnsi="Arial"/>
                <w:b/>
                <w:sz w:val="12"/>
                <w:szCs w:val="12"/>
              </w:rPr>
              <w:t>Saving</w:t>
            </w:r>
          </w:p>
          <w:p w:rsidR="003A0DF2" w:rsidRPr="00637AE9" w:rsidRDefault="003A0DF2" w:rsidP="00637AE9">
            <w:pPr>
              <w:pStyle w:val="BodyText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637AE9">
              <w:rPr>
                <w:rFonts w:ascii="Arial" w:hAnsi="Arial"/>
                <w:b/>
                <w:sz w:val="12"/>
                <w:szCs w:val="12"/>
              </w:rPr>
              <w:t>No.</w:t>
            </w:r>
          </w:p>
        </w:tc>
        <w:tc>
          <w:tcPr>
            <w:tcW w:w="5812" w:type="dxa"/>
            <w:vMerge w:val="restart"/>
          </w:tcPr>
          <w:p w:rsidR="003A0DF2" w:rsidRPr="00B21BF5" w:rsidRDefault="003A0DF2" w:rsidP="00381BCB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Increases to Portfolio Cash Limits</w:t>
            </w:r>
          </w:p>
        </w:tc>
        <w:tc>
          <w:tcPr>
            <w:tcW w:w="1134" w:type="dxa"/>
          </w:tcPr>
          <w:p w:rsidR="003A0DF2" w:rsidRDefault="003A0DF2" w:rsidP="00592B7F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</w:t>
            </w:r>
            <w:r w:rsidR="00592B7F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/1</w:t>
            </w:r>
            <w:r w:rsidR="00592B7F">
              <w:rPr>
                <w:rFonts w:ascii="Arial" w:hAnsi="Arial"/>
                <w:b/>
              </w:rPr>
              <w:t>9</w:t>
            </w:r>
          </w:p>
        </w:tc>
        <w:tc>
          <w:tcPr>
            <w:tcW w:w="1134" w:type="dxa"/>
          </w:tcPr>
          <w:p w:rsidR="003A0DF2" w:rsidRDefault="003A0DF2" w:rsidP="00A700C0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</w:t>
            </w:r>
            <w:r w:rsidR="00592B7F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>/</w:t>
            </w:r>
            <w:r w:rsidR="00592B7F">
              <w:rPr>
                <w:rFonts w:ascii="Arial" w:hAnsi="Arial"/>
                <w:b/>
              </w:rPr>
              <w:t>20</w:t>
            </w:r>
          </w:p>
          <w:p w:rsidR="003A0DF2" w:rsidRDefault="003A0DF2" w:rsidP="00A700C0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&amp;</w:t>
            </w:r>
          </w:p>
          <w:p w:rsidR="003A0DF2" w:rsidRDefault="003A0DF2" w:rsidP="00A700C0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Future Years</w:t>
            </w:r>
          </w:p>
        </w:tc>
      </w:tr>
      <w:tr w:rsidR="003A0DF2" w:rsidTr="00032A9B">
        <w:trPr>
          <w:cantSplit/>
          <w:tblHeader/>
        </w:trPr>
        <w:tc>
          <w:tcPr>
            <w:tcW w:w="567" w:type="dxa"/>
            <w:vMerge/>
          </w:tcPr>
          <w:p w:rsidR="003A0DF2" w:rsidRDefault="003A0DF2" w:rsidP="00637AE9">
            <w:pPr>
              <w:pStyle w:val="BodyText"/>
              <w:jc w:val="center"/>
              <w:rPr>
                <w:rFonts w:ascii="Arial" w:hAnsi="Arial"/>
              </w:rPr>
            </w:pPr>
          </w:p>
        </w:tc>
        <w:tc>
          <w:tcPr>
            <w:tcW w:w="5812" w:type="dxa"/>
            <w:vMerge/>
          </w:tcPr>
          <w:p w:rsidR="003A0DF2" w:rsidRDefault="003A0DF2" w:rsidP="007D4B7B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A0DF2" w:rsidRDefault="003A0DF2" w:rsidP="00A700C0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  <w:tc>
          <w:tcPr>
            <w:tcW w:w="1134" w:type="dxa"/>
          </w:tcPr>
          <w:p w:rsidR="003A0DF2" w:rsidRDefault="003A0DF2" w:rsidP="00A700C0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tr w:rsidR="0099466C" w:rsidTr="00032A9B">
        <w:trPr>
          <w:cantSplit/>
        </w:trPr>
        <w:tc>
          <w:tcPr>
            <w:tcW w:w="6379" w:type="dxa"/>
            <w:gridSpan w:val="2"/>
          </w:tcPr>
          <w:p w:rsidR="0099466C" w:rsidRDefault="0099466C" w:rsidP="00C5645F">
            <w:pPr>
              <w:pStyle w:val="TableText"/>
              <w:jc w:val="left"/>
              <w:rPr>
                <w:rFonts w:ascii="Arial" w:hAnsi="Arial"/>
              </w:rPr>
            </w:pPr>
            <w:r w:rsidRPr="00591B37">
              <w:rPr>
                <w:rFonts w:ascii="Arial" w:hAnsi="Arial"/>
                <w:b/>
                <w:u w:val="single"/>
              </w:rPr>
              <w:t xml:space="preserve">Culture, Leisure &amp; Sport                       </w:t>
            </w:r>
          </w:p>
        </w:tc>
        <w:tc>
          <w:tcPr>
            <w:tcW w:w="1134" w:type="dxa"/>
            <w:vAlign w:val="center"/>
          </w:tcPr>
          <w:p w:rsidR="0099466C" w:rsidRDefault="0099466C" w:rsidP="004478E7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99466C" w:rsidRDefault="0099466C" w:rsidP="004478E7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32A9B" w:rsidTr="00032A9B">
        <w:trPr>
          <w:cantSplit/>
        </w:trPr>
        <w:tc>
          <w:tcPr>
            <w:tcW w:w="567" w:type="dxa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New</w:t>
            </w:r>
          </w:p>
        </w:tc>
        <w:tc>
          <w:tcPr>
            <w:tcW w:w="5812" w:type="dxa"/>
          </w:tcPr>
          <w:p w:rsidR="00032A9B" w:rsidRDefault="00032A9B" w:rsidP="00FC4BFB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auto"/>
              </w:rPr>
              <w:t xml:space="preserve">Additional </w:t>
            </w:r>
            <w:r w:rsidR="00FC4BFB">
              <w:rPr>
                <w:rFonts w:ascii="Arial" w:hAnsi="Arial"/>
                <w:color w:val="auto"/>
              </w:rPr>
              <w:t>open access music events across the City</w:t>
            </w:r>
          </w:p>
        </w:tc>
        <w:tc>
          <w:tcPr>
            <w:tcW w:w="1134" w:type="dxa"/>
            <w:vAlign w:val="center"/>
          </w:tcPr>
          <w:p w:rsidR="00032A9B" w:rsidRPr="0009742D" w:rsidRDefault="00B32E4F" w:rsidP="00032A9B">
            <w:pPr>
              <w:pStyle w:val="TableText"/>
              <w:jc w:val="center"/>
              <w:rPr>
                <w:rFonts w:ascii="Arial" w:hAnsi="Arial"/>
                <w:highlight w:val="yellow"/>
              </w:rPr>
            </w:pPr>
            <w:r w:rsidRPr="00B32E4F">
              <w:rPr>
                <w:rFonts w:ascii="Arial" w:hAnsi="Arial"/>
              </w:rPr>
              <w:t>5,000</w:t>
            </w:r>
          </w:p>
        </w:tc>
        <w:tc>
          <w:tcPr>
            <w:tcW w:w="1134" w:type="dxa"/>
            <w:vAlign w:val="center"/>
          </w:tcPr>
          <w:p w:rsidR="00032A9B" w:rsidRPr="0009742D" w:rsidRDefault="00CD6976" w:rsidP="00CD6976">
            <w:pPr>
              <w:pStyle w:val="TableText"/>
              <w:jc w:val="cent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10</w:t>
            </w:r>
            <w:r w:rsidR="00B32E4F" w:rsidRPr="00B32E4F">
              <w:rPr>
                <w:rFonts w:ascii="Arial" w:hAnsi="Arial"/>
              </w:rPr>
              <w:t>,000</w:t>
            </w:r>
          </w:p>
        </w:tc>
      </w:tr>
      <w:tr w:rsidR="00032A9B" w:rsidTr="00032A9B">
        <w:trPr>
          <w:cantSplit/>
        </w:trPr>
        <w:tc>
          <w:tcPr>
            <w:tcW w:w="8647" w:type="dxa"/>
            <w:gridSpan w:val="4"/>
          </w:tcPr>
          <w:p w:rsidR="00032A9B" w:rsidRPr="00D70B69" w:rsidRDefault="00032A9B" w:rsidP="00032A9B">
            <w:pPr>
              <w:pStyle w:val="TableText"/>
              <w:jc w:val="center"/>
              <w:rPr>
                <w:rFonts w:ascii="Arial" w:hAnsi="Arial"/>
                <w:highlight w:val="yellow"/>
              </w:rPr>
            </w:pPr>
          </w:p>
        </w:tc>
      </w:tr>
      <w:tr w:rsidR="00032A9B" w:rsidTr="00032A9B">
        <w:trPr>
          <w:cantSplit/>
        </w:trPr>
        <w:tc>
          <w:tcPr>
            <w:tcW w:w="6379" w:type="dxa"/>
            <w:gridSpan w:val="2"/>
          </w:tcPr>
          <w:p w:rsidR="00032A9B" w:rsidRPr="00591B37" w:rsidRDefault="00032A9B" w:rsidP="00032A9B">
            <w:pPr>
              <w:pStyle w:val="TableText"/>
              <w:jc w:val="left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Environment &amp; Community Safety</w:t>
            </w: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32A9B" w:rsidTr="00032A9B">
        <w:trPr>
          <w:cantSplit/>
        </w:trPr>
        <w:tc>
          <w:tcPr>
            <w:tcW w:w="567" w:type="dxa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5812" w:type="dxa"/>
          </w:tcPr>
          <w:p w:rsidR="00032A9B" w:rsidRDefault="00032A9B" w:rsidP="00032A9B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032A9B" w:rsidRPr="0009742D" w:rsidRDefault="00032A9B" w:rsidP="00032A9B">
            <w:pPr>
              <w:pStyle w:val="TableText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32A9B" w:rsidRPr="0009742D" w:rsidRDefault="00032A9B" w:rsidP="00032A9B">
            <w:pPr>
              <w:pStyle w:val="TableText"/>
              <w:jc w:val="center"/>
              <w:rPr>
                <w:rFonts w:ascii="Arial" w:hAnsi="Arial"/>
                <w:highlight w:val="yellow"/>
              </w:rPr>
            </w:pPr>
          </w:p>
        </w:tc>
      </w:tr>
      <w:tr w:rsidR="00032A9B" w:rsidTr="00032A9B">
        <w:trPr>
          <w:cantSplit/>
        </w:trPr>
        <w:tc>
          <w:tcPr>
            <w:tcW w:w="567" w:type="dxa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</w:t>
            </w:r>
          </w:p>
        </w:tc>
        <w:tc>
          <w:tcPr>
            <w:tcW w:w="5812" w:type="dxa"/>
          </w:tcPr>
          <w:p w:rsidR="00032A9B" w:rsidRDefault="00FC4BFB" w:rsidP="00FC4BFB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cleaning for d</w:t>
            </w:r>
            <w:r w:rsidR="004877AD">
              <w:rPr>
                <w:rFonts w:ascii="Arial" w:hAnsi="Arial"/>
              </w:rPr>
              <w:t>istrict shopping centre</w:t>
            </w:r>
            <w:r>
              <w:rPr>
                <w:rFonts w:ascii="Arial" w:hAnsi="Arial"/>
              </w:rPr>
              <w:t>s</w:t>
            </w:r>
            <w:r w:rsidR="004877AD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32A9B" w:rsidRPr="00DD38D4" w:rsidRDefault="00032920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  <w:r w:rsidR="00DD38D4" w:rsidRPr="00DD38D4">
              <w:rPr>
                <w:rFonts w:ascii="Arial" w:hAnsi="Arial"/>
              </w:rPr>
              <w:t>,000</w:t>
            </w:r>
          </w:p>
        </w:tc>
        <w:tc>
          <w:tcPr>
            <w:tcW w:w="1134" w:type="dxa"/>
            <w:vAlign w:val="center"/>
          </w:tcPr>
          <w:p w:rsidR="00032A9B" w:rsidRPr="00DD38D4" w:rsidRDefault="00DD38D4" w:rsidP="00101AEB">
            <w:pPr>
              <w:pStyle w:val="TableText"/>
              <w:jc w:val="center"/>
              <w:rPr>
                <w:rFonts w:ascii="Arial" w:hAnsi="Arial"/>
              </w:rPr>
            </w:pPr>
            <w:r w:rsidRPr="00DD38D4">
              <w:rPr>
                <w:rFonts w:ascii="Arial" w:hAnsi="Arial"/>
              </w:rPr>
              <w:t>7</w:t>
            </w:r>
            <w:r w:rsidR="00101AEB">
              <w:rPr>
                <w:rFonts w:ascii="Arial" w:hAnsi="Arial"/>
              </w:rPr>
              <w:t>3</w:t>
            </w:r>
            <w:r w:rsidRPr="00DD38D4">
              <w:rPr>
                <w:rFonts w:ascii="Arial" w:hAnsi="Arial"/>
              </w:rPr>
              <w:t>,000</w:t>
            </w:r>
          </w:p>
        </w:tc>
      </w:tr>
      <w:tr w:rsidR="00032A9B" w:rsidTr="00032A9B">
        <w:trPr>
          <w:cantSplit/>
        </w:trPr>
        <w:tc>
          <w:tcPr>
            <w:tcW w:w="567" w:type="dxa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</w:t>
            </w:r>
          </w:p>
        </w:tc>
        <w:tc>
          <w:tcPr>
            <w:tcW w:w="5812" w:type="dxa"/>
          </w:tcPr>
          <w:p w:rsidR="00032A9B" w:rsidRDefault="004877AD" w:rsidP="004877AD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CD6976">
              <w:rPr>
                <w:rFonts w:ascii="Arial" w:hAnsi="Arial"/>
              </w:rPr>
              <w:t xml:space="preserve"> </w:t>
            </w:r>
            <w:r w:rsidR="00032920">
              <w:rPr>
                <w:rFonts w:ascii="Arial" w:hAnsi="Arial"/>
              </w:rPr>
              <w:t xml:space="preserve">and </w:t>
            </w:r>
            <w:r w:rsidR="00CD6976">
              <w:rPr>
                <w:rFonts w:ascii="Arial" w:hAnsi="Arial"/>
              </w:rPr>
              <w:t>rising to 3</w:t>
            </w:r>
            <w:r>
              <w:rPr>
                <w:rFonts w:ascii="Arial" w:hAnsi="Arial"/>
              </w:rPr>
              <w:t xml:space="preserve"> </w:t>
            </w:r>
            <w:r w:rsidR="00032A9B">
              <w:rPr>
                <w:rFonts w:ascii="Arial" w:hAnsi="Arial"/>
              </w:rPr>
              <w:t xml:space="preserve">additional Enforcement Officers/Wardens </w:t>
            </w:r>
          </w:p>
        </w:tc>
        <w:tc>
          <w:tcPr>
            <w:tcW w:w="1134" w:type="dxa"/>
            <w:vAlign w:val="center"/>
          </w:tcPr>
          <w:p w:rsidR="00032A9B" w:rsidRPr="00DB4173" w:rsidRDefault="004877AD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  <w:r w:rsidR="00032A9B">
              <w:rPr>
                <w:rFonts w:ascii="Arial" w:hAnsi="Arial"/>
              </w:rPr>
              <w:t>,000</w:t>
            </w:r>
          </w:p>
        </w:tc>
        <w:tc>
          <w:tcPr>
            <w:tcW w:w="1134" w:type="dxa"/>
            <w:vAlign w:val="center"/>
          </w:tcPr>
          <w:p w:rsidR="00032A9B" w:rsidRPr="00DB4173" w:rsidRDefault="00032920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  <w:r w:rsidR="00032A9B">
              <w:rPr>
                <w:rFonts w:ascii="Arial" w:hAnsi="Arial"/>
              </w:rPr>
              <w:t>,000</w:t>
            </w:r>
          </w:p>
        </w:tc>
      </w:tr>
      <w:tr w:rsidR="00032A9B" w:rsidTr="00032A9B">
        <w:trPr>
          <w:cantSplit/>
        </w:trPr>
        <w:tc>
          <w:tcPr>
            <w:tcW w:w="567" w:type="dxa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</w:t>
            </w:r>
          </w:p>
        </w:tc>
        <w:tc>
          <w:tcPr>
            <w:tcW w:w="5812" w:type="dxa"/>
          </w:tcPr>
          <w:p w:rsidR="00032A9B" w:rsidRDefault="00CD6976" w:rsidP="00CD6976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Phased </w:t>
            </w:r>
            <w:r w:rsidR="00032A9B">
              <w:rPr>
                <w:rFonts w:ascii="Arial" w:hAnsi="Arial"/>
              </w:rPr>
              <w:t>re-instatement of Domestic Violence Service</w:t>
            </w:r>
          </w:p>
        </w:tc>
        <w:tc>
          <w:tcPr>
            <w:tcW w:w="1134" w:type="dxa"/>
            <w:vAlign w:val="center"/>
          </w:tcPr>
          <w:p w:rsidR="00032A9B" w:rsidRPr="0082774D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 w:rsidRPr="0082774D">
              <w:rPr>
                <w:rFonts w:ascii="Arial" w:hAnsi="Arial"/>
              </w:rPr>
              <w:t>70,000</w:t>
            </w:r>
          </w:p>
        </w:tc>
        <w:tc>
          <w:tcPr>
            <w:tcW w:w="1134" w:type="dxa"/>
            <w:vAlign w:val="center"/>
          </w:tcPr>
          <w:p w:rsidR="00032A9B" w:rsidRPr="0082774D" w:rsidRDefault="00CD6976" w:rsidP="00CD6976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</w:t>
            </w:r>
            <w:r w:rsidR="00032A9B" w:rsidRPr="0082774D">
              <w:rPr>
                <w:rFonts w:ascii="Arial" w:hAnsi="Arial"/>
              </w:rPr>
              <w:t>,000</w:t>
            </w:r>
          </w:p>
        </w:tc>
      </w:tr>
      <w:tr w:rsidR="00032A9B" w:rsidTr="00032A9B">
        <w:trPr>
          <w:cantSplit/>
        </w:trPr>
        <w:tc>
          <w:tcPr>
            <w:tcW w:w="567" w:type="dxa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</w:t>
            </w:r>
          </w:p>
        </w:tc>
        <w:tc>
          <w:tcPr>
            <w:tcW w:w="5812" w:type="dxa"/>
          </w:tcPr>
          <w:p w:rsidR="00032A9B" w:rsidRPr="00D968BB" w:rsidRDefault="00032A9B" w:rsidP="00032A9B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Re-instatement of a fixed number of </w:t>
            </w:r>
            <w:r w:rsidRPr="000F1686">
              <w:rPr>
                <w:rFonts w:ascii="Arial" w:hAnsi="Arial"/>
              </w:rPr>
              <w:t>Free Bulky Waste Collection</w:t>
            </w:r>
            <w:r>
              <w:rPr>
                <w:rFonts w:ascii="Arial" w:hAnsi="Arial"/>
              </w:rPr>
              <w:t>s (means tested)</w:t>
            </w:r>
          </w:p>
        </w:tc>
        <w:tc>
          <w:tcPr>
            <w:tcW w:w="1134" w:type="dxa"/>
            <w:vAlign w:val="center"/>
          </w:tcPr>
          <w:p w:rsidR="00032A9B" w:rsidRPr="00DB4173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 w:rsidRPr="00DB4173">
              <w:rPr>
                <w:rFonts w:ascii="Arial" w:hAnsi="Arial"/>
              </w:rPr>
              <w:t>10,000</w:t>
            </w:r>
          </w:p>
        </w:tc>
        <w:tc>
          <w:tcPr>
            <w:tcW w:w="1134" w:type="dxa"/>
            <w:vAlign w:val="center"/>
          </w:tcPr>
          <w:p w:rsidR="00032A9B" w:rsidRPr="00DB4173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 w:rsidRPr="00DB4173">
              <w:rPr>
                <w:rFonts w:ascii="Arial" w:hAnsi="Arial"/>
              </w:rPr>
              <w:t>10,000</w:t>
            </w:r>
          </w:p>
        </w:tc>
      </w:tr>
      <w:tr w:rsidR="00032A9B" w:rsidTr="00032A9B">
        <w:trPr>
          <w:cantSplit/>
        </w:trPr>
        <w:tc>
          <w:tcPr>
            <w:tcW w:w="567" w:type="dxa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</w:t>
            </w:r>
          </w:p>
        </w:tc>
        <w:tc>
          <w:tcPr>
            <w:tcW w:w="5812" w:type="dxa"/>
          </w:tcPr>
          <w:p w:rsidR="00032A9B" w:rsidRPr="00D968BB" w:rsidRDefault="00032A9B" w:rsidP="00032A9B">
            <w:pPr>
              <w:pStyle w:val="TableText"/>
              <w:rPr>
                <w:rFonts w:ascii="Arial" w:hAnsi="Arial"/>
              </w:rPr>
            </w:pPr>
            <w:r w:rsidRPr="000F1686">
              <w:rPr>
                <w:rFonts w:ascii="Arial" w:hAnsi="Arial"/>
              </w:rPr>
              <w:t xml:space="preserve">Provision of </w:t>
            </w:r>
            <w:r>
              <w:rPr>
                <w:rFonts w:ascii="Arial" w:hAnsi="Arial"/>
              </w:rPr>
              <w:t>10</w:t>
            </w:r>
            <w:r w:rsidRPr="000F1686">
              <w:rPr>
                <w:rFonts w:ascii="Arial" w:hAnsi="Arial"/>
              </w:rPr>
              <w:t xml:space="preserve"> Multi</w:t>
            </w:r>
            <w:r>
              <w:rPr>
                <w:rFonts w:ascii="Arial" w:hAnsi="Arial"/>
              </w:rPr>
              <w:t>-</w:t>
            </w:r>
            <w:r w:rsidRPr="000F1686">
              <w:rPr>
                <w:rFonts w:ascii="Arial" w:hAnsi="Arial"/>
              </w:rPr>
              <w:t xml:space="preserve">Use Waste Bins located </w:t>
            </w:r>
            <w:r>
              <w:rPr>
                <w:rFonts w:ascii="Arial" w:hAnsi="Arial"/>
              </w:rPr>
              <w:t>across the City</w:t>
            </w:r>
          </w:p>
        </w:tc>
        <w:tc>
          <w:tcPr>
            <w:tcW w:w="1134" w:type="dxa"/>
            <w:vAlign w:val="center"/>
          </w:tcPr>
          <w:p w:rsidR="00032A9B" w:rsidRPr="00DB4173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 w:rsidRPr="00DB4173">
              <w:rPr>
                <w:rFonts w:ascii="Arial" w:hAnsi="Arial"/>
              </w:rPr>
              <w:t>7,000</w:t>
            </w:r>
          </w:p>
        </w:tc>
        <w:tc>
          <w:tcPr>
            <w:tcW w:w="1134" w:type="dxa"/>
            <w:vAlign w:val="center"/>
          </w:tcPr>
          <w:p w:rsidR="00032A9B" w:rsidRPr="00DB4173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 w:rsidRPr="00DB4173">
              <w:rPr>
                <w:rFonts w:ascii="Arial" w:hAnsi="Arial"/>
              </w:rPr>
              <w:t>7,000</w:t>
            </w:r>
          </w:p>
        </w:tc>
      </w:tr>
      <w:tr w:rsidR="00032A9B" w:rsidTr="00032A9B">
        <w:trPr>
          <w:cantSplit/>
        </w:trPr>
        <w:tc>
          <w:tcPr>
            <w:tcW w:w="8647" w:type="dxa"/>
            <w:gridSpan w:val="4"/>
          </w:tcPr>
          <w:p w:rsidR="00032A9B" w:rsidRPr="00DB4173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32A9B" w:rsidTr="00032A9B">
        <w:trPr>
          <w:cantSplit/>
        </w:trPr>
        <w:tc>
          <w:tcPr>
            <w:tcW w:w="6379" w:type="dxa"/>
            <w:gridSpan w:val="2"/>
          </w:tcPr>
          <w:p w:rsidR="00032A9B" w:rsidRPr="0094408B" w:rsidRDefault="00032A9B" w:rsidP="00032A9B">
            <w:pPr>
              <w:pStyle w:val="TableText"/>
              <w:jc w:val="left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Housing</w:t>
            </w: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32A9B" w:rsidTr="00032A9B">
        <w:trPr>
          <w:cantSplit/>
        </w:trPr>
        <w:tc>
          <w:tcPr>
            <w:tcW w:w="567" w:type="dxa"/>
          </w:tcPr>
          <w:p w:rsidR="00032A9B" w:rsidRPr="00C5645F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</w:t>
            </w:r>
          </w:p>
        </w:tc>
        <w:tc>
          <w:tcPr>
            <w:tcW w:w="5812" w:type="dxa"/>
          </w:tcPr>
          <w:p w:rsidR="00032A9B" w:rsidRPr="0094408B" w:rsidRDefault="00032A9B" w:rsidP="0082774D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Provision of lockers for homeless people to store their </w:t>
            </w:r>
            <w:r w:rsidRPr="0082774D">
              <w:rPr>
                <w:rFonts w:ascii="Arial" w:hAnsi="Arial"/>
              </w:rPr>
              <w:t>belongings</w:t>
            </w:r>
            <w:r w:rsidR="003114B5" w:rsidRPr="0082774D">
              <w:rPr>
                <w:rFonts w:ascii="Arial" w:hAnsi="Arial"/>
              </w:rPr>
              <w:t xml:space="preserve"> (</w:t>
            </w:r>
            <w:r w:rsidR="0082774D" w:rsidRPr="0082774D">
              <w:rPr>
                <w:rFonts w:ascii="Arial" w:hAnsi="Arial"/>
              </w:rPr>
              <w:t>in a c</w:t>
            </w:r>
            <w:r w:rsidR="003114B5" w:rsidRPr="0082774D">
              <w:rPr>
                <w:rFonts w:ascii="Arial" w:hAnsi="Arial"/>
              </w:rPr>
              <w:t>ivic site to be determined)</w:t>
            </w: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5,000</w:t>
            </w: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1,000</w:t>
            </w:r>
          </w:p>
        </w:tc>
      </w:tr>
      <w:tr w:rsidR="005028A7" w:rsidTr="00F35D50">
        <w:trPr>
          <w:cantSplit/>
        </w:trPr>
        <w:tc>
          <w:tcPr>
            <w:tcW w:w="8647" w:type="dxa"/>
            <w:gridSpan w:val="4"/>
          </w:tcPr>
          <w:p w:rsidR="005028A7" w:rsidRDefault="005028A7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32A9B" w:rsidTr="00032A9B">
        <w:trPr>
          <w:cantSplit/>
        </w:trPr>
        <w:tc>
          <w:tcPr>
            <w:tcW w:w="6379" w:type="dxa"/>
            <w:gridSpan w:val="2"/>
          </w:tcPr>
          <w:p w:rsidR="00032A9B" w:rsidRDefault="00032A9B" w:rsidP="00032A9B">
            <w:pPr>
              <w:pStyle w:val="TableText"/>
              <w:jc w:val="left"/>
              <w:rPr>
                <w:rFonts w:ascii="Arial" w:hAnsi="Arial"/>
              </w:rPr>
            </w:pPr>
            <w:r w:rsidRPr="0094408B">
              <w:rPr>
                <w:rFonts w:ascii="Arial" w:hAnsi="Arial"/>
                <w:b/>
                <w:u w:val="single"/>
              </w:rPr>
              <w:t>Resources</w:t>
            </w: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32A9B" w:rsidTr="00032A9B">
        <w:trPr>
          <w:cantSplit/>
        </w:trPr>
        <w:tc>
          <w:tcPr>
            <w:tcW w:w="567" w:type="dxa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</w:t>
            </w:r>
          </w:p>
        </w:tc>
        <w:tc>
          <w:tcPr>
            <w:tcW w:w="5812" w:type="dxa"/>
          </w:tcPr>
          <w:p w:rsidR="00032A9B" w:rsidRPr="00ED7EA5" w:rsidRDefault="00032A9B" w:rsidP="00032A9B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Grant to Off the Record</w:t>
            </w: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40,000</w:t>
            </w: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40,000</w:t>
            </w:r>
          </w:p>
        </w:tc>
      </w:tr>
      <w:tr w:rsidR="00032A9B" w:rsidTr="00032A9B">
        <w:trPr>
          <w:cantSplit/>
        </w:trPr>
        <w:tc>
          <w:tcPr>
            <w:tcW w:w="567" w:type="dxa"/>
          </w:tcPr>
          <w:p w:rsidR="00032A9B" w:rsidRPr="00DB4173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 w:rsidRPr="00DB4173">
              <w:rPr>
                <w:rFonts w:ascii="Arial" w:hAnsi="Arial"/>
              </w:rPr>
              <w:t>New</w:t>
            </w:r>
          </w:p>
        </w:tc>
        <w:tc>
          <w:tcPr>
            <w:tcW w:w="5812" w:type="dxa"/>
          </w:tcPr>
          <w:p w:rsidR="00032A9B" w:rsidRPr="00DB4173" w:rsidRDefault="00CD6976" w:rsidP="00CD6976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Commencing in October 2018</w:t>
            </w:r>
            <w:r w:rsidR="0003292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 i</w:t>
            </w:r>
            <w:r w:rsidR="00032A9B" w:rsidRPr="00DB4173">
              <w:rPr>
                <w:rFonts w:ascii="Arial" w:hAnsi="Arial"/>
              </w:rPr>
              <w:t>ncrease in pay for the lowest paid to the level of the Living Wage as defined by the Living Wage Foundation, subject to the approval of the Employment Committee</w:t>
            </w:r>
          </w:p>
        </w:tc>
        <w:tc>
          <w:tcPr>
            <w:tcW w:w="1134" w:type="dxa"/>
            <w:vAlign w:val="center"/>
          </w:tcPr>
          <w:p w:rsidR="00032A9B" w:rsidRPr="00DB4173" w:rsidRDefault="00CD6976" w:rsidP="00032A9B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65,000</w:t>
            </w:r>
          </w:p>
        </w:tc>
        <w:tc>
          <w:tcPr>
            <w:tcW w:w="1134" w:type="dxa"/>
            <w:vAlign w:val="center"/>
          </w:tcPr>
          <w:p w:rsidR="00032A9B" w:rsidRPr="00DB4173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  <w:r w:rsidRPr="00DB4173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29</w:t>
            </w:r>
            <w:r w:rsidRPr="00DB4173">
              <w:rPr>
                <w:rFonts w:ascii="Arial" w:hAnsi="Arial"/>
              </w:rPr>
              <w:t>,000</w:t>
            </w:r>
          </w:p>
        </w:tc>
      </w:tr>
      <w:tr w:rsidR="00032A9B" w:rsidTr="00032A9B">
        <w:trPr>
          <w:cantSplit/>
        </w:trPr>
        <w:tc>
          <w:tcPr>
            <w:tcW w:w="8647" w:type="dxa"/>
            <w:gridSpan w:val="4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32A9B" w:rsidTr="00032A9B">
        <w:trPr>
          <w:cantSplit/>
        </w:trPr>
        <w:tc>
          <w:tcPr>
            <w:tcW w:w="6379" w:type="dxa"/>
            <w:gridSpan w:val="2"/>
          </w:tcPr>
          <w:p w:rsidR="00032A9B" w:rsidRPr="00C5645F" w:rsidRDefault="00032A9B" w:rsidP="00032A9B">
            <w:pPr>
              <w:pStyle w:val="TableText"/>
              <w:jc w:val="left"/>
              <w:rPr>
                <w:rFonts w:ascii="Arial" w:hAnsi="Arial"/>
                <w:b/>
                <w:u w:val="single"/>
              </w:rPr>
            </w:pPr>
            <w:r w:rsidRPr="00C5645F">
              <w:rPr>
                <w:rFonts w:ascii="Arial" w:hAnsi="Arial"/>
                <w:b/>
                <w:u w:val="single"/>
              </w:rPr>
              <w:t>Traffic &amp; Transportation</w:t>
            </w: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B32E4F" w:rsidRPr="0009742D" w:rsidTr="00B32E4F">
        <w:trPr>
          <w:cantSplit/>
        </w:trPr>
        <w:tc>
          <w:tcPr>
            <w:tcW w:w="567" w:type="dxa"/>
          </w:tcPr>
          <w:p w:rsidR="00B32E4F" w:rsidRDefault="00B32E4F" w:rsidP="00B32E4F">
            <w:pPr>
              <w:pStyle w:val="Tabl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</w:t>
            </w:r>
          </w:p>
        </w:tc>
        <w:tc>
          <w:tcPr>
            <w:tcW w:w="5812" w:type="dxa"/>
          </w:tcPr>
          <w:p w:rsidR="00B32E4F" w:rsidRDefault="00B32E4F" w:rsidP="00B32E4F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Re-instatement of Dial-A-Ride service</w:t>
            </w:r>
          </w:p>
        </w:tc>
        <w:tc>
          <w:tcPr>
            <w:tcW w:w="1134" w:type="dxa"/>
            <w:vAlign w:val="center"/>
          </w:tcPr>
          <w:p w:rsidR="00B32E4F" w:rsidRPr="00D85457" w:rsidRDefault="00D85457" w:rsidP="003114B5">
            <w:pPr>
              <w:pStyle w:val="TableText"/>
              <w:jc w:val="center"/>
              <w:rPr>
                <w:rFonts w:ascii="Arial" w:hAnsi="Arial"/>
              </w:rPr>
            </w:pPr>
            <w:r w:rsidRPr="00D85457">
              <w:rPr>
                <w:rFonts w:ascii="Arial" w:hAnsi="Arial"/>
              </w:rPr>
              <w:t>50,000</w:t>
            </w:r>
          </w:p>
        </w:tc>
        <w:tc>
          <w:tcPr>
            <w:tcW w:w="1134" w:type="dxa"/>
            <w:vAlign w:val="center"/>
          </w:tcPr>
          <w:p w:rsidR="00B32E4F" w:rsidRPr="00D85457" w:rsidRDefault="00D85457" w:rsidP="003114B5">
            <w:pPr>
              <w:pStyle w:val="TableText"/>
              <w:jc w:val="center"/>
              <w:rPr>
                <w:rFonts w:ascii="Arial" w:hAnsi="Arial"/>
              </w:rPr>
            </w:pPr>
            <w:r w:rsidRPr="00D85457">
              <w:rPr>
                <w:rFonts w:ascii="Arial" w:hAnsi="Arial"/>
              </w:rPr>
              <w:t>50,000</w:t>
            </w:r>
          </w:p>
        </w:tc>
      </w:tr>
      <w:tr w:rsidR="00032A9B" w:rsidTr="00032A9B">
        <w:trPr>
          <w:cantSplit/>
        </w:trPr>
        <w:tc>
          <w:tcPr>
            <w:tcW w:w="8647" w:type="dxa"/>
            <w:gridSpan w:val="4"/>
          </w:tcPr>
          <w:p w:rsidR="00032A9B" w:rsidRDefault="00032A9B" w:rsidP="00032A9B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32A9B" w:rsidTr="00D01505">
        <w:trPr>
          <w:cantSplit/>
        </w:trPr>
        <w:tc>
          <w:tcPr>
            <w:tcW w:w="6379" w:type="dxa"/>
            <w:gridSpan w:val="2"/>
          </w:tcPr>
          <w:p w:rsidR="00032A9B" w:rsidRDefault="00032A9B" w:rsidP="00032A9B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:rsidR="00032A9B" w:rsidRPr="00DD38D4" w:rsidRDefault="00DD38D4" w:rsidP="00032A9B">
            <w:pPr>
              <w:pStyle w:val="TableText"/>
              <w:jc w:val="center"/>
              <w:rPr>
                <w:rFonts w:ascii="Arial" w:hAnsi="Arial"/>
                <w:b/>
              </w:rPr>
            </w:pPr>
            <w:r w:rsidRPr="00DD38D4">
              <w:rPr>
                <w:rFonts w:ascii="Arial" w:hAnsi="Arial"/>
                <w:b/>
              </w:rPr>
              <w:t>393,000</w:t>
            </w:r>
          </w:p>
        </w:tc>
        <w:tc>
          <w:tcPr>
            <w:tcW w:w="1134" w:type="dxa"/>
            <w:vAlign w:val="center"/>
          </w:tcPr>
          <w:p w:rsidR="00032A9B" w:rsidRPr="00DD38D4" w:rsidRDefault="00DD38D4" w:rsidP="00032A9B">
            <w:pPr>
              <w:pStyle w:val="TableText"/>
              <w:jc w:val="center"/>
              <w:rPr>
                <w:rFonts w:ascii="Arial" w:hAnsi="Arial"/>
                <w:b/>
              </w:rPr>
            </w:pPr>
            <w:r w:rsidRPr="00DD38D4">
              <w:rPr>
                <w:rFonts w:ascii="Arial" w:hAnsi="Arial"/>
                <w:b/>
              </w:rPr>
              <w:t>569,000</w:t>
            </w:r>
          </w:p>
        </w:tc>
      </w:tr>
    </w:tbl>
    <w:p w:rsidR="002F7458" w:rsidRDefault="002F7458" w:rsidP="002F7458">
      <w:pPr>
        <w:pStyle w:val="BodyText"/>
        <w:rPr>
          <w:rFonts w:ascii="Arial" w:hAnsi="Arial"/>
        </w:rPr>
      </w:pPr>
    </w:p>
    <w:p w:rsidR="004316B1" w:rsidRDefault="004316B1">
      <w:pPr>
        <w:rPr>
          <w:rFonts w:ascii="Arial" w:hAnsi="Arial"/>
          <w:snapToGrid w:val="0"/>
          <w:color w:val="000000"/>
          <w:sz w:val="24"/>
        </w:rPr>
      </w:pPr>
    </w:p>
    <w:p w:rsidR="00942399" w:rsidRDefault="00F70FE9" w:rsidP="00B35D4B">
      <w:pPr>
        <w:ind w:left="567" w:hanging="567"/>
        <w:rPr>
          <w:rFonts w:ascii="Arial" w:hAnsi="Arial"/>
          <w:sz w:val="24"/>
          <w:szCs w:val="24"/>
        </w:rPr>
      </w:pPr>
      <w:r w:rsidRPr="00F70FE9">
        <w:rPr>
          <w:rFonts w:ascii="Arial" w:hAnsi="Arial"/>
          <w:b/>
          <w:sz w:val="24"/>
          <w:szCs w:val="24"/>
        </w:rPr>
        <w:t>(</w:t>
      </w:r>
      <w:r w:rsidR="00E93E01">
        <w:rPr>
          <w:rFonts w:ascii="Arial" w:hAnsi="Arial"/>
          <w:b/>
          <w:sz w:val="24"/>
          <w:szCs w:val="24"/>
        </w:rPr>
        <w:t>l</w:t>
      </w:r>
      <w:r w:rsidRPr="00F70FE9">
        <w:rPr>
          <w:rFonts w:ascii="Arial" w:hAnsi="Arial"/>
          <w:b/>
          <w:sz w:val="24"/>
          <w:szCs w:val="24"/>
        </w:rPr>
        <w:t>)</w:t>
      </w:r>
      <w:r w:rsidRPr="00F70FE9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That the S151 Officer advises that, in his opinion, the proposals contained within this amendment </w:t>
      </w:r>
      <w:r w:rsidR="00E47AD1">
        <w:rPr>
          <w:rFonts w:ascii="Arial" w:hAnsi="Arial"/>
          <w:sz w:val="24"/>
          <w:szCs w:val="24"/>
        </w:rPr>
        <w:t xml:space="preserve">do not present any </w:t>
      </w:r>
      <w:r>
        <w:rPr>
          <w:rFonts w:ascii="Arial" w:hAnsi="Arial"/>
          <w:sz w:val="24"/>
          <w:szCs w:val="24"/>
        </w:rPr>
        <w:t>additional risk to the delivery of the overall savings amounts required for the Budget 201</w:t>
      </w:r>
      <w:r w:rsidR="00E03CAC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/1</w:t>
      </w:r>
      <w:r w:rsidR="00E03CAC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. </w:t>
      </w:r>
    </w:p>
    <w:p w:rsidR="00942399" w:rsidRDefault="00942399" w:rsidP="00B35D4B">
      <w:pPr>
        <w:ind w:left="567" w:hanging="567"/>
        <w:rPr>
          <w:rFonts w:ascii="Arial" w:hAnsi="Arial"/>
          <w:sz w:val="24"/>
          <w:szCs w:val="24"/>
        </w:rPr>
      </w:pPr>
    </w:p>
    <w:p w:rsidR="003D151D" w:rsidRDefault="00942399" w:rsidP="00B35D4B">
      <w:pPr>
        <w:ind w:left="567" w:hanging="567"/>
        <w:rPr>
          <w:rFonts w:ascii="Arial" w:hAnsi="Arial"/>
          <w:b/>
          <w:sz w:val="28"/>
          <w:szCs w:val="28"/>
          <w:u w:val="single"/>
        </w:rPr>
      </w:pPr>
      <w:r w:rsidRPr="00942399">
        <w:rPr>
          <w:rFonts w:ascii="Arial" w:hAnsi="Arial"/>
          <w:b/>
          <w:sz w:val="24"/>
          <w:szCs w:val="24"/>
        </w:rPr>
        <w:t>(</w:t>
      </w:r>
      <w:r w:rsidR="00E93E01">
        <w:rPr>
          <w:rFonts w:ascii="Arial" w:hAnsi="Arial"/>
          <w:b/>
          <w:sz w:val="24"/>
          <w:szCs w:val="24"/>
        </w:rPr>
        <w:t>m</w:t>
      </w:r>
      <w:r w:rsidR="00673216"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  <w:t xml:space="preserve">The City Solicitor is content with the proposals set out in this amendment. </w:t>
      </w:r>
      <w:r w:rsidR="00F70FE9">
        <w:rPr>
          <w:rFonts w:ascii="Arial" w:hAnsi="Arial"/>
          <w:sz w:val="24"/>
          <w:szCs w:val="24"/>
        </w:rPr>
        <w:t xml:space="preserve"> </w:t>
      </w:r>
      <w:r w:rsidR="008578B7">
        <w:rPr>
          <w:rFonts w:ascii="Arial" w:hAnsi="Arial"/>
          <w:b/>
          <w:sz w:val="24"/>
          <w:szCs w:val="24"/>
          <w:u w:val="single"/>
        </w:rPr>
        <w:br w:type="page"/>
      </w:r>
      <w:r w:rsidR="00992FE6" w:rsidRPr="003D151D">
        <w:rPr>
          <w:rFonts w:ascii="Arial" w:hAnsi="Arial"/>
          <w:b/>
          <w:sz w:val="28"/>
          <w:szCs w:val="28"/>
          <w:u w:val="single"/>
        </w:rPr>
        <w:t xml:space="preserve">NOTES TO THE </w:t>
      </w:r>
      <w:r w:rsidR="003D151D" w:rsidRPr="003D151D">
        <w:rPr>
          <w:rFonts w:ascii="Arial" w:hAnsi="Arial"/>
          <w:b/>
          <w:sz w:val="28"/>
          <w:szCs w:val="28"/>
          <w:u w:val="single"/>
        </w:rPr>
        <w:t>LIBERAL DEMOCRAT AMENDMENT</w:t>
      </w:r>
      <w:r w:rsidR="00992FE6" w:rsidRPr="003D151D"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3D151D" w:rsidRDefault="003D151D" w:rsidP="003D151D">
      <w:pPr>
        <w:rPr>
          <w:rFonts w:ascii="Arial" w:hAnsi="Arial"/>
          <w:b/>
          <w:sz w:val="28"/>
          <w:szCs w:val="28"/>
          <w:u w:val="single"/>
        </w:rPr>
      </w:pPr>
    </w:p>
    <w:p w:rsidR="00992FE6" w:rsidRPr="003D151D" w:rsidRDefault="008578B7" w:rsidP="003D151D">
      <w:pPr>
        <w:rPr>
          <w:rFonts w:ascii="Arial" w:hAnsi="Arial"/>
          <w:b/>
          <w:sz w:val="24"/>
          <w:szCs w:val="24"/>
        </w:rPr>
      </w:pPr>
      <w:r w:rsidRPr="003D151D">
        <w:rPr>
          <w:rFonts w:ascii="Arial" w:hAnsi="Arial"/>
          <w:b/>
          <w:sz w:val="28"/>
          <w:szCs w:val="28"/>
        </w:rPr>
        <w:t xml:space="preserve">Portsmouth City Council </w:t>
      </w:r>
      <w:r w:rsidR="00992FE6" w:rsidRPr="003D151D">
        <w:rPr>
          <w:rFonts w:ascii="Arial" w:hAnsi="Arial"/>
          <w:b/>
          <w:sz w:val="28"/>
          <w:szCs w:val="28"/>
        </w:rPr>
        <w:t>Revenue Budget</w:t>
      </w:r>
      <w:r w:rsidR="00D968BB">
        <w:rPr>
          <w:rFonts w:ascii="Arial" w:hAnsi="Arial"/>
          <w:b/>
          <w:sz w:val="28"/>
          <w:szCs w:val="28"/>
        </w:rPr>
        <w:t xml:space="preserve"> </w:t>
      </w:r>
      <w:r w:rsidR="00992FE6" w:rsidRPr="003D151D">
        <w:rPr>
          <w:rFonts w:ascii="Arial" w:hAnsi="Arial"/>
          <w:b/>
          <w:sz w:val="28"/>
          <w:szCs w:val="28"/>
        </w:rPr>
        <w:t>201</w:t>
      </w:r>
      <w:r w:rsidR="00191F5E">
        <w:rPr>
          <w:rFonts w:ascii="Arial" w:hAnsi="Arial"/>
          <w:b/>
          <w:sz w:val="28"/>
          <w:szCs w:val="28"/>
        </w:rPr>
        <w:t>8</w:t>
      </w:r>
      <w:r w:rsidR="00992FE6" w:rsidRPr="003D151D">
        <w:rPr>
          <w:rFonts w:ascii="Arial" w:hAnsi="Arial"/>
          <w:b/>
          <w:sz w:val="28"/>
          <w:szCs w:val="28"/>
        </w:rPr>
        <w:t>/1</w:t>
      </w:r>
      <w:r w:rsidR="00191F5E">
        <w:rPr>
          <w:rFonts w:ascii="Arial" w:hAnsi="Arial"/>
          <w:b/>
          <w:sz w:val="28"/>
          <w:szCs w:val="28"/>
        </w:rPr>
        <w:t>9</w:t>
      </w:r>
      <w:r w:rsidR="00992FE6" w:rsidRPr="003D151D">
        <w:rPr>
          <w:rFonts w:ascii="Arial" w:hAnsi="Arial"/>
          <w:b/>
          <w:sz w:val="28"/>
          <w:szCs w:val="28"/>
        </w:rPr>
        <w:t xml:space="preserve"> - Savings Proposals</w:t>
      </w:r>
    </w:p>
    <w:p w:rsidR="00992FE6" w:rsidRDefault="00992FE6" w:rsidP="00992FE6">
      <w:pPr>
        <w:rPr>
          <w:rFonts w:ascii="Arial" w:hAnsi="Arial"/>
          <w:sz w:val="24"/>
          <w:szCs w:val="24"/>
        </w:rPr>
      </w:pPr>
    </w:p>
    <w:p w:rsidR="00992FE6" w:rsidRDefault="00992FE6" w:rsidP="00992FE6">
      <w:pPr>
        <w:rPr>
          <w:rFonts w:ascii="Arial" w:hAnsi="Arial"/>
          <w:sz w:val="24"/>
          <w:szCs w:val="24"/>
        </w:rPr>
      </w:pPr>
    </w:p>
    <w:p w:rsidR="00992FE6" w:rsidRDefault="00992FE6" w:rsidP="00992FE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overall financial effect of the proposals is set out below:</w:t>
      </w:r>
    </w:p>
    <w:p w:rsidR="00992FE6" w:rsidRDefault="00992FE6" w:rsidP="00992FE6">
      <w:pPr>
        <w:rPr>
          <w:rFonts w:ascii="Arial" w:hAnsi="Arial"/>
          <w:sz w:val="24"/>
          <w:szCs w:val="24"/>
        </w:rPr>
      </w:pPr>
    </w:p>
    <w:p w:rsidR="00992FE6" w:rsidRDefault="00992FE6" w:rsidP="00992FE6">
      <w:pPr>
        <w:rPr>
          <w:rFonts w:ascii="Arial" w:hAnsi="Arial"/>
          <w:sz w:val="24"/>
          <w:szCs w:val="24"/>
        </w:rPr>
      </w:pPr>
    </w:p>
    <w:tbl>
      <w:tblPr>
        <w:tblW w:w="0" w:type="auto"/>
        <w:tblInd w:w="75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417"/>
      </w:tblGrid>
      <w:tr w:rsidR="00992FE6" w:rsidTr="00992FE6">
        <w:tc>
          <w:tcPr>
            <w:tcW w:w="4820" w:type="dxa"/>
          </w:tcPr>
          <w:p w:rsidR="00992FE6" w:rsidRDefault="00992FE6" w:rsidP="00992FE6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992FE6" w:rsidRDefault="00992FE6" w:rsidP="00191F5E">
            <w:pPr>
              <w:pStyle w:val="TableTex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</w:t>
            </w:r>
            <w:r w:rsidR="00191F5E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/1</w:t>
            </w:r>
            <w:r w:rsidR="00191F5E">
              <w:rPr>
                <w:rFonts w:ascii="Arial" w:hAnsi="Arial"/>
                <w:b/>
              </w:rPr>
              <w:t>9</w:t>
            </w:r>
          </w:p>
        </w:tc>
        <w:tc>
          <w:tcPr>
            <w:tcW w:w="1417" w:type="dxa"/>
          </w:tcPr>
          <w:p w:rsidR="00992FE6" w:rsidRDefault="00992FE6" w:rsidP="007C40AF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</w:t>
            </w:r>
            <w:r w:rsidR="00191F5E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>/</w:t>
            </w:r>
            <w:r w:rsidR="00191F5E">
              <w:rPr>
                <w:rFonts w:ascii="Arial" w:hAnsi="Arial"/>
                <w:b/>
              </w:rPr>
              <w:t>20</w:t>
            </w:r>
          </w:p>
          <w:p w:rsidR="007C40AF" w:rsidRDefault="007C40AF" w:rsidP="007C40AF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&amp;</w:t>
            </w:r>
          </w:p>
          <w:p w:rsidR="007C40AF" w:rsidRDefault="007C40AF" w:rsidP="007C40AF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Future Years</w:t>
            </w:r>
          </w:p>
        </w:tc>
      </w:tr>
      <w:tr w:rsidR="00992FE6" w:rsidTr="00992FE6">
        <w:tc>
          <w:tcPr>
            <w:tcW w:w="4820" w:type="dxa"/>
          </w:tcPr>
          <w:p w:rsidR="00992FE6" w:rsidRDefault="00992FE6" w:rsidP="00992FE6">
            <w:pPr>
              <w:pStyle w:val="TableText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417" w:type="dxa"/>
          </w:tcPr>
          <w:p w:rsidR="00992FE6" w:rsidRDefault="00992FE6" w:rsidP="00992FE6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£</w:t>
            </w:r>
          </w:p>
        </w:tc>
        <w:tc>
          <w:tcPr>
            <w:tcW w:w="1417" w:type="dxa"/>
          </w:tcPr>
          <w:p w:rsidR="00992FE6" w:rsidRDefault="00992FE6" w:rsidP="007C40AF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tr w:rsidR="00992FE6" w:rsidRPr="00032920" w:rsidTr="00992FE6">
        <w:tc>
          <w:tcPr>
            <w:tcW w:w="4820" w:type="dxa"/>
          </w:tcPr>
          <w:p w:rsidR="00992FE6" w:rsidRPr="00032920" w:rsidRDefault="00992FE6" w:rsidP="00992FE6">
            <w:pPr>
              <w:pStyle w:val="TableText"/>
              <w:jc w:val="left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417" w:type="dxa"/>
          </w:tcPr>
          <w:p w:rsidR="00992FE6" w:rsidRPr="00032920" w:rsidRDefault="00992FE6" w:rsidP="00992FE6">
            <w:pPr>
              <w:pStyle w:val="TableText"/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992FE6" w:rsidRPr="00032920" w:rsidRDefault="00992FE6" w:rsidP="00992FE6">
            <w:pPr>
              <w:pStyle w:val="TableText"/>
              <w:jc w:val="right"/>
              <w:rPr>
                <w:rFonts w:ascii="Arial" w:hAnsi="Arial"/>
              </w:rPr>
            </w:pPr>
          </w:p>
        </w:tc>
      </w:tr>
      <w:tr w:rsidR="00992FE6" w:rsidRPr="00032920" w:rsidTr="003D151D">
        <w:tc>
          <w:tcPr>
            <w:tcW w:w="4820" w:type="dxa"/>
          </w:tcPr>
          <w:p w:rsidR="00992FE6" w:rsidRPr="00032920" w:rsidRDefault="00992FE6" w:rsidP="00992FE6">
            <w:pPr>
              <w:pStyle w:val="TableText"/>
              <w:jc w:val="left"/>
              <w:rPr>
                <w:rFonts w:ascii="Arial" w:hAnsi="Arial"/>
              </w:rPr>
            </w:pPr>
            <w:r w:rsidRPr="00032920">
              <w:rPr>
                <w:rFonts w:ascii="Arial" w:hAnsi="Arial"/>
              </w:rPr>
              <w:t>Additional Savings Proposals</w:t>
            </w:r>
            <w:r w:rsidR="00A173F0" w:rsidRPr="00032920">
              <w:rPr>
                <w:rFonts w:ascii="Arial" w:hAnsi="Arial"/>
              </w:rPr>
              <w:t>:</w:t>
            </w:r>
          </w:p>
        </w:tc>
        <w:tc>
          <w:tcPr>
            <w:tcW w:w="1417" w:type="dxa"/>
            <w:vAlign w:val="center"/>
          </w:tcPr>
          <w:p w:rsidR="00992FE6" w:rsidRPr="00032920" w:rsidRDefault="00860998" w:rsidP="00032920">
            <w:pPr>
              <w:pStyle w:val="TableText"/>
              <w:jc w:val="center"/>
              <w:rPr>
                <w:rFonts w:ascii="Arial" w:hAnsi="Arial"/>
              </w:rPr>
            </w:pPr>
            <w:r w:rsidRPr="00032920">
              <w:rPr>
                <w:rFonts w:ascii="Arial" w:hAnsi="Arial"/>
              </w:rPr>
              <w:t>(</w:t>
            </w:r>
            <w:r w:rsidR="00032920" w:rsidRPr="00032920">
              <w:rPr>
                <w:rFonts w:ascii="Arial" w:hAnsi="Arial"/>
              </w:rPr>
              <w:t>393,000</w:t>
            </w:r>
            <w:r w:rsidRPr="00032920">
              <w:rPr>
                <w:rFonts w:ascii="Arial" w:hAnsi="Arial"/>
              </w:rPr>
              <w:t>)</w:t>
            </w:r>
          </w:p>
        </w:tc>
        <w:tc>
          <w:tcPr>
            <w:tcW w:w="1417" w:type="dxa"/>
            <w:vAlign w:val="center"/>
          </w:tcPr>
          <w:p w:rsidR="00992FE6" w:rsidRPr="00032920" w:rsidRDefault="00933D4C" w:rsidP="00032920">
            <w:pPr>
              <w:pStyle w:val="TableText"/>
              <w:jc w:val="center"/>
              <w:rPr>
                <w:rFonts w:ascii="Arial" w:hAnsi="Arial"/>
              </w:rPr>
            </w:pPr>
            <w:r w:rsidRPr="00032920">
              <w:rPr>
                <w:rFonts w:ascii="Arial" w:hAnsi="Arial"/>
              </w:rPr>
              <w:t>(</w:t>
            </w:r>
            <w:r w:rsidR="00032920" w:rsidRPr="00032920">
              <w:rPr>
                <w:rFonts w:ascii="Arial" w:hAnsi="Arial"/>
              </w:rPr>
              <w:t>569,000</w:t>
            </w:r>
            <w:r w:rsidRPr="00032920">
              <w:rPr>
                <w:rFonts w:ascii="Arial" w:hAnsi="Arial"/>
              </w:rPr>
              <w:t>)</w:t>
            </w:r>
          </w:p>
        </w:tc>
      </w:tr>
      <w:tr w:rsidR="00992FE6" w:rsidRPr="00032920" w:rsidTr="003D151D">
        <w:tc>
          <w:tcPr>
            <w:tcW w:w="4820" w:type="dxa"/>
          </w:tcPr>
          <w:p w:rsidR="00992FE6" w:rsidRPr="00032920" w:rsidRDefault="00992FE6" w:rsidP="00992FE6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992FE6" w:rsidRPr="00032920" w:rsidRDefault="00992FE6" w:rsidP="003D151D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992FE6" w:rsidRPr="00032920" w:rsidRDefault="00992FE6" w:rsidP="003D151D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4388E" w:rsidRPr="00032920" w:rsidTr="003D151D">
        <w:tc>
          <w:tcPr>
            <w:tcW w:w="4820" w:type="dxa"/>
          </w:tcPr>
          <w:p w:rsidR="0004388E" w:rsidRPr="00032920" w:rsidRDefault="0004388E" w:rsidP="004B0475">
            <w:pPr>
              <w:pStyle w:val="TableText"/>
              <w:jc w:val="left"/>
              <w:rPr>
                <w:rFonts w:ascii="Arial" w:hAnsi="Arial"/>
              </w:rPr>
            </w:pPr>
            <w:r w:rsidRPr="00032920">
              <w:rPr>
                <w:rFonts w:ascii="Arial" w:hAnsi="Arial"/>
              </w:rPr>
              <w:t>Re-instatement of Savings Proposals and / or New Spending Proposals:</w:t>
            </w:r>
          </w:p>
        </w:tc>
        <w:tc>
          <w:tcPr>
            <w:tcW w:w="1417" w:type="dxa"/>
            <w:vAlign w:val="center"/>
          </w:tcPr>
          <w:p w:rsidR="0004388E" w:rsidRPr="00032920" w:rsidRDefault="00032920" w:rsidP="00933D4C">
            <w:pPr>
              <w:pStyle w:val="TableText"/>
              <w:jc w:val="center"/>
              <w:rPr>
                <w:rFonts w:ascii="Arial" w:hAnsi="Arial"/>
              </w:rPr>
            </w:pPr>
            <w:r w:rsidRPr="00032920">
              <w:rPr>
                <w:rFonts w:ascii="Arial" w:hAnsi="Arial"/>
              </w:rPr>
              <w:t>393,000</w:t>
            </w:r>
          </w:p>
        </w:tc>
        <w:tc>
          <w:tcPr>
            <w:tcW w:w="1417" w:type="dxa"/>
            <w:vAlign w:val="center"/>
          </w:tcPr>
          <w:p w:rsidR="0004388E" w:rsidRPr="00032920" w:rsidRDefault="00032920" w:rsidP="00933D4C">
            <w:pPr>
              <w:pStyle w:val="TableText"/>
              <w:jc w:val="center"/>
              <w:rPr>
                <w:rFonts w:ascii="Arial" w:hAnsi="Arial"/>
              </w:rPr>
            </w:pPr>
            <w:r w:rsidRPr="00032920">
              <w:rPr>
                <w:rFonts w:ascii="Arial" w:hAnsi="Arial"/>
              </w:rPr>
              <w:t>569,000</w:t>
            </w:r>
          </w:p>
        </w:tc>
      </w:tr>
      <w:tr w:rsidR="0004388E" w:rsidTr="003D151D">
        <w:tc>
          <w:tcPr>
            <w:tcW w:w="4820" w:type="dxa"/>
          </w:tcPr>
          <w:p w:rsidR="0004388E" w:rsidRPr="00A173F0" w:rsidRDefault="0004388E" w:rsidP="00992FE6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04388E" w:rsidRDefault="0004388E" w:rsidP="003D151D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04388E" w:rsidRDefault="0004388E" w:rsidP="003D151D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4388E" w:rsidTr="003D151D">
        <w:tc>
          <w:tcPr>
            <w:tcW w:w="4820" w:type="dxa"/>
          </w:tcPr>
          <w:p w:rsidR="0004388E" w:rsidRDefault="0004388E" w:rsidP="00992FE6">
            <w:pPr>
              <w:pStyle w:val="TableText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4388E" w:rsidRDefault="0004388E" w:rsidP="003D151D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04388E" w:rsidRDefault="0004388E" w:rsidP="003D151D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4388E" w:rsidTr="003D151D">
        <w:tc>
          <w:tcPr>
            <w:tcW w:w="4820" w:type="dxa"/>
          </w:tcPr>
          <w:p w:rsidR="0004388E" w:rsidRDefault="0004388E" w:rsidP="00992FE6">
            <w:pPr>
              <w:pStyle w:val="TableText"/>
              <w:jc w:val="left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4388E" w:rsidRDefault="0004388E" w:rsidP="003D151D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:rsidR="0004388E" w:rsidRDefault="0004388E" w:rsidP="003D151D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4388E" w:rsidTr="003D151D">
        <w:tc>
          <w:tcPr>
            <w:tcW w:w="4820" w:type="dxa"/>
          </w:tcPr>
          <w:p w:rsidR="0004388E" w:rsidRDefault="0004388E" w:rsidP="00992FE6">
            <w:pPr>
              <w:pStyle w:val="TableText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388E" w:rsidRDefault="0004388E" w:rsidP="003D151D">
            <w:pPr>
              <w:pStyle w:val="TableTex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388E" w:rsidRDefault="0004388E" w:rsidP="003D151D">
            <w:pPr>
              <w:pStyle w:val="TableText"/>
              <w:jc w:val="center"/>
              <w:rPr>
                <w:rFonts w:ascii="Arial" w:hAnsi="Arial"/>
              </w:rPr>
            </w:pPr>
          </w:p>
        </w:tc>
      </w:tr>
      <w:tr w:rsidR="0004388E" w:rsidTr="003D151D">
        <w:tc>
          <w:tcPr>
            <w:tcW w:w="4820" w:type="dxa"/>
          </w:tcPr>
          <w:p w:rsidR="0004388E" w:rsidRDefault="0004388E" w:rsidP="00992FE6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Overall Change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388E" w:rsidRPr="003D151D" w:rsidRDefault="0004388E" w:rsidP="003D151D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388E" w:rsidRPr="003D151D" w:rsidRDefault="0004388E" w:rsidP="003D151D">
            <w:pPr>
              <w:pStyle w:val="TableTex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</w:tbl>
    <w:p w:rsidR="00990C12" w:rsidRDefault="00990C12" w:rsidP="00990C12">
      <w:pPr>
        <w:pStyle w:val="BodyText"/>
        <w:rPr>
          <w:rFonts w:ascii="Arial" w:hAnsi="Arial" w:cs="Arial"/>
          <w:sz w:val="16"/>
        </w:rPr>
      </w:pPr>
    </w:p>
    <w:p w:rsidR="00080A31" w:rsidRDefault="00080A31">
      <w:pPr>
        <w:rPr>
          <w:rFonts w:ascii="Arial" w:hAnsi="Arial" w:cs="Arial"/>
          <w:sz w:val="16"/>
        </w:rPr>
      </w:pPr>
    </w:p>
    <w:sectPr w:rsidR="00080A31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CF" w:rsidRDefault="006C5FCF">
      <w:r>
        <w:separator/>
      </w:r>
    </w:p>
  </w:endnote>
  <w:endnote w:type="continuationSeparator" w:id="0">
    <w:p w:rsidR="006C5FCF" w:rsidRDefault="006C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CB" w:rsidRDefault="00381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1BCB" w:rsidRDefault="00381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CB" w:rsidRPr="0044501B" w:rsidRDefault="00381BCB" w:rsidP="00CB3D97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hAnsi="Cambria"/>
        <w:sz w:val="14"/>
      </w:rPr>
    </w:pPr>
    <w:r>
      <w:rPr>
        <w:rFonts w:ascii="Cambria" w:hAnsi="Cambria"/>
        <w:b/>
        <w:sz w:val="14"/>
      </w:rPr>
      <w:t>Liberal Democrat Group Ame</w:t>
    </w:r>
    <w:r w:rsidRPr="0044501B">
      <w:rPr>
        <w:rFonts w:ascii="Cambria" w:hAnsi="Cambria"/>
        <w:b/>
        <w:sz w:val="14"/>
      </w:rPr>
      <w:t xml:space="preserve">ndment - Portsmouth City Council Revenue Budget </w:t>
    </w:r>
    <w:r>
      <w:rPr>
        <w:rFonts w:ascii="Cambria" w:hAnsi="Cambria"/>
        <w:b/>
        <w:sz w:val="14"/>
      </w:rPr>
      <w:t xml:space="preserve">2018/19 </w:t>
    </w:r>
    <w:r w:rsidRPr="0044501B">
      <w:rPr>
        <w:rFonts w:ascii="Cambria" w:hAnsi="Cambria"/>
        <w:b/>
        <w:sz w:val="14"/>
      </w:rPr>
      <w:t>- Savings Proposals (</w:t>
    </w:r>
    <w:r>
      <w:rPr>
        <w:rFonts w:ascii="Cambria" w:hAnsi="Cambria"/>
        <w:b/>
        <w:sz w:val="14"/>
      </w:rPr>
      <w:t>December</w:t>
    </w:r>
    <w:r w:rsidRPr="0044501B">
      <w:rPr>
        <w:rFonts w:ascii="Cambria" w:hAnsi="Cambria"/>
        <w:b/>
        <w:sz w:val="14"/>
      </w:rPr>
      <w:t xml:space="preserve"> 201</w:t>
    </w:r>
    <w:r>
      <w:rPr>
        <w:rFonts w:ascii="Cambria" w:hAnsi="Cambria"/>
        <w:b/>
        <w:sz w:val="14"/>
      </w:rPr>
      <w:t>7</w:t>
    </w:r>
    <w:r w:rsidRPr="0044501B">
      <w:rPr>
        <w:rFonts w:ascii="Cambria" w:hAnsi="Cambria"/>
        <w:b/>
        <w:sz w:val="14"/>
      </w:rPr>
      <w:t>)</w:t>
    </w:r>
    <w:r w:rsidRPr="0044501B">
      <w:rPr>
        <w:rFonts w:ascii="Cambria" w:hAnsi="Cambria"/>
        <w:b/>
        <w:sz w:val="14"/>
      </w:rPr>
      <w:tab/>
      <w:t xml:space="preserve">Page </w:t>
    </w:r>
    <w:r w:rsidRPr="0044501B">
      <w:rPr>
        <w:rFonts w:ascii="Calibri" w:hAnsi="Calibri"/>
        <w:b/>
        <w:sz w:val="14"/>
      </w:rPr>
      <w:fldChar w:fldCharType="begin"/>
    </w:r>
    <w:r w:rsidRPr="0044501B">
      <w:rPr>
        <w:b/>
        <w:sz w:val="14"/>
      </w:rPr>
      <w:instrText xml:space="preserve"> PAGE   \* MERGEFORMAT </w:instrText>
    </w:r>
    <w:r w:rsidRPr="0044501B">
      <w:rPr>
        <w:rFonts w:ascii="Calibri" w:hAnsi="Calibri"/>
        <w:b/>
        <w:sz w:val="14"/>
      </w:rPr>
      <w:fldChar w:fldCharType="separate"/>
    </w:r>
    <w:r w:rsidR="006B4FF0" w:rsidRPr="006B4FF0">
      <w:rPr>
        <w:rFonts w:ascii="Cambria" w:hAnsi="Cambria"/>
        <w:b/>
        <w:noProof/>
        <w:sz w:val="14"/>
      </w:rPr>
      <w:t>1</w:t>
    </w:r>
    <w:r w:rsidRPr="0044501B">
      <w:rPr>
        <w:rFonts w:ascii="Cambria" w:hAnsi="Cambria"/>
        <w:b/>
        <w:noProof/>
        <w:sz w:val="14"/>
      </w:rPr>
      <w:fldChar w:fldCharType="end"/>
    </w:r>
  </w:p>
  <w:p w:rsidR="00381BCB" w:rsidRDefault="00381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CF" w:rsidRDefault="006C5FCF">
      <w:r>
        <w:separator/>
      </w:r>
    </w:p>
  </w:footnote>
  <w:footnote w:type="continuationSeparator" w:id="0">
    <w:p w:rsidR="006C5FCF" w:rsidRDefault="006C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CB" w:rsidRPr="002A278D" w:rsidRDefault="00381BCB" w:rsidP="002A278D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C50"/>
    <w:multiLevelType w:val="hybridMultilevel"/>
    <w:tmpl w:val="806AE004"/>
    <w:lvl w:ilvl="0" w:tplc="E0AEEF06">
      <w:start w:val="3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9045E63"/>
    <w:multiLevelType w:val="hybridMultilevel"/>
    <w:tmpl w:val="8FAC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2EBE"/>
    <w:multiLevelType w:val="hybridMultilevel"/>
    <w:tmpl w:val="BA20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85478"/>
    <w:multiLevelType w:val="hybridMultilevel"/>
    <w:tmpl w:val="195EAA9A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10AFE"/>
    <w:multiLevelType w:val="hybridMultilevel"/>
    <w:tmpl w:val="5ECAFB9E"/>
    <w:lvl w:ilvl="0" w:tplc="C6D0D26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FC8148">
      <w:start w:val="1"/>
      <w:numFmt w:val="lowerRoman"/>
      <w:lvlText w:val="%4)"/>
      <w:lvlJc w:val="left"/>
      <w:pPr>
        <w:ind w:left="3600" w:hanging="720"/>
      </w:pPr>
      <w:rPr>
        <w:rFonts w:hint="default"/>
      </w:rPr>
    </w:lvl>
    <w:lvl w:ilvl="4" w:tplc="9CE8E50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03296E"/>
    <w:multiLevelType w:val="hybridMultilevel"/>
    <w:tmpl w:val="5B5ADE82"/>
    <w:lvl w:ilvl="0" w:tplc="E0AEEF06">
      <w:start w:val="3"/>
      <w:numFmt w:val="bullet"/>
      <w:lvlText w:val="-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3"/>
    <w:rsid w:val="00006A52"/>
    <w:rsid w:val="0001755F"/>
    <w:rsid w:val="00026291"/>
    <w:rsid w:val="000275F2"/>
    <w:rsid w:val="000279B1"/>
    <w:rsid w:val="00032920"/>
    <w:rsid w:val="00032A9B"/>
    <w:rsid w:val="00033254"/>
    <w:rsid w:val="000343BB"/>
    <w:rsid w:val="000349A1"/>
    <w:rsid w:val="00037201"/>
    <w:rsid w:val="0004388E"/>
    <w:rsid w:val="00053D94"/>
    <w:rsid w:val="000638C7"/>
    <w:rsid w:val="00071B98"/>
    <w:rsid w:val="0007329E"/>
    <w:rsid w:val="0007334C"/>
    <w:rsid w:val="000756C1"/>
    <w:rsid w:val="00080A31"/>
    <w:rsid w:val="0009189B"/>
    <w:rsid w:val="00094ED5"/>
    <w:rsid w:val="0009742D"/>
    <w:rsid w:val="000975DE"/>
    <w:rsid w:val="000A6B6C"/>
    <w:rsid w:val="000B1FA5"/>
    <w:rsid w:val="000B39A7"/>
    <w:rsid w:val="000C4E33"/>
    <w:rsid w:val="000E2FFE"/>
    <w:rsid w:val="000F1686"/>
    <w:rsid w:val="001001A9"/>
    <w:rsid w:val="00100417"/>
    <w:rsid w:val="00101AEB"/>
    <w:rsid w:val="00105426"/>
    <w:rsid w:val="00111196"/>
    <w:rsid w:val="0011236C"/>
    <w:rsid w:val="00114C0E"/>
    <w:rsid w:val="00114D3B"/>
    <w:rsid w:val="001162A9"/>
    <w:rsid w:val="00127434"/>
    <w:rsid w:val="00127E6E"/>
    <w:rsid w:val="00134CB4"/>
    <w:rsid w:val="00137576"/>
    <w:rsid w:val="00141798"/>
    <w:rsid w:val="00147815"/>
    <w:rsid w:val="001503BD"/>
    <w:rsid w:val="001520CD"/>
    <w:rsid w:val="00152258"/>
    <w:rsid w:val="001543E2"/>
    <w:rsid w:val="00155CCD"/>
    <w:rsid w:val="001634B7"/>
    <w:rsid w:val="001811FA"/>
    <w:rsid w:val="00191F5E"/>
    <w:rsid w:val="00196F18"/>
    <w:rsid w:val="001A05F4"/>
    <w:rsid w:val="001A0DE7"/>
    <w:rsid w:val="001A614E"/>
    <w:rsid w:val="001D2CBC"/>
    <w:rsid w:val="001D55EE"/>
    <w:rsid w:val="001E3922"/>
    <w:rsid w:val="001E4848"/>
    <w:rsid w:val="001F1892"/>
    <w:rsid w:val="001F597F"/>
    <w:rsid w:val="00212689"/>
    <w:rsid w:val="00221DCE"/>
    <w:rsid w:val="00222BF9"/>
    <w:rsid w:val="00240C1C"/>
    <w:rsid w:val="00254721"/>
    <w:rsid w:val="002547A9"/>
    <w:rsid w:val="002624D8"/>
    <w:rsid w:val="00262CE8"/>
    <w:rsid w:val="00281C9E"/>
    <w:rsid w:val="00283EB9"/>
    <w:rsid w:val="00287250"/>
    <w:rsid w:val="002900E1"/>
    <w:rsid w:val="00290DB4"/>
    <w:rsid w:val="00292AEE"/>
    <w:rsid w:val="00294CFA"/>
    <w:rsid w:val="002A278D"/>
    <w:rsid w:val="002B1776"/>
    <w:rsid w:val="002C535A"/>
    <w:rsid w:val="002D0123"/>
    <w:rsid w:val="002E1C0E"/>
    <w:rsid w:val="002F062E"/>
    <w:rsid w:val="002F7458"/>
    <w:rsid w:val="003110D5"/>
    <w:rsid w:val="003114B5"/>
    <w:rsid w:val="003123D7"/>
    <w:rsid w:val="00323B4C"/>
    <w:rsid w:val="0032559C"/>
    <w:rsid w:val="003432BD"/>
    <w:rsid w:val="00343C30"/>
    <w:rsid w:val="0034502F"/>
    <w:rsid w:val="00354155"/>
    <w:rsid w:val="0035460F"/>
    <w:rsid w:val="00360CE0"/>
    <w:rsid w:val="00366346"/>
    <w:rsid w:val="00366642"/>
    <w:rsid w:val="003666CC"/>
    <w:rsid w:val="003749F4"/>
    <w:rsid w:val="00377EA7"/>
    <w:rsid w:val="0038146B"/>
    <w:rsid w:val="00381BCB"/>
    <w:rsid w:val="00396CB7"/>
    <w:rsid w:val="003A0DF2"/>
    <w:rsid w:val="003A7EA1"/>
    <w:rsid w:val="003B09FC"/>
    <w:rsid w:val="003B2602"/>
    <w:rsid w:val="003C077A"/>
    <w:rsid w:val="003C26AA"/>
    <w:rsid w:val="003D080F"/>
    <w:rsid w:val="003D151D"/>
    <w:rsid w:val="003D18FA"/>
    <w:rsid w:val="003E11AE"/>
    <w:rsid w:val="003E1415"/>
    <w:rsid w:val="003F7F2B"/>
    <w:rsid w:val="004046F8"/>
    <w:rsid w:val="004051DB"/>
    <w:rsid w:val="004161F7"/>
    <w:rsid w:val="00416AC5"/>
    <w:rsid w:val="004173D8"/>
    <w:rsid w:val="00422755"/>
    <w:rsid w:val="00424790"/>
    <w:rsid w:val="004316B1"/>
    <w:rsid w:val="0044501B"/>
    <w:rsid w:val="004478E7"/>
    <w:rsid w:val="00462C62"/>
    <w:rsid w:val="0046332B"/>
    <w:rsid w:val="00465C09"/>
    <w:rsid w:val="00466400"/>
    <w:rsid w:val="00471940"/>
    <w:rsid w:val="00473B69"/>
    <w:rsid w:val="004769B2"/>
    <w:rsid w:val="00477697"/>
    <w:rsid w:val="004877AD"/>
    <w:rsid w:val="00491DA7"/>
    <w:rsid w:val="004B0475"/>
    <w:rsid w:val="004B179C"/>
    <w:rsid w:val="004B233C"/>
    <w:rsid w:val="004B23D2"/>
    <w:rsid w:val="004B4DBF"/>
    <w:rsid w:val="004C414B"/>
    <w:rsid w:val="004D4A7F"/>
    <w:rsid w:val="004E4F49"/>
    <w:rsid w:val="004F2362"/>
    <w:rsid w:val="005028A7"/>
    <w:rsid w:val="005049E8"/>
    <w:rsid w:val="00504B0E"/>
    <w:rsid w:val="00515162"/>
    <w:rsid w:val="00533119"/>
    <w:rsid w:val="00533FE1"/>
    <w:rsid w:val="0054140D"/>
    <w:rsid w:val="00542D81"/>
    <w:rsid w:val="00550FCA"/>
    <w:rsid w:val="00554D2C"/>
    <w:rsid w:val="00557D1D"/>
    <w:rsid w:val="00562E64"/>
    <w:rsid w:val="00563FC7"/>
    <w:rsid w:val="00576401"/>
    <w:rsid w:val="00591B37"/>
    <w:rsid w:val="00591B53"/>
    <w:rsid w:val="00592B7F"/>
    <w:rsid w:val="005948AA"/>
    <w:rsid w:val="00594901"/>
    <w:rsid w:val="005A5728"/>
    <w:rsid w:val="005B35DE"/>
    <w:rsid w:val="005B3B2B"/>
    <w:rsid w:val="005B6561"/>
    <w:rsid w:val="005C12B5"/>
    <w:rsid w:val="005D108C"/>
    <w:rsid w:val="005E7395"/>
    <w:rsid w:val="005F5028"/>
    <w:rsid w:val="005F6B91"/>
    <w:rsid w:val="005F71E4"/>
    <w:rsid w:val="00605570"/>
    <w:rsid w:val="00614111"/>
    <w:rsid w:val="006210B5"/>
    <w:rsid w:val="00626A3A"/>
    <w:rsid w:val="00627943"/>
    <w:rsid w:val="00635974"/>
    <w:rsid w:val="00637AE9"/>
    <w:rsid w:val="006425E3"/>
    <w:rsid w:val="00652792"/>
    <w:rsid w:val="00654BA8"/>
    <w:rsid w:val="0065544E"/>
    <w:rsid w:val="00660C39"/>
    <w:rsid w:val="0066314B"/>
    <w:rsid w:val="006662C7"/>
    <w:rsid w:val="00667A8C"/>
    <w:rsid w:val="00671495"/>
    <w:rsid w:val="00673216"/>
    <w:rsid w:val="00676EAC"/>
    <w:rsid w:val="00682B9C"/>
    <w:rsid w:val="0068487E"/>
    <w:rsid w:val="0068586A"/>
    <w:rsid w:val="0068716B"/>
    <w:rsid w:val="00691ABA"/>
    <w:rsid w:val="006A2D6E"/>
    <w:rsid w:val="006A39BB"/>
    <w:rsid w:val="006B43E8"/>
    <w:rsid w:val="006B4FF0"/>
    <w:rsid w:val="006B7C09"/>
    <w:rsid w:val="006C01D8"/>
    <w:rsid w:val="006C5F40"/>
    <w:rsid w:val="006C5FCF"/>
    <w:rsid w:val="006C69BC"/>
    <w:rsid w:val="006D6951"/>
    <w:rsid w:val="006D73AF"/>
    <w:rsid w:val="006F65FD"/>
    <w:rsid w:val="006F7DB6"/>
    <w:rsid w:val="0070195B"/>
    <w:rsid w:val="007025DE"/>
    <w:rsid w:val="00702994"/>
    <w:rsid w:val="00702C93"/>
    <w:rsid w:val="00703C32"/>
    <w:rsid w:val="007153C2"/>
    <w:rsid w:val="00715864"/>
    <w:rsid w:val="00715FFF"/>
    <w:rsid w:val="007205BD"/>
    <w:rsid w:val="007244CC"/>
    <w:rsid w:val="00725989"/>
    <w:rsid w:val="00725BC4"/>
    <w:rsid w:val="0072792D"/>
    <w:rsid w:val="00733D68"/>
    <w:rsid w:val="007450C2"/>
    <w:rsid w:val="007533AD"/>
    <w:rsid w:val="00756704"/>
    <w:rsid w:val="00757007"/>
    <w:rsid w:val="00763938"/>
    <w:rsid w:val="00763C49"/>
    <w:rsid w:val="00765D27"/>
    <w:rsid w:val="0078469A"/>
    <w:rsid w:val="00786D81"/>
    <w:rsid w:val="0079785A"/>
    <w:rsid w:val="007A0658"/>
    <w:rsid w:val="007A107D"/>
    <w:rsid w:val="007A3DEC"/>
    <w:rsid w:val="007A5BBD"/>
    <w:rsid w:val="007B78DE"/>
    <w:rsid w:val="007C40AF"/>
    <w:rsid w:val="007C41FE"/>
    <w:rsid w:val="007C4EB7"/>
    <w:rsid w:val="007D2F18"/>
    <w:rsid w:val="007D4B7B"/>
    <w:rsid w:val="007E2403"/>
    <w:rsid w:val="007F2A9C"/>
    <w:rsid w:val="008004B8"/>
    <w:rsid w:val="008063BC"/>
    <w:rsid w:val="00813AE7"/>
    <w:rsid w:val="0082030B"/>
    <w:rsid w:val="008229B1"/>
    <w:rsid w:val="00823976"/>
    <w:rsid w:val="00826979"/>
    <w:rsid w:val="0082774D"/>
    <w:rsid w:val="00831B0F"/>
    <w:rsid w:val="00833794"/>
    <w:rsid w:val="00836224"/>
    <w:rsid w:val="00840755"/>
    <w:rsid w:val="00842214"/>
    <w:rsid w:val="0084275D"/>
    <w:rsid w:val="00850C45"/>
    <w:rsid w:val="008578B7"/>
    <w:rsid w:val="0086039A"/>
    <w:rsid w:val="00860998"/>
    <w:rsid w:val="00880C75"/>
    <w:rsid w:val="0088737F"/>
    <w:rsid w:val="00890A07"/>
    <w:rsid w:val="00891326"/>
    <w:rsid w:val="00891961"/>
    <w:rsid w:val="00896DD0"/>
    <w:rsid w:val="00897068"/>
    <w:rsid w:val="008A31F1"/>
    <w:rsid w:val="008A4F59"/>
    <w:rsid w:val="008B2B3F"/>
    <w:rsid w:val="008B4B4A"/>
    <w:rsid w:val="008B4EA2"/>
    <w:rsid w:val="008D098B"/>
    <w:rsid w:val="008D17BF"/>
    <w:rsid w:val="008D62DF"/>
    <w:rsid w:val="008D7DF1"/>
    <w:rsid w:val="008E53B7"/>
    <w:rsid w:val="008F279B"/>
    <w:rsid w:val="00903F72"/>
    <w:rsid w:val="009068BD"/>
    <w:rsid w:val="009174F2"/>
    <w:rsid w:val="00917D10"/>
    <w:rsid w:val="00930A54"/>
    <w:rsid w:val="00933D4C"/>
    <w:rsid w:val="00942399"/>
    <w:rsid w:val="0094408B"/>
    <w:rsid w:val="00956E42"/>
    <w:rsid w:val="00961FD1"/>
    <w:rsid w:val="00964B05"/>
    <w:rsid w:val="00965CFE"/>
    <w:rsid w:val="00971505"/>
    <w:rsid w:val="00975FA2"/>
    <w:rsid w:val="00977A3D"/>
    <w:rsid w:val="00984226"/>
    <w:rsid w:val="00990C12"/>
    <w:rsid w:val="00992FE6"/>
    <w:rsid w:val="0099466C"/>
    <w:rsid w:val="00994758"/>
    <w:rsid w:val="009969EA"/>
    <w:rsid w:val="009976CD"/>
    <w:rsid w:val="009A28ED"/>
    <w:rsid w:val="009B01FC"/>
    <w:rsid w:val="009B0EFD"/>
    <w:rsid w:val="009D5745"/>
    <w:rsid w:val="009E1FBC"/>
    <w:rsid w:val="009E500A"/>
    <w:rsid w:val="009F53D4"/>
    <w:rsid w:val="009F5BE8"/>
    <w:rsid w:val="00A00BAB"/>
    <w:rsid w:val="00A02BB1"/>
    <w:rsid w:val="00A109CE"/>
    <w:rsid w:val="00A1672F"/>
    <w:rsid w:val="00A173F0"/>
    <w:rsid w:val="00A17982"/>
    <w:rsid w:val="00A22BE5"/>
    <w:rsid w:val="00A2340B"/>
    <w:rsid w:val="00A25421"/>
    <w:rsid w:val="00A266E9"/>
    <w:rsid w:val="00A34C4D"/>
    <w:rsid w:val="00A41673"/>
    <w:rsid w:val="00A46098"/>
    <w:rsid w:val="00A700C0"/>
    <w:rsid w:val="00A73B81"/>
    <w:rsid w:val="00A74317"/>
    <w:rsid w:val="00A77D17"/>
    <w:rsid w:val="00A80A72"/>
    <w:rsid w:val="00A85009"/>
    <w:rsid w:val="00A861D0"/>
    <w:rsid w:val="00AC09AF"/>
    <w:rsid w:val="00AC4333"/>
    <w:rsid w:val="00AD166C"/>
    <w:rsid w:val="00AD17ED"/>
    <w:rsid w:val="00AD4875"/>
    <w:rsid w:val="00AD5C60"/>
    <w:rsid w:val="00AD74D6"/>
    <w:rsid w:val="00AE05CB"/>
    <w:rsid w:val="00AE4318"/>
    <w:rsid w:val="00B03360"/>
    <w:rsid w:val="00B0356F"/>
    <w:rsid w:val="00B04A6D"/>
    <w:rsid w:val="00B21BF5"/>
    <w:rsid w:val="00B22B83"/>
    <w:rsid w:val="00B23931"/>
    <w:rsid w:val="00B32E4F"/>
    <w:rsid w:val="00B345B2"/>
    <w:rsid w:val="00B35D4B"/>
    <w:rsid w:val="00B40167"/>
    <w:rsid w:val="00B43823"/>
    <w:rsid w:val="00B468AB"/>
    <w:rsid w:val="00B6338D"/>
    <w:rsid w:val="00B71FC8"/>
    <w:rsid w:val="00B74332"/>
    <w:rsid w:val="00B76EC4"/>
    <w:rsid w:val="00B82393"/>
    <w:rsid w:val="00B86F44"/>
    <w:rsid w:val="00B904B2"/>
    <w:rsid w:val="00BA64A8"/>
    <w:rsid w:val="00BB54A5"/>
    <w:rsid w:val="00BD2B5F"/>
    <w:rsid w:val="00BE32F7"/>
    <w:rsid w:val="00BF1711"/>
    <w:rsid w:val="00BF3CB1"/>
    <w:rsid w:val="00BF7CF2"/>
    <w:rsid w:val="00C3448D"/>
    <w:rsid w:val="00C3760C"/>
    <w:rsid w:val="00C44471"/>
    <w:rsid w:val="00C5645F"/>
    <w:rsid w:val="00C57B4B"/>
    <w:rsid w:val="00C66C90"/>
    <w:rsid w:val="00C70C0D"/>
    <w:rsid w:val="00C71B2D"/>
    <w:rsid w:val="00C74D05"/>
    <w:rsid w:val="00C820D3"/>
    <w:rsid w:val="00C94CD4"/>
    <w:rsid w:val="00CA463F"/>
    <w:rsid w:val="00CB0239"/>
    <w:rsid w:val="00CB16DB"/>
    <w:rsid w:val="00CB1E7D"/>
    <w:rsid w:val="00CB2C2C"/>
    <w:rsid w:val="00CB2FBF"/>
    <w:rsid w:val="00CB37B2"/>
    <w:rsid w:val="00CB3D97"/>
    <w:rsid w:val="00CC1BC6"/>
    <w:rsid w:val="00CC2B92"/>
    <w:rsid w:val="00CC7CCD"/>
    <w:rsid w:val="00CD274A"/>
    <w:rsid w:val="00CD5140"/>
    <w:rsid w:val="00CD6976"/>
    <w:rsid w:val="00CE74BD"/>
    <w:rsid w:val="00CF0DC1"/>
    <w:rsid w:val="00CF1F47"/>
    <w:rsid w:val="00CF6547"/>
    <w:rsid w:val="00D01505"/>
    <w:rsid w:val="00D079FD"/>
    <w:rsid w:val="00D1721A"/>
    <w:rsid w:val="00D21508"/>
    <w:rsid w:val="00D26E5A"/>
    <w:rsid w:val="00D36528"/>
    <w:rsid w:val="00D4124A"/>
    <w:rsid w:val="00D4227E"/>
    <w:rsid w:val="00D44669"/>
    <w:rsid w:val="00D47680"/>
    <w:rsid w:val="00D477DE"/>
    <w:rsid w:val="00D56161"/>
    <w:rsid w:val="00D562C7"/>
    <w:rsid w:val="00D604C0"/>
    <w:rsid w:val="00D63D26"/>
    <w:rsid w:val="00D640D9"/>
    <w:rsid w:val="00D67FA2"/>
    <w:rsid w:val="00D70428"/>
    <w:rsid w:val="00D70B69"/>
    <w:rsid w:val="00D84990"/>
    <w:rsid w:val="00D85457"/>
    <w:rsid w:val="00D92EF9"/>
    <w:rsid w:val="00D968BB"/>
    <w:rsid w:val="00DB38E1"/>
    <w:rsid w:val="00DB4173"/>
    <w:rsid w:val="00DB6556"/>
    <w:rsid w:val="00DB6B9B"/>
    <w:rsid w:val="00DC09AB"/>
    <w:rsid w:val="00DC3F46"/>
    <w:rsid w:val="00DD38D4"/>
    <w:rsid w:val="00DD537E"/>
    <w:rsid w:val="00DD679F"/>
    <w:rsid w:val="00DD6F2F"/>
    <w:rsid w:val="00DF0A38"/>
    <w:rsid w:val="00DF102F"/>
    <w:rsid w:val="00DF16A5"/>
    <w:rsid w:val="00DF29D4"/>
    <w:rsid w:val="00DF431C"/>
    <w:rsid w:val="00E02A73"/>
    <w:rsid w:val="00E02AB2"/>
    <w:rsid w:val="00E03CAC"/>
    <w:rsid w:val="00E03D10"/>
    <w:rsid w:val="00E104E0"/>
    <w:rsid w:val="00E13B84"/>
    <w:rsid w:val="00E1766B"/>
    <w:rsid w:val="00E17731"/>
    <w:rsid w:val="00E203C6"/>
    <w:rsid w:val="00E31BDD"/>
    <w:rsid w:val="00E329E2"/>
    <w:rsid w:val="00E35071"/>
    <w:rsid w:val="00E35374"/>
    <w:rsid w:val="00E35B92"/>
    <w:rsid w:val="00E47AD1"/>
    <w:rsid w:val="00E5177B"/>
    <w:rsid w:val="00E5366B"/>
    <w:rsid w:val="00E540BA"/>
    <w:rsid w:val="00E55F73"/>
    <w:rsid w:val="00E564F4"/>
    <w:rsid w:val="00E650DF"/>
    <w:rsid w:val="00E67AFB"/>
    <w:rsid w:val="00E7361C"/>
    <w:rsid w:val="00E73E8F"/>
    <w:rsid w:val="00E84F80"/>
    <w:rsid w:val="00E91237"/>
    <w:rsid w:val="00E93E01"/>
    <w:rsid w:val="00EA1815"/>
    <w:rsid w:val="00EA434E"/>
    <w:rsid w:val="00EA62AA"/>
    <w:rsid w:val="00EA6FD9"/>
    <w:rsid w:val="00EA7A66"/>
    <w:rsid w:val="00EB1BE5"/>
    <w:rsid w:val="00ED1613"/>
    <w:rsid w:val="00ED3547"/>
    <w:rsid w:val="00ED7EA5"/>
    <w:rsid w:val="00EE00E9"/>
    <w:rsid w:val="00EF2757"/>
    <w:rsid w:val="00EF2B39"/>
    <w:rsid w:val="00EF5BB0"/>
    <w:rsid w:val="00F01130"/>
    <w:rsid w:val="00F026CF"/>
    <w:rsid w:val="00F027ED"/>
    <w:rsid w:val="00F05604"/>
    <w:rsid w:val="00F07046"/>
    <w:rsid w:val="00F11FBD"/>
    <w:rsid w:val="00F13A86"/>
    <w:rsid w:val="00F1727F"/>
    <w:rsid w:val="00F214CE"/>
    <w:rsid w:val="00F22264"/>
    <w:rsid w:val="00F37AEE"/>
    <w:rsid w:val="00F40DE4"/>
    <w:rsid w:val="00F41BA8"/>
    <w:rsid w:val="00F42CB8"/>
    <w:rsid w:val="00F43890"/>
    <w:rsid w:val="00F53087"/>
    <w:rsid w:val="00F56B7A"/>
    <w:rsid w:val="00F701A1"/>
    <w:rsid w:val="00F70FE9"/>
    <w:rsid w:val="00F84DD8"/>
    <w:rsid w:val="00F9157B"/>
    <w:rsid w:val="00F94B88"/>
    <w:rsid w:val="00FA133C"/>
    <w:rsid w:val="00FA1CE6"/>
    <w:rsid w:val="00FA3D5C"/>
    <w:rsid w:val="00FA489F"/>
    <w:rsid w:val="00FA5DC1"/>
    <w:rsid w:val="00FA68D3"/>
    <w:rsid w:val="00FB509C"/>
    <w:rsid w:val="00FC4BFB"/>
    <w:rsid w:val="00FC6BAE"/>
    <w:rsid w:val="00FC70D1"/>
    <w:rsid w:val="00FC7FAF"/>
    <w:rsid w:val="00FD1AE6"/>
    <w:rsid w:val="00FD2514"/>
    <w:rsid w:val="00FE037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napToGrid w:val="0"/>
      <w:color w:val="000000"/>
      <w:sz w:val="24"/>
    </w:rPr>
  </w:style>
  <w:style w:type="paragraph" w:customStyle="1" w:styleId="TableText">
    <w:name w:val="Table Text"/>
    <w:pPr>
      <w:jc w:val="both"/>
    </w:pPr>
    <w:rPr>
      <w:snapToGrid w:val="0"/>
      <w:color w:val="000000"/>
      <w:sz w:val="24"/>
      <w:lang w:eastAsia="en-US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sz w:val="24"/>
    </w:rPr>
  </w:style>
  <w:style w:type="paragraph" w:customStyle="1" w:styleId="Outline3">
    <w:name w:val="Outline 3"/>
    <w:pPr>
      <w:spacing w:after="144"/>
      <w:jc w:val="both"/>
    </w:pPr>
    <w:rPr>
      <w:snapToGrid w:val="0"/>
      <w:color w:val="000000"/>
      <w:sz w:val="24"/>
      <w:lang w:eastAsia="en-US"/>
    </w:rPr>
  </w:style>
  <w:style w:type="paragraph" w:customStyle="1" w:styleId="BodySingle">
    <w:name w:val="Body Single"/>
    <w:pPr>
      <w:jc w:val="both"/>
    </w:pPr>
    <w:rPr>
      <w:snapToGrid w:val="0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A278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78D"/>
    <w:rPr>
      <w:rFonts w:ascii="Tahoma" w:hAnsi="Tahoma" w:cs="Tahoma"/>
      <w:sz w:val="16"/>
      <w:szCs w:val="16"/>
      <w:lang w:eastAsia="en-US"/>
    </w:rPr>
  </w:style>
  <w:style w:type="paragraph" w:customStyle="1" w:styleId="Outline4">
    <w:name w:val="Outline 4"/>
    <w:rsid w:val="00A46098"/>
    <w:pPr>
      <w:spacing w:after="72"/>
      <w:jc w:val="both"/>
    </w:pPr>
    <w:rPr>
      <w:snapToGrid w:val="0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098"/>
    <w:pPr>
      <w:ind w:left="720"/>
    </w:pPr>
    <w:rPr>
      <w:rFonts w:ascii="Arial" w:hAnsi="Arial"/>
      <w:sz w:val="24"/>
      <w:szCs w:val="24"/>
      <w:lang w:eastAsia="en-GB"/>
    </w:rPr>
  </w:style>
  <w:style w:type="paragraph" w:styleId="NoSpacing">
    <w:name w:val="No Spacing"/>
    <w:uiPriority w:val="1"/>
    <w:qFormat/>
    <w:rsid w:val="00FA489F"/>
    <w:rPr>
      <w:rFonts w:ascii="Calibri" w:eastAsia="Calibri" w:hAnsi="Calibri"/>
      <w:sz w:val="22"/>
      <w:szCs w:val="22"/>
      <w:lang w:eastAsia="en-US"/>
    </w:rPr>
  </w:style>
  <w:style w:type="paragraph" w:customStyle="1" w:styleId="ReportTopHeadingBS">
    <w:name w:val="Report Top Heading BS"/>
    <w:basedOn w:val="Normal"/>
    <w:rsid w:val="001E3922"/>
    <w:rPr>
      <w:rFonts w:ascii="Arial" w:hAnsi="Arial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CB3D97"/>
    <w:rPr>
      <w:lang w:eastAsia="en-US"/>
    </w:rPr>
  </w:style>
  <w:style w:type="character" w:customStyle="1" w:styleId="BodyTextChar">
    <w:name w:val="Body Text Char"/>
    <w:link w:val="BodyText"/>
    <w:semiHidden/>
    <w:rsid w:val="00CA463F"/>
    <w:rPr>
      <w:snapToGrid w:val="0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napToGrid w:val="0"/>
      <w:color w:val="000000"/>
      <w:sz w:val="24"/>
    </w:rPr>
  </w:style>
  <w:style w:type="paragraph" w:customStyle="1" w:styleId="TableText">
    <w:name w:val="Table Text"/>
    <w:pPr>
      <w:jc w:val="both"/>
    </w:pPr>
    <w:rPr>
      <w:snapToGrid w:val="0"/>
      <w:color w:val="000000"/>
      <w:sz w:val="24"/>
      <w:lang w:eastAsia="en-US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sz w:val="24"/>
    </w:rPr>
  </w:style>
  <w:style w:type="paragraph" w:customStyle="1" w:styleId="Outline3">
    <w:name w:val="Outline 3"/>
    <w:pPr>
      <w:spacing w:after="144"/>
      <w:jc w:val="both"/>
    </w:pPr>
    <w:rPr>
      <w:snapToGrid w:val="0"/>
      <w:color w:val="000000"/>
      <w:sz w:val="24"/>
      <w:lang w:eastAsia="en-US"/>
    </w:rPr>
  </w:style>
  <w:style w:type="paragraph" w:customStyle="1" w:styleId="BodySingle">
    <w:name w:val="Body Single"/>
    <w:pPr>
      <w:jc w:val="both"/>
    </w:pPr>
    <w:rPr>
      <w:snapToGrid w:val="0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A278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78D"/>
    <w:rPr>
      <w:rFonts w:ascii="Tahoma" w:hAnsi="Tahoma" w:cs="Tahoma"/>
      <w:sz w:val="16"/>
      <w:szCs w:val="16"/>
      <w:lang w:eastAsia="en-US"/>
    </w:rPr>
  </w:style>
  <w:style w:type="paragraph" w:customStyle="1" w:styleId="Outline4">
    <w:name w:val="Outline 4"/>
    <w:rsid w:val="00A46098"/>
    <w:pPr>
      <w:spacing w:after="72"/>
      <w:jc w:val="both"/>
    </w:pPr>
    <w:rPr>
      <w:snapToGrid w:val="0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098"/>
    <w:pPr>
      <w:ind w:left="720"/>
    </w:pPr>
    <w:rPr>
      <w:rFonts w:ascii="Arial" w:hAnsi="Arial"/>
      <w:sz w:val="24"/>
      <w:szCs w:val="24"/>
      <w:lang w:eastAsia="en-GB"/>
    </w:rPr>
  </w:style>
  <w:style w:type="paragraph" w:styleId="NoSpacing">
    <w:name w:val="No Spacing"/>
    <w:uiPriority w:val="1"/>
    <w:qFormat/>
    <w:rsid w:val="00FA489F"/>
    <w:rPr>
      <w:rFonts w:ascii="Calibri" w:eastAsia="Calibri" w:hAnsi="Calibri"/>
      <w:sz w:val="22"/>
      <w:szCs w:val="22"/>
      <w:lang w:eastAsia="en-US"/>
    </w:rPr>
  </w:style>
  <w:style w:type="paragraph" w:customStyle="1" w:styleId="ReportTopHeadingBS">
    <w:name w:val="Report Top Heading BS"/>
    <w:basedOn w:val="Normal"/>
    <w:rsid w:val="001E3922"/>
    <w:rPr>
      <w:rFonts w:ascii="Arial" w:hAnsi="Arial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CB3D97"/>
    <w:rPr>
      <w:lang w:eastAsia="en-US"/>
    </w:rPr>
  </w:style>
  <w:style w:type="character" w:customStyle="1" w:styleId="BodyTextChar">
    <w:name w:val="Body Text Char"/>
    <w:link w:val="BodyText"/>
    <w:semiHidden/>
    <w:rsid w:val="00CA463F"/>
    <w:rPr>
      <w:snapToGrid w:val="0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96D7-1D26-425D-A6E0-4F88FA8B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proposed by Labour and Liberal/Democrat Groups</vt:lpstr>
    </vt:vector>
  </TitlesOfParts>
  <Company>Portsmouth City Council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proposed by Labour and Liberal/Democrat Groups</dc:title>
  <dc:creator>PC3819</dc:creator>
  <cp:lastModifiedBy>Ward, Chris</cp:lastModifiedBy>
  <cp:revision>6</cp:revision>
  <cp:lastPrinted>2017-12-11T18:23:00Z</cp:lastPrinted>
  <dcterms:created xsi:type="dcterms:W3CDTF">2017-12-11T18:22:00Z</dcterms:created>
  <dcterms:modified xsi:type="dcterms:W3CDTF">2017-12-11T18:43:00Z</dcterms:modified>
</cp:coreProperties>
</file>