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86C9" w14:textId="77777777" w:rsidR="001B52B9" w:rsidRDefault="00A5303E">
      <w:pPr>
        <w:rPr>
          <w:b/>
        </w:rPr>
      </w:pPr>
      <w:r>
        <w:rPr>
          <w:b/>
        </w:rPr>
        <w:t>Summary of investigations: rehabilitation</w:t>
      </w:r>
    </w:p>
    <w:p w14:paraId="5C62B219" w14:textId="77777777" w:rsidR="001B52B9" w:rsidRDefault="00A5303E">
      <w:pPr>
        <w:rPr>
          <w:b/>
        </w:rPr>
      </w:pPr>
      <w:r>
        <w:rPr>
          <w:b/>
        </w:rPr>
        <w:t>Scope:</w:t>
      </w:r>
    </w:p>
    <w:p w14:paraId="51574432" w14:textId="6A1DD842" w:rsidR="001B52B9" w:rsidRDefault="00A5303E">
      <w:pPr>
        <w:pStyle w:val="ListParagraph"/>
        <w:numPr>
          <w:ilvl w:val="0"/>
          <w:numId w:val="2"/>
        </w:numPr>
        <w:ind w:left="426"/>
      </w:pPr>
      <w:r>
        <w:t xml:space="preserve">Lock the Gate </w:t>
      </w:r>
      <w:r w:rsidR="003D192C">
        <w:t>conducted an analysis</w:t>
      </w:r>
      <w:r>
        <w:t xml:space="preserve"> of recent Annual Reviews and environmental audits of the four mines nearest to Muswellbrook: Bengalla, Mount Pleasant, Muswellbrook mine and Mount Arthur, which is the largest mine operating in the Hunter Valley.</w:t>
      </w:r>
    </w:p>
    <w:p w14:paraId="1BE00736" w14:textId="771B9F24" w:rsidR="001B52B9" w:rsidRDefault="00A5303E">
      <w:pPr>
        <w:pStyle w:val="ListParagraph"/>
        <w:numPr>
          <w:ilvl w:val="0"/>
          <w:numId w:val="2"/>
        </w:numPr>
        <w:ind w:left="426"/>
      </w:pPr>
      <w:r>
        <w:t xml:space="preserve">In addition, we </w:t>
      </w:r>
      <w:r w:rsidR="003D192C">
        <w:t>analysed</w:t>
      </w:r>
      <w:r>
        <w:t xml:space="preserve"> the most recent Annual Reviews of the second and third largest mines in the Valley, Hunter Valley Operations and Mount Thorley Warkworth, to ascertain whether patterns revealed by the Muswellbrook mines were evident at those operations</w:t>
      </w:r>
    </w:p>
    <w:p w14:paraId="7C815C4F" w14:textId="77777777" w:rsidR="001B52B9" w:rsidRDefault="00A5303E">
      <w:pPr>
        <w:pStyle w:val="ListParagraph"/>
        <w:numPr>
          <w:ilvl w:val="0"/>
          <w:numId w:val="2"/>
        </w:numPr>
        <w:ind w:left="426"/>
      </w:pPr>
      <w:r>
        <w:t>We also reviewed progress of rehabilitation at the Drayton mine site, which closed in 2016.</w:t>
      </w:r>
    </w:p>
    <w:p w14:paraId="09BF3DA9" w14:textId="77777777" w:rsidR="001B52B9" w:rsidRDefault="001B52B9">
      <w:pPr>
        <w:pStyle w:val="ListParagraph"/>
        <w:rPr>
          <w:b/>
          <w:bCs/>
        </w:rPr>
      </w:pPr>
    </w:p>
    <w:p w14:paraId="08AD32B9" w14:textId="77777777" w:rsidR="001B52B9" w:rsidRDefault="00A5303E">
      <w:pPr>
        <w:pStyle w:val="ListParagraph"/>
        <w:rPr>
          <w:b/>
          <w:bCs/>
        </w:rPr>
      </w:pPr>
      <w:r>
        <w:rPr>
          <w:b/>
          <w:bCs/>
        </w:rPr>
        <w:t xml:space="preserve">Summary </w:t>
      </w:r>
    </w:p>
    <w:p w14:paraId="777F8AC4" w14:textId="77777777" w:rsidR="001B52B9" w:rsidRDefault="001B52B9">
      <w:pPr>
        <w:pStyle w:val="ListParagraph"/>
      </w:pPr>
    </w:p>
    <w:p w14:paraId="72FB7DCE" w14:textId="77777777" w:rsidR="001B52B9" w:rsidRDefault="00A5303E" w:rsidP="003D192C">
      <w:pPr>
        <w:pStyle w:val="ListParagraph"/>
        <w:ind w:left="0"/>
      </w:pPr>
      <w:r>
        <w:t>Across the total area of mining reviewed the area of active disturbance is 2.3 times the area of land under active rehabilitation.</w:t>
      </w:r>
    </w:p>
    <w:p w14:paraId="35164ABD" w14:textId="77777777" w:rsidR="001B52B9" w:rsidRDefault="001B52B9">
      <w:pPr>
        <w:pStyle w:val="ListParagraph"/>
      </w:pPr>
    </w:p>
    <w:p w14:paraId="333DF4BA" w14:textId="77777777" w:rsidR="001B52B9" w:rsidRDefault="00A5303E">
      <w:pPr>
        <w:pStyle w:val="ListParagraph"/>
      </w:pPr>
      <w:r>
        <w:t xml:space="preserve">Total mine footprint: 19,919.2 hectares </w:t>
      </w:r>
    </w:p>
    <w:p w14:paraId="6AE242A8" w14:textId="77777777" w:rsidR="001B52B9" w:rsidRDefault="00A5303E">
      <w:pPr>
        <w:pStyle w:val="ListParagraph"/>
      </w:pPr>
      <w:r>
        <w:t xml:space="preserve">Total disturbed area: 12,613.8 hectares </w:t>
      </w:r>
    </w:p>
    <w:p w14:paraId="052424FD" w14:textId="77777777" w:rsidR="001B52B9" w:rsidRDefault="00A5303E">
      <w:pPr>
        <w:pStyle w:val="ListParagraph"/>
      </w:pPr>
      <w:r>
        <w:t xml:space="preserve">Total active rehabilitation: 5,477.9 hectares </w:t>
      </w:r>
    </w:p>
    <w:p w14:paraId="56ABBE6C" w14:textId="77777777" w:rsidR="001B52B9" w:rsidRDefault="001B52B9">
      <w:pPr>
        <w:pStyle w:val="ListParagraph"/>
        <w:ind w:left="66"/>
      </w:pPr>
    </w:p>
    <w:p w14:paraId="15B51E23" w14:textId="77777777" w:rsidR="001B52B9" w:rsidRDefault="00A5303E">
      <w:pPr>
        <w:pStyle w:val="ListParagraph"/>
        <w:ind w:left="66"/>
      </w:pPr>
      <w:r>
        <w:t xml:space="preserve">Active rehabilitation as a percentage of total footprint across the mines reviewed is 27.5% with considerable variation among them: </w:t>
      </w:r>
    </w:p>
    <w:p w14:paraId="6051E394" w14:textId="77777777" w:rsidR="001B52B9" w:rsidRDefault="001B52B9">
      <w:pPr>
        <w:pStyle w:val="ListParagraph"/>
        <w:ind w:left="66"/>
        <w:rPr>
          <w:b/>
          <w:bCs/>
        </w:rPr>
      </w:pPr>
    </w:p>
    <w:p w14:paraId="40948DD1" w14:textId="77777777" w:rsidR="001B52B9" w:rsidRDefault="00A5303E">
      <w:pPr>
        <w:pStyle w:val="ListParagraph"/>
        <w:numPr>
          <w:ilvl w:val="0"/>
          <w:numId w:val="3"/>
        </w:numPr>
      </w:pPr>
      <w:r>
        <w:t>Mount Arthur 22.1%</w:t>
      </w:r>
    </w:p>
    <w:p w14:paraId="1E1157BB" w14:textId="77777777" w:rsidR="001B52B9" w:rsidRDefault="00A5303E">
      <w:pPr>
        <w:pStyle w:val="ListParagraph"/>
        <w:numPr>
          <w:ilvl w:val="0"/>
          <w:numId w:val="3"/>
        </w:numPr>
      </w:pPr>
      <w:r>
        <w:t>Mount Pleasant 5.5%</w:t>
      </w:r>
    </w:p>
    <w:p w14:paraId="1A5F5B61" w14:textId="77777777" w:rsidR="001B52B9" w:rsidRDefault="00A5303E">
      <w:pPr>
        <w:pStyle w:val="ListParagraph"/>
        <w:numPr>
          <w:ilvl w:val="0"/>
          <w:numId w:val="3"/>
        </w:numPr>
      </w:pPr>
      <w:r>
        <w:t>Bengalla 20.5%</w:t>
      </w:r>
    </w:p>
    <w:p w14:paraId="574165CA" w14:textId="77777777" w:rsidR="001B52B9" w:rsidRDefault="00A5303E">
      <w:pPr>
        <w:pStyle w:val="ListParagraph"/>
        <w:numPr>
          <w:ilvl w:val="0"/>
          <w:numId w:val="3"/>
        </w:numPr>
      </w:pPr>
      <w:r>
        <w:t>Muswellbrook 19.8%</w:t>
      </w:r>
    </w:p>
    <w:p w14:paraId="02EAD027" w14:textId="77777777" w:rsidR="001B52B9" w:rsidRDefault="00A5303E">
      <w:pPr>
        <w:pStyle w:val="ListParagraph"/>
        <w:numPr>
          <w:ilvl w:val="0"/>
          <w:numId w:val="3"/>
        </w:numPr>
      </w:pPr>
      <w:r>
        <w:t>Mount Thorley-Warkworth 29.4%</w:t>
      </w:r>
    </w:p>
    <w:p w14:paraId="05400C83" w14:textId="77777777" w:rsidR="001B52B9" w:rsidRDefault="00A5303E">
      <w:pPr>
        <w:pStyle w:val="ListParagraph"/>
        <w:numPr>
          <w:ilvl w:val="0"/>
          <w:numId w:val="3"/>
        </w:numPr>
      </w:pPr>
      <w:r>
        <w:t>Hunter Valley Operations 37.4%</w:t>
      </w:r>
    </w:p>
    <w:p w14:paraId="052CB4BE" w14:textId="77777777" w:rsidR="001B52B9" w:rsidRDefault="001B52B9">
      <w:pPr>
        <w:pStyle w:val="ListParagraph"/>
      </w:pPr>
    </w:p>
    <w:p w14:paraId="1F1E9B82" w14:textId="15B0D073" w:rsidR="001B52B9" w:rsidRDefault="00A5303E">
      <w:pPr>
        <w:pStyle w:val="ListParagraph"/>
        <w:ind w:left="0"/>
      </w:pPr>
      <w:r>
        <w:t>The Resources Regulator found problems and issued notices requiring action after inspections at five of the six mines over the last two years, including:</w:t>
      </w:r>
    </w:p>
    <w:p w14:paraId="3B398147" w14:textId="77777777" w:rsidR="003D192C" w:rsidRDefault="003D192C">
      <w:pPr>
        <w:pStyle w:val="ListParagraph"/>
        <w:ind w:left="0"/>
      </w:pPr>
    </w:p>
    <w:p w14:paraId="7440812D" w14:textId="77777777" w:rsidR="001B52B9" w:rsidRDefault="00A5303E" w:rsidP="003D192C">
      <w:pPr>
        <w:pStyle w:val="ListParagraph"/>
        <w:numPr>
          <w:ilvl w:val="0"/>
          <w:numId w:val="4"/>
        </w:numPr>
      </w:pPr>
      <w:r>
        <w:t>Bengalla – three separate notices issued under s240 of the Mining Act 1992 in relation to management and rehabilitation of land after a 2019 inspection.</w:t>
      </w:r>
    </w:p>
    <w:p w14:paraId="69A88212" w14:textId="77777777" w:rsidR="001B52B9" w:rsidRDefault="00A5303E" w:rsidP="003D192C">
      <w:pPr>
        <w:pStyle w:val="ListParagraph"/>
        <w:numPr>
          <w:ilvl w:val="0"/>
          <w:numId w:val="4"/>
        </w:numPr>
      </w:pPr>
      <w:r>
        <w:t>Mt Pleasant –  found mine rehabilitation assessment processes were flawed and mining operations plan had not been complied with.</w:t>
      </w:r>
    </w:p>
    <w:p w14:paraId="0092EDF2" w14:textId="77777777" w:rsidR="001B52B9" w:rsidRDefault="00A5303E" w:rsidP="003D192C">
      <w:pPr>
        <w:pStyle w:val="ListParagraph"/>
        <w:numPr>
          <w:ilvl w:val="0"/>
          <w:numId w:val="4"/>
        </w:numPr>
      </w:pPr>
      <w:r>
        <w:t xml:space="preserve">Drayton – given an official caution in April 2020 under the </w:t>
      </w:r>
      <w:r w:rsidRPr="003D192C">
        <w:rPr>
          <w:i/>
          <w:iCs/>
        </w:rPr>
        <w:t xml:space="preserve">Mining Act 1992 </w:t>
      </w:r>
      <w:r>
        <w:t>for failing to comply with its progressive rehabilitation schedule for 2017 and 2018, and another in October 2020 for failing to comply with rehabilitation schedule for 2019.</w:t>
      </w:r>
    </w:p>
    <w:p w14:paraId="1FBF04A1" w14:textId="77777777" w:rsidR="001B52B9" w:rsidRDefault="00A5303E" w:rsidP="003D192C">
      <w:pPr>
        <w:pStyle w:val="ListParagraph"/>
        <w:numPr>
          <w:ilvl w:val="0"/>
          <w:numId w:val="4"/>
        </w:numPr>
      </w:pPr>
      <w:r>
        <w:t>Hunter Valley Operations – issued a direction after unsatisfactory establishment of vegetation species and weed presence across rehabilitation areas.</w:t>
      </w:r>
    </w:p>
    <w:p w14:paraId="7E21524D" w14:textId="77777777" w:rsidR="001B52B9" w:rsidRDefault="00A5303E" w:rsidP="003D192C">
      <w:pPr>
        <w:pStyle w:val="ListParagraph"/>
        <w:numPr>
          <w:ilvl w:val="0"/>
          <w:numId w:val="4"/>
        </w:numPr>
      </w:pPr>
      <w:r>
        <w:t>Mount Thorley-Warkworth – found ongoing delays in progression of rehabilitation areas and issued two s240 notices to undertake corrective actions.</w:t>
      </w:r>
    </w:p>
    <w:p w14:paraId="5F5F5A0E" w14:textId="77777777" w:rsidR="001B52B9" w:rsidRDefault="001B52B9"/>
    <w:p w14:paraId="1851D04D" w14:textId="77777777" w:rsidR="003D192C" w:rsidRDefault="003D192C">
      <w:pPr>
        <w:spacing w:after="0" w:line="240" w:lineRule="auto"/>
        <w:rPr>
          <w:b/>
        </w:rPr>
      </w:pPr>
      <w:r>
        <w:rPr>
          <w:b/>
        </w:rPr>
        <w:br w:type="page"/>
      </w:r>
    </w:p>
    <w:p w14:paraId="680EB9E7" w14:textId="6F011A10" w:rsidR="001B52B9" w:rsidRDefault="00A5303E">
      <w:pPr>
        <w:rPr>
          <w:b/>
        </w:rPr>
      </w:pPr>
      <w:r>
        <w:rPr>
          <w:b/>
        </w:rPr>
        <w:lastRenderedPageBreak/>
        <w:t>Findings</w:t>
      </w:r>
    </w:p>
    <w:p w14:paraId="17FEC590" w14:textId="77777777" w:rsidR="001B52B9" w:rsidRDefault="00A5303E">
      <w:pPr>
        <w:rPr>
          <w:lang w:val="en-US"/>
        </w:rPr>
      </w:pPr>
      <w:r>
        <w:rPr>
          <w:lang w:val="en-US"/>
        </w:rPr>
        <w:t xml:space="preserve">It is a condition of consent for coal mines in the Hunter Valley that they undertake “progressive rehabilitation,” that is, that rehabilitation take place “as soon as practicable following disturbance.” </w:t>
      </w:r>
    </w:p>
    <w:p w14:paraId="23EDD558" w14:textId="77777777" w:rsidR="001B52B9" w:rsidRDefault="00A5303E">
      <w:pPr>
        <w:rPr>
          <w:lang w:val="en-US"/>
        </w:rPr>
      </w:pPr>
      <w:r>
        <w:rPr>
          <w:lang w:val="en-US"/>
        </w:rPr>
        <w:t xml:space="preserve">It is difficult to argue that the four mines nearest to Muswellbrook are complying with this requirement, and there is evidence that Warkworth and Hunter Valley Operations are also struggling to keep up with their rehabilitation. None of the mines have any “completed” rehabilitation, even the longest-running and those that are quite close to their expected closure dates, like Muswellbrook and Mount Arthur. </w:t>
      </w:r>
      <w:r>
        <w:t xml:space="preserve">The most recent Independent Environmental Audits for the four Muswellbrook mines describe rehabilitation efforts compromised by inadequate </w:t>
      </w:r>
      <w:r>
        <w:rPr>
          <w:lang w:val="en-US"/>
        </w:rPr>
        <w:t xml:space="preserve">human resources and systems. Poor results from drone seeding, erosion and weed infestation were cited as evidence of a lack of personnel dedicated to rehabilitation management. Effective rehabilitation requires careful management and preservation of topsoils, and several mines have been directed by the Resources Regulator to improve topsoil management systems. </w:t>
      </w:r>
    </w:p>
    <w:p w14:paraId="761E5500" w14:textId="77777777" w:rsidR="001B52B9" w:rsidRDefault="00A5303E">
      <w:r>
        <w:rPr>
          <w:lang w:val="en-US"/>
        </w:rPr>
        <w:t xml:space="preserve">The mines considered are at different stages of their life. Mount Pleasant only began construction in 2017. Muswellbrook's mine consent sees mining cease next year, Mount Arthur's in 2026, Mount Thorley-Warkworth's in 2037 and Bengalla’s in 2039. Hunter Valley Operations would see the cessation of mining in 2025 at HVO North and 2030 at HVO South, but Yancoal has an expansion proposal to extend these operations to 2050 and 2045 respectively. With the exception of Mount Pleasant, all the mines considered have been operating for at least twenty years, some for far longer, so the absence of </w:t>
      </w:r>
      <w:r>
        <w:rPr>
          <w:i/>
          <w:lang w:val="en-US"/>
        </w:rPr>
        <w:t>any</w:t>
      </w:r>
      <w:r>
        <w:rPr>
          <w:lang w:val="en-US"/>
        </w:rPr>
        <w:t xml:space="preserve"> completed rehabilitation on these sites is cause for concern. </w:t>
      </w:r>
    </w:p>
    <w:p w14:paraId="04AFDE82" w14:textId="77777777" w:rsidR="001B52B9" w:rsidRDefault="00A5303E">
      <w:pPr>
        <w:rPr>
          <w:b/>
        </w:rPr>
      </w:pPr>
      <w:r>
        <w:rPr>
          <w:b/>
        </w:rPr>
        <w:t>Bengalla</w:t>
      </w:r>
    </w:p>
    <w:p w14:paraId="69F7DE4A" w14:textId="77777777" w:rsidR="001B52B9" w:rsidRDefault="00A5303E">
      <w:r>
        <w:t>On 29 August 2019, Environmental Inspectors from the Resources Regulator conducted an inspection of Bengalla Mine. From this inspection three separate notices under Section 240 of the Mining Act 1992, were issued in November 2019 in relation to the management and rehabilitation of lands.</w:t>
      </w:r>
      <w:r>
        <w:rPr>
          <w:rStyle w:val="FootnoteAnchor"/>
        </w:rPr>
        <w:footnoteReference w:id="1"/>
      </w:r>
      <w:r>
        <w:t xml:space="preserve"> Just 20.5% of the total mine footprint at Bengalla is under active rehabilitation, according to the mine’s most recent Annual Review and during the current 2020 reporting period, the mine was proposing to go further backwards, disturbing more than twice the area of land (80 hectares) it was proposing to add to active rehabilitation (38 hectares).</w:t>
      </w:r>
      <w:r>
        <w:rPr>
          <w:rStyle w:val="FootnoteAnchor"/>
        </w:rPr>
        <w:footnoteReference w:id="2"/>
      </w:r>
      <w:r>
        <w:t xml:space="preserve"> </w:t>
      </w:r>
    </w:p>
    <w:p w14:paraId="6517BE82" w14:textId="77777777" w:rsidR="001B52B9" w:rsidRDefault="00A5303E">
      <w:pPr>
        <w:rPr>
          <w:b/>
        </w:rPr>
      </w:pPr>
      <w:r>
        <w:rPr>
          <w:b/>
        </w:rPr>
        <w:t>Mount Arthur</w:t>
      </w:r>
    </w:p>
    <w:p w14:paraId="5AF46435" w14:textId="77777777" w:rsidR="001B52B9" w:rsidRDefault="00A5303E">
      <w:pPr>
        <w:rPr>
          <w:lang w:val="en-US"/>
        </w:rPr>
      </w:pPr>
      <w:r>
        <w:t>Active rehabilitation is underway on just 22.1% of Mount Arthur’s total mine footprint. Mount</w:t>
      </w:r>
      <w:r>
        <w:rPr>
          <w:lang w:val="en-US"/>
        </w:rPr>
        <w:t xml:space="preserve"> Arthur undertook just 66 ha of new rehabilitation in the last four years, while over the same period actively disturbed an additional 885 ha. This is a rehabilitation to disturbance ratio of just seven percent. It must also be noted that Mount Arthur was responsible for almost 70 percent of the mine disturbed land surrounding Muswellbrook in 2019. Given that Mount Arthur’s mine consent anticipates mining being completed in five years’ time, lack of progress on rehabilitation at this site is a concern. </w:t>
      </w:r>
    </w:p>
    <w:p w14:paraId="0D018EA8" w14:textId="77777777" w:rsidR="003D192C" w:rsidRDefault="003D192C">
      <w:pPr>
        <w:spacing w:after="0" w:line="240" w:lineRule="auto"/>
        <w:rPr>
          <w:b/>
        </w:rPr>
      </w:pPr>
      <w:r>
        <w:rPr>
          <w:b/>
        </w:rPr>
        <w:br w:type="page"/>
      </w:r>
    </w:p>
    <w:p w14:paraId="3156F558" w14:textId="700F10B9" w:rsidR="003D192C" w:rsidRDefault="00A5303E">
      <w:pPr>
        <w:rPr>
          <w:b/>
        </w:rPr>
      </w:pPr>
      <w:r>
        <w:rPr>
          <w:b/>
        </w:rPr>
        <w:lastRenderedPageBreak/>
        <w:t>Mount Pleasant</w:t>
      </w:r>
    </w:p>
    <w:p w14:paraId="7B2910E1" w14:textId="20D89EF6" w:rsidR="001B52B9" w:rsidRDefault="00A5303E">
      <w:r>
        <w:t>Mount Pleasant is a new mining operation and so has increased its active disturbance from 27ha in 2017 to 618ha in 2018</w:t>
      </w:r>
      <w:r>
        <w:rPr>
          <w:rStyle w:val="FootnoteAnchor"/>
        </w:rPr>
        <w:footnoteReference w:id="3"/>
      </w:r>
      <w:r>
        <w:t xml:space="preserve"> and to 834ha in 2019.</w:t>
      </w:r>
      <w:r>
        <w:rPr>
          <w:rStyle w:val="FootnoteAnchor"/>
        </w:rPr>
        <w:footnoteReference w:id="4"/>
      </w:r>
      <w:r>
        <w:t xml:space="preserve"> This is an increase in active mine area of 35%. Active mine rehabilitation, however, fell from 8 ha to 7.5ha over the same period. Active rehabilitation is taking place on just 5.5% of the total mine footprint. </w:t>
      </w:r>
      <w:r>
        <w:rPr>
          <w:rFonts w:cstheme="minorHAnsi"/>
          <w:color w:val="000000"/>
        </w:rPr>
        <w:t>Inspections by the Resources Regulator in May, 2018 found MACH Energy had failed to comply with its mining operations plan, an offence under the </w:t>
      </w:r>
      <w:r>
        <w:rPr>
          <w:rFonts w:cstheme="minorHAnsi"/>
          <w:i/>
          <w:iCs/>
          <w:color w:val="000000"/>
        </w:rPr>
        <w:t>Mining Act,</w:t>
      </w:r>
      <w:r>
        <w:rPr>
          <w:rFonts w:cstheme="minorHAnsi"/>
          <w:color w:val="000000"/>
        </w:rPr>
        <w:t xml:space="preserve"> and</w:t>
      </w:r>
      <w:r>
        <w:rPr>
          <w:rFonts w:cstheme="minorHAnsi"/>
          <w:i/>
          <w:iCs/>
          <w:color w:val="000000"/>
        </w:rPr>
        <w:t xml:space="preserve"> </w:t>
      </w:r>
      <w:r>
        <w:rPr>
          <w:rFonts w:cstheme="minorHAnsi"/>
          <w:color w:val="000000"/>
        </w:rPr>
        <w:t>the mine’s rehabilitation assessment processes were flawed.</w:t>
      </w:r>
      <w:r>
        <w:rPr>
          <w:rStyle w:val="FootnoteAnchor"/>
          <w:rFonts w:cstheme="minorHAnsi"/>
          <w:color w:val="000000"/>
        </w:rPr>
        <w:footnoteReference w:id="5"/>
      </w:r>
      <w:r>
        <w:rPr>
          <w:rFonts w:cstheme="minorHAnsi"/>
          <w:i/>
          <w:iCs/>
          <w:color w:val="000000"/>
        </w:rPr>
        <w:t xml:space="preserve"> </w:t>
      </w:r>
      <w:r>
        <w:rPr>
          <w:rFonts w:cstheme="minorHAnsi"/>
          <w:color w:val="000000"/>
        </w:rPr>
        <w:t>The audit showed there were “several areas of significant erosion” across the mine site and no erosion controls on a topsoil stockpile. Where rehabilitation issues were identified by the mine during inspections, there was “no process to capture these issues, allocate corrective action tasks, track progress and close out those issues.”</w:t>
      </w:r>
    </w:p>
    <w:p w14:paraId="717983BE" w14:textId="77777777" w:rsidR="001B52B9" w:rsidRDefault="00A5303E">
      <w:pPr>
        <w:rPr>
          <w:b/>
        </w:rPr>
      </w:pPr>
      <w:r>
        <w:rPr>
          <w:b/>
        </w:rPr>
        <w:t>Drayton mine</w:t>
      </w:r>
    </w:p>
    <w:p w14:paraId="5DC0018A" w14:textId="77777777" w:rsidR="001B52B9" w:rsidRDefault="00A5303E">
      <w:r>
        <w:t xml:space="preserve">The Drayton mine closed in 2016. Its most recent Annual Review notes that in April 2020, the company was given an official caution under the </w:t>
      </w:r>
      <w:r>
        <w:rPr>
          <w:i/>
        </w:rPr>
        <w:t>Mining Act</w:t>
      </w:r>
      <w:r>
        <w:t xml:space="preserve"> for failing to comply with its progressive rehabilitation schedule for 2017 and 2018 as contained within the approved Mine Operations Plan. Its most recent Independent Environmental Audit found that one area of rehabilitation had failed and recommended remedial action on the area which has since been undertaken. The company was issued another caution in October 2020 for failing to submit an updated rehabilitation cost estimate by the due date and for failing to comply with the progressive rehabilitation schedule for 2019 as contained within the approved Mine Operations Plan. The Resources Regulator had directed the company to submit a revised rehabilitation cost estimate, which was finally submitted in January 2021. As of its last Annual Review, 853 hectares (68.9%) of a total 1,238 hectare footprint is under active rehabilitation, but the owner Maxwell is not expecting to increase the area of the site that is under active rehabilitation this year. No rehabilitation has been completed. </w:t>
      </w:r>
    </w:p>
    <w:p w14:paraId="2A07EC2B" w14:textId="77777777" w:rsidR="001B52B9" w:rsidRDefault="00A5303E">
      <w:pPr>
        <w:rPr>
          <w:b/>
        </w:rPr>
      </w:pPr>
      <w:r>
        <w:rPr>
          <w:b/>
        </w:rPr>
        <w:t xml:space="preserve">Hunter Valley Operations </w:t>
      </w:r>
    </w:p>
    <w:p w14:paraId="0CFBE9B8" w14:textId="77777777" w:rsidR="001B52B9" w:rsidRDefault="00A5303E">
      <w:r>
        <w:t>In October 2018, the Resources Regulator issued a direction of Hunter Valley Operations relating to the “unsatisfactory establishment of target vegetation species and the unsatisfactory weed presence at rehabilitation areas across the operations including HVO South.”</w:t>
      </w:r>
      <w:r>
        <w:rPr>
          <w:rStyle w:val="FootnoteAnchor"/>
        </w:rPr>
        <w:footnoteReference w:id="6"/>
      </w:r>
      <w:r>
        <w:t xml:space="preserve"> An audit of topsoil management in April 2019 which found that top soils on the site were not being separately stockpiled based on topsoil quality. This creates a rehabilitation risk because topsoil needs to be maintained and managed to support propagation of vegetation on rehabilitated mine landscapes. </w:t>
      </w:r>
    </w:p>
    <w:p w14:paraId="3741DEE2" w14:textId="77777777" w:rsidR="001B52B9" w:rsidRDefault="00A5303E">
      <w:pPr>
        <w:rPr>
          <w:b/>
        </w:rPr>
      </w:pPr>
      <w:r>
        <w:rPr>
          <w:b/>
        </w:rPr>
        <w:t xml:space="preserve">Mount Thorley-Warkworth </w:t>
      </w:r>
    </w:p>
    <w:p w14:paraId="75104FED" w14:textId="77777777" w:rsidR="001B52B9" w:rsidRDefault="00A5303E">
      <w:pPr>
        <w:spacing w:after="0" w:line="240" w:lineRule="auto"/>
        <w:rPr>
          <w:rFonts w:ascii="Calibri" w:hAnsi="Calibri" w:cs="Calibri"/>
        </w:rPr>
      </w:pPr>
      <w:r>
        <w:rPr>
          <w:rFonts w:cs="Calibri"/>
        </w:rPr>
        <w:t xml:space="preserve">Land under active rehabilitation at Mount Thorley-Warkworth (MTW) reduced by 93.4 hectares in the last annual report period (2019). Active rehabilitation is underway on 29.4% of total mine footprint. The NSW Resources Regulator undertook an inspection of rehabilitation areas at MTW which identified there were ongoing delays in the progression of rehabilitation areas. As a result of the observation, MTW was directed via two section 240 notices to undertake corrective actions. </w:t>
      </w:r>
    </w:p>
    <w:p w14:paraId="0DD73069" w14:textId="77777777" w:rsidR="001B52B9" w:rsidRDefault="00A5303E">
      <w:pPr>
        <w:spacing w:after="0" w:line="240" w:lineRule="auto"/>
      </w:pPr>
      <w:r>
        <w:rPr>
          <w:rFonts w:cs="Calibri"/>
        </w:rPr>
        <w:t xml:space="preserve">According to its most recent Independent Environmental Audit (2020), Warkworth mine did not meet its rehabilitation target in its last four year Mining Operations Plan (2015-2019), being roughly </w:t>
      </w:r>
      <w:r>
        <w:rPr>
          <w:rFonts w:cs="Calibri"/>
        </w:rPr>
        <w:lastRenderedPageBreak/>
        <w:t xml:space="preserve">9% below the target of 383.4 hectares of rehabilitation. </w:t>
      </w:r>
      <w:r>
        <w:t>An inspection identified ongoing delays in the progression of rehabilitation areas, limited documented records to address the risks to rehabilitation and limited documented measures or actions to improve progressive rehabilitation performance.</w:t>
      </w:r>
    </w:p>
    <w:p w14:paraId="1368E29F" w14:textId="77777777" w:rsidR="001B52B9" w:rsidRDefault="001B52B9"/>
    <w:p w14:paraId="39CAA343" w14:textId="77777777" w:rsidR="001B52B9" w:rsidRDefault="001B52B9">
      <w:pPr>
        <w:pStyle w:val="Caption"/>
      </w:pPr>
    </w:p>
    <w:p w14:paraId="2DE60F57" w14:textId="77777777" w:rsidR="001B52B9" w:rsidRDefault="00A5303E">
      <w:pPr>
        <w:pStyle w:val="Caption"/>
      </w:pPr>
      <w:r>
        <w:t xml:space="preserve">Table </w:t>
      </w:r>
      <w:r>
        <w:fldChar w:fldCharType="begin"/>
      </w:r>
      <w:r>
        <w:instrText>SEQ Table \* ARABIC</w:instrText>
      </w:r>
      <w:r>
        <w:fldChar w:fldCharType="separate"/>
      </w:r>
      <w:r>
        <w:t>1</w:t>
      </w:r>
      <w:r>
        <w:fldChar w:fldCharType="end"/>
      </w:r>
      <w:r>
        <w:t>: Recent rehabilitation summaries for selected Hunter Valley mines</w:t>
      </w:r>
    </w:p>
    <w:tbl>
      <w:tblPr>
        <w:tblStyle w:val="GridTable5Dark-Accent2"/>
        <w:tblW w:w="9182" w:type="dxa"/>
        <w:tblInd w:w="100" w:type="dxa"/>
        <w:shd w:val="clear" w:color="auto" w:fill="FBE4D5"/>
        <w:tblLayout w:type="fixed"/>
        <w:tblLook w:val="04A0" w:firstRow="1" w:lastRow="0" w:firstColumn="1" w:lastColumn="0" w:noHBand="0" w:noVBand="1"/>
      </w:tblPr>
      <w:tblGrid>
        <w:gridCol w:w="4119"/>
        <w:gridCol w:w="1112"/>
        <w:gridCol w:w="988"/>
        <w:gridCol w:w="988"/>
        <w:gridCol w:w="988"/>
        <w:gridCol w:w="987"/>
      </w:tblGrid>
      <w:tr w:rsidR="001B52B9" w14:paraId="4827B7B3" w14:textId="77777777" w:rsidTr="001B5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6DE759D0" w14:textId="77777777" w:rsidR="001B52B9" w:rsidRDefault="00A5303E">
            <w:pPr>
              <w:widowControl w:val="0"/>
              <w:spacing w:after="0" w:line="240" w:lineRule="auto"/>
              <w:rPr>
                <w:lang w:val="en-US"/>
              </w:rPr>
            </w:pPr>
            <w:r>
              <w:rPr>
                <w:rFonts w:eastAsia="Calibri"/>
                <w:b w:val="0"/>
                <w:bCs w:val="0"/>
                <w:color w:val="FFFFFF"/>
                <w:lang w:val="en-US"/>
              </w:rPr>
              <w:t>Mount Arthur</w:t>
            </w:r>
          </w:p>
        </w:tc>
        <w:tc>
          <w:tcPr>
            <w:tcW w:w="1112" w:type="dxa"/>
            <w:tcBorders>
              <w:top w:val="single" w:sz="4" w:space="0" w:color="000000"/>
              <w:bottom w:val="single" w:sz="4" w:space="0" w:color="000000"/>
            </w:tcBorders>
            <w:shd w:val="clear" w:color="auto" w:fill="BFBFBF" w:themeFill="background1" w:themeFillShade="BF"/>
          </w:tcPr>
          <w:p w14:paraId="5F6D7F44" w14:textId="77777777" w:rsidR="001B52B9" w:rsidRDefault="00A5303E">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Cs w:val="0"/>
                <w:lang w:val="en-US"/>
              </w:rPr>
            </w:pPr>
            <w:r>
              <w:rPr>
                <w:rFonts w:eastAsia="Calibri"/>
                <w:b w:val="0"/>
                <w:color w:val="FFFFFF"/>
                <w:lang w:val="en-US"/>
              </w:rPr>
              <w:t>2016/17</w:t>
            </w:r>
          </w:p>
        </w:tc>
        <w:tc>
          <w:tcPr>
            <w:tcW w:w="988" w:type="dxa"/>
            <w:tcBorders>
              <w:top w:val="single" w:sz="4" w:space="0" w:color="000000"/>
              <w:bottom w:val="single" w:sz="4" w:space="0" w:color="000000"/>
            </w:tcBorders>
            <w:shd w:val="clear" w:color="auto" w:fill="BFBFBF" w:themeFill="background1" w:themeFillShade="BF"/>
          </w:tcPr>
          <w:p w14:paraId="06B8338A" w14:textId="77777777" w:rsidR="001B52B9" w:rsidRDefault="00A5303E">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Cs w:val="0"/>
                <w:lang w:val="en-US"/>
              </w:rPr>
            </w:pPr>
            <w:r>
              <w:rPr>
                <w:rFonts w:eastAsia="Calibri"/>
                <w:b w:val="0"/>
                <w:color w:val="FFFFFF"/>
                <w:lang w:val="en-US"/>
              </w:rPr>
              <w:t>2017/18</w:t>
            </w:r>
          </w:p>
        </w:tc>
        <w:tc>
          <w:tcPr>
            <w:tcW w:w="988" w:type="dxa"/>
            <w:tcBorders>
              <w:top w:val="single" w:sz="4" w:space="0" w:color="000000"/>
              <w:bottom w:val="single" w:sz="4" w:space="0" w:color="000000"/>
            </w:tcBorders>
            <w:shd w:val="clear" w:color="auto" w:fill="BFBFBF" w:themeFill="background1" w:themeFillShade="BF"/>
          </w:tcPr>
          <w:p w14:paraId="639DF4D2" w14:textId="77777777" w:rsidR="001B52B9" w:rsidRDefault="00A5303E">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Cs w:val="0"/>
                <w:lang w:val="en-US"/>
              </w:rPr>
            </w:pPr>
            <w:r>
              <w:rPr>
                <w:rFonts w:eastAsia="Calibri"/>
                <w:b w:val="0"/>
                <w:color w:val="FFFFFF"/>
                <w:lang w:val="en-US"/>
              </w:rPr>
              <w:t>2018/19</w:t>
            </w:r>
          </w:p>
        </w:tc>
        <w:tc>
          <w:tcPr>
            <w:tcW w:w="988" w:type="dxa"/>
            <w:tcBorders>
              <w:top w:val="single" w:sz="4" w:space="0" w:color="000000"/>
              <w:bottom w:val="single" w:sz="4" w:space="0" w:color="000000"/>
            </w:tcBorders>
            <w:shd w:val="clear" w:color="auto" w:fill="BFBFBF" w:themeFill="background1" w:themeFillShade="BF"/>
          </w:tcPr>
          <w:p w14:paraId="3DC60544" w14:textId="77777777" w:rsidR="001B52B9" w:rsidRDefault="00A5303E">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Cs w:val="0"/>
                <w:lang w:val="en-US"/>
              </w:rPr>
            </w:pPr>
            <w:r>
              <w:rPr>
                <w:rFonts w:eastAsia="Calibri"/>
                <w:b w:val="0"/>
                <w:color w:val="FFFFFF"/>
                <w:lang w:val="en-US"/>
              </w:rPr>
              <w:t>2019/20</w:t>
            </w:r>
          </w:p>
        </w:tc>
        <w:tc>
          <w:tcPr>
            <w:tcW w:w="987" w:type="dxa"/>
            <w:tcBorders>
              <w:top w:val="single" w:sz="4" w:space="0" w:color="000000"/>
              <w:bottom w:val="single" w:sz="4" w:space="0" w:color="000000"/>
              <w:right w:val="single" w:sz="4" w:space="0" w:color="000000"/>
            </w:tcBorders>
            <w:shd w:val="clear" w:color="auto" w:fill="BFBFBF" w:themeFill="background1" w:themeFillShade="BF"/>
          </w:tcPr>
          <w:p w14:paraId="70C4C789" w14:textId="77777777" w:rsidR="001B52B9" w:rsidRDefault="001B52B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Cs w:val="0"/>
                <w:lang w:val="en-US"/>
              </w:rPr>
            </w:pPr>
          </w:p>
        </w:tc>
      </w:tr>
      <w:tr w:rsidR="001B52B9" w14:paraId="2D9A32FA"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36BF1B48" w14:textId="77777777" w:rsidR="001B52B9" w:rsidRDefault="00A5303E">
            <w:pPr>
              <w:widowControl w:val="0"/>
              <w:spacing w:after="0" w:line="240" w:lineRule="auto"/>
              <w:ind w:left="720"/>
              <w:rPr>
                <w:lang w:val="en-US"/>
              </w:rPr>
            </w:pPr>
            <w:r>
              <w:rPr>
                <w:rFonts w:eastAsia="Calibri"/>
                <w:b w:val="0"/>
                <w:bCs w:val="0"/>
                <w:color w:val="FFFFFF"/>
                <w:lang w:val="en-US"/>
              </w:rPr>
              <w:t>Mine footprint (ha)</w:t>
            </w:r>
          </w:p>
        </w:tc>
        <w:tc>
          <w:tcPr>
            <w:tcW w:w="1112" w:type="dxa"/>
          </w:tcPr>
          <w:p w14:paraId="5C86570C"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4454.8</w:t>
            </w:r>
          </w:p>
        </w:tc>
        <w:tc>
          <w:tcPr>
            <w:tcW w:w="988" w:type="dxa"/>
          </w:tcPr>
          <w:p w14:paraId="28C6428D"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4700</w:t>
            </w:r>
          </w:p>
        </w:tc>
        <w:tc>
          <w:tcPr>
            <w:tcW w:w="988" w:type="dxa"/>
          </w:tcPr>
          <w:p w14:paraId="58F3D0DF"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5171</w:t>
            </w:r>
          </w:p>
        </w:tc>
        <w:tc>
          <w:tcPr>
            <w:tcW w:w="988" w:type="dxa"/>
          </w:tcPr>
          <w:p w14:paraId="1CA0D6F4"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5333</w:t>
            </w:r>
          </w:p>
        </w:tc>
        <w:tc>
          <w:tcPr>
            <w:tcW w:w="987" w:type="dxa"/>
          </w:tcPr>
          <w:p w14:paraId="6162FD3F" w14:textId="77777777" w:rsidR="001B52B9" w:rsidRDefault="001B52B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p>
        </w:tc>
      </w:tr>
      <w:tr w:rsidR="001B52B9" w14:paraId="54367A53"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0FA2798A" w14:textId="77777777" w:rsidR="001B52B9" w:rsidRDefault="00A5303E">
            <w:pPr>
              <w:widowControl w:val="0"/>
              <w:spacing w:after="0" w:line="240" w:lineRule="auto"/>
              <w:ind w:left="720"/>
              <w:rPr>
                <w:lang w:val="en-US"/>
              </w:rPr>
            </w:pPr>
            <w:r>
              <w:rPr>
                <w:rFonts w:eastAsia="Calibri"/>
                <w:b w:val="0"/>
                <w:bCs w:val="0"/>
                <w:color w:val="FFFFFF"/>
                <w:lang w:val="en-US"/>
              </w:rPr>
              <w:t>Active disturbance (ha)</w:t>
            </w:r>
          </w:p>
        </w:tc>
        <w:tc>
          <w:tcPr>
            <w:tcW w:w="1112" w:type="dxa"/>
          </w:tcPr>
          <w:p w14:paraId="671D5901"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ascii="Calibri-Bold" w:eastAsia="Calibri" w:hAnsi="Calibri-Bold" w:cs="Calibri-Bold"/>
                <w:bCs/>
              </w:rPr>
              <w:t>3266.5</w:t>
            </w:r>
          </w:p>
        </w:tc>
        <w:tc>
          <w:tcPr>
            <w:tcW w:w="988" w:type="dxa"/>
          </w:tcPr>
          <w:p w14:paraId="6BEC6C34"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ascii="Calibri-Bold" w:eastAsia="Calibri" w:hAnsi="Calibri-Bold" w:cs="Calibri-Bold"/>
                <w:bCs/>
              </w:rPr>
              <w:t>3502</w:t>
            </w:r>
          </w:p>
        </w:tc>
        <w:tc>
          <w:tcPr>
            <w:tcW w:w="988" w:type="dxa"/>
          </w:tcPr>
          <w:p w14:paraId="67FFF5DB"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rPr>
              <w:t>3871</w:t>
            </w:r>
          </w:p>
        </w:tc>
        <w:tc>
          <w:tcPr>
            <w:tcW w:w="988" w:type="dxa"/>
          </w:tcPr>
          <w:p w14:paraId="6187D335"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4152</w:t>
            </w:r>
          </w:p>
        </w:tc>
        <w:tc>
          <w:tcPr>
            <w:tcW w:w="987" w:type="dxa"/>
          </w:tcPr>
          <w:p w14:paraId="32BE93BD"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p>
        </w:tc>
      </w:tr>
      <w:tr w:rsidR="001B52B9" w14:paraId="555BD0BE"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48FF92A0" w14:textId="77777777" w:rsidR="001B52B9" w:rsidRDefault="00A5303E">
            <w:pPr>
              <w:widowControl w:val="0"/>
              <w:spacing w:after="0" w:line="240" w:lineRule="auto"/>
              <w:ind w:left="720"/>
              <w:rPr>
                <w:lang w:val="en-US"/>
              </w:rPr>
            </w:pPr>
            <w:r>
              <w:rPr>
                <w:rFonts w:eastAsia="Calibri"/>
                <w:b w:val="0"/>
                <w:bCs w:val="0"/>
                <w:color w:val="FFFFFF"/>
                <w:lang w:val="en-US"/>
              </w:rPr>
              <w:t>Active rehabilitation (ha)</w:t>
            </w:r>
          </w:p>
        </w:tc>
        <w:tc>
          <w:tcPr>
            <w:tcW w:w="1112" w:type="dxa"/>
            <w:tcBorders>
              <w:bottom w:val="single" w:sz="8" w:space="0" w:color="FFFFFF"/>
            </w:tcBorders>
          </w:tcPr>
          <w:p w14:paraId="0FA8E11D"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ascii="Calibri-Bold" w:eastAsia="Calibri" w:hAnsi="Calibri-Bold" w:cs="Calibri-Bold"/>
                <w:bCs/>
              </w:rPr>
              <w:t>1114.5</w:t>
            </w:r>
          </w:p>
        </w:tc>
        <w:tc>
          <w:tcPr>
            <w:tcW w:w="988" w:type="dxa"/>
            <w:tcBorders>
              <w:bottom w:val="single" w:sz="8" w:space="0" w:color="FFFFFF"/>
            </w:tcBorders>
          </w:tcPr>
          <w:p w14:paraId="5CD0D8F8"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ascii="Calibri-Bold" w:eastAsia="Calibri" w:hAnsi="Calibri-Bold" w:cs="Calibri-Bold"/>
                <w:bCs/>
              </w:rPr>
              <w:t>1198</w:t>
            </w:r>
          </w:p>
        </w:tc>
        <w:tc>
          <w:tcPr>
            <w:tcW w:w="988" w:type="dxa"/>
            <w:tcBorders>
              <w:bottom w:val="single" w:sz="8" w:space="0" w:color="FFFFFF"/>
            </w:tcBorders>
          </w:tcPr>
          <w:p w14:paraId="53208E37"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1211</w:t>
            </w:r>
          </w:p>
        </w:tc>
        <w:tc>
          <w:tcPr>
            <w:tcW w:w="988" w:type="dxa"/>
            <w:tcBorders>
              <w:bottom w:val="single" w:sz="8" w:space="0" w:color="FFFFFF"/>
            </w:tcBorders>
          </w:tcPr>
          <w:p w14:paraId="22FCB1F1"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1181</w:t>
            </w:r>
          </w:p>
        </w:tc>
        <w:tc>
          <w:tcPr>
            <w:tcW w:w="987" w:type="dxa"/>
            <w:tcBorders>
              <w:bottom w:val="single" w:sz="8" w:space="0" w:color="FFFFFF"/>
            </w:tcBorders>
          </w:tcPr>
          <w:p w14:paraId="53433BD9" w14:textId="77777777" w:rsidR="001B52B9" w:rsidRDefault="001B52B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p>
        </w:tc>
      </w:tr>
      <w:tr w:rsidR="001B52B9" w14:paraId="1675B23C"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bottom w:val="single" w:sz="8" w:space="0" w:color="FFFFFF"/>
              <w:right w:val="single" w:sz="12" w:space="0" w:color="000000"/>
            </w:tcBorders>
            <w:shd w:val="clear" w:color="auto" w:fill="D9D9D9" w:themeFill="background1" w:themeFillShade="D9"/>
          </w:tcPr>
          <w:p w14:paraId="3E63EBDB" w14:textId="77777777" w:rsidR="001B52B9" w:rsidRDefault="00A5303E">
            <w:pPr>
              <w:widowControl w:val="0"/>
              <w:spacing w:after="0" w:line="240" w:lineRule="auto"/>
              <w:ind w:left="720"/>
              <w:rPr>
                <w:lang w:val="en-US"/>
              </w:rPr>
            </w:pPr>
            <w:r>
              <w:rPr>
                <w:rFonts w:eastAsia="Calibri"/>
                <w:b w:val="0"/>
                <w:bCs w:val="0"/>
                <w:color w:val="FFFFFF"/>
                <w:lang w:val="en-US"/>
              </w:rPr>
              <w:t>Completed Rehabilitation (ha)</w:t>
            </w:r>
          </w:p>
        </w:tc>
        <w:tc>
          <w:tcPr>
            <w:tcW w:w="1112" w:type="dxa"/>
            <w:tcBorders>
              <w:top w:val="single" w:sz="8" w:space="0" w:color="FFFFFF"/>
              <w:left w:val="single" w:sz="12" w:space="0" w:color="000000"/>
              <w:bottom w:val="single" w:sz="8" w:space="0" w:color="FFFFFF"/>
              <w:right w:val="single" w:sz="8" w:space="0" w:color="FFFFFF"/>
            </w:tcBorders>
          </w:tcPr>
          <w:p w14:paraId="1A5BFA71"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8" w:type="dxa"/>
            <w:tcBorders>
              <w:top w:val="single" w:sz="8" w:space="0" w:color="FFFFFF"/>
              <w:left w:val="single" w:sz="8" w:space="0" w:color="FFFFFF"/>
              <w:bottom w:val="single" w:sz="8" w:space="0" w:color="FFFFFF"/>
              <w:right w:val="single" w:sz="8" w:space="0" w:color="FFFFFF"/>
            </w:tcBorders>
          </w:tcPr>
          <w:p w14:paraId="55A37846"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cs="Calibri"/>
                <w:bCs/>
              </w:rPr>
              <w:t>0</w:t>
            </w:r>
          </w:p>
        </w:tc>
        <w:tc>
          <w:tcPr>
            <w:tcW w:w="988" w:type="dxa"/>
            <w:tcBorders>
              <w:top w:val="single" w:sz="8" w:space="0" w:color="FFFFFF"/>
              <w:left w:val="single" w:sz="8" w:space="0" w:color="FFFFFF"/>
              <w:bottom w:val="single" w:sz="8" w:space="0" w:color="FFFFFF"/>
              <w:right w:val="single" w:sz="8" w:space="0" w:color="FFFFFF"/>
            </w:tcBorders>
          </w:tcPr>
          <w:p w14:paraId="7B49EA3F"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8" w:type="dxa"/>
            <w:tcBorders>
              <w:top w:val="single" w:sz="8" w:space="0" w:color="FFFFFF"/>
              <w:left w:val="single" w:sz="8" w:space="0" w:color="FFFFFF"/>
              <w:bottom w:val="single" w:sz="8" w:space="0" w:color="FFFFFF"/>
              <w:right w:val="single" w:sz="8" w:space="0" w:color="FFFFFF"/>
            </w:tcBorders>
          </w:tcPr>
          <w:p w14:paraId="5DAC6467"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7" w:type="dxa"/>
            <w:tcBorders>
              <w:top w:val="single" w:sz="8" w:space="0" w:color="FFFFFF"/>
              <w:left w:val="single" w:sz="8" w:space="0" w:color="FFFFFF"/>
              <w:bottom w:val="single" w:sz="8" w:space="0" w:color="FFFFFF"/>
              <w:right w:val="single" w:sz="8" w:space="0" w:color="FFFFFF"/>
            </w:tcBorders>
          </w:tcPr>
          <w:p w14:paraId="3994A473"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p>
        </w:tc>
      </w:tr>
      <w:tr w:rsidR="001B52B9" w14:paraId="146A8409"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top w:val="single" w:sz="8" w:space="0" w:color="FFFFFF"/>
              <w:left w:val="single" w:sz="12" w:space="0" w:color="000000"/>
              <w:bottom w:val="single" w:sz="12" w:space="0" w:color="000000"/>
              <w:right w:val="single" w:sz="12" w:space="0" w:color="000000"/>
            </w:tcBorders>
            <w:shd w:val="clear" w:color="auto" w:fill="D9D9D9" w:themeFill="background1" w:themeFillShade="D9"/>
          </w:tcPr>
          <w:p w14:paraId="3C437533" w14:textId="77777777" w:rsidR="001B52B9" w:rsidRDefault="00A5303E">
            <w:pPr>
              <w:widowControl w:val="0"/>
              <w:spacing w:after="0" w:line="240" w:lineRule="auto"/>
              <w:ind w:left="720"/>
              <w:rPr>
                <w:b w:val="0"/>
                <w:lang w:val="en-US"/>
              </w:rPr>
            </w:pPr>
            <w:r>
              <w:rPr>
                <w:rFonts w:eastAsia="Calibri"/>
                <w:bCs w:val="0"/>
                <w:color w:val="FFFFFF"/>
                <w:lang w:val="en-US"/>
              </w:rPr>
              <w:t>Rehab % of footprint</w:t>
            </w:r>
          </w:p>
        </w:tc>
        <w:tc>
          <w:tcPr>
            <w:tcW w:w="1112" w:type="dxa"/>
            <w:tcBorders>
              <w:top w:val="single" w:sz="8" w:space="0" w:color="FFFFFF"/>
              <w:left w:val="single" w:sz="12" w:space="0" w:color="000000"/>
              <w:bottom w:val="single" w:sz="12" w:space="0" w:color="000000"/>
            </w:tcBorders>
          </w:tcPr>
          <w:p w14:paraId="02F3F15C"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25%</w:t>
            </w:r>
          </w:p>
        </w:tc>
        <w:tc>
          <w:tcPr>
            <w:tcW w:w="988" w:type="dxa"/>
            <w:tcBorders>
              <w:top w:val="single" w:sz="8" w:space="0" w:color="FFFFFF"/>
              <w:bottom w:val="single" w:sz="12" w:space="0" w:color="000000"/>
            </w:tcBorders>
          </w:tcPr>
          <w:p w14:paraId="637F0301"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eastAsia="Calibri" w:cs="Calibri"/>
                <w:b/>
                <w:bCs/>
              </w:rPr>
              <w:t>25.4%</w:t>
            </w:r>
          </w:p>
        </w:tc>
        <w:tc>
          <w:tcPr>
            <w:tcW w:w="988" w:type="dxa"/>
            <w:tcBorders>
              <w:top w:val="single" w:sz="8" w:space="0" w:color="FFFFFF"/>
              <w:bottom w:val="single" w:sz="12" w:space="0" w:color="000000"/>
            </w:tcBorders>
          </w:tcPr>
          <w:p w14:paraId="1AA31A21"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23.4%</w:t>
            </w:r>
          </w:p>
        </w:tc>
        <w:tc>
          <w:tcPr>
            <w:tcW w:w="988" w:type="dxa"/>
            <w:tcBorders>
              <w:top w:val="single" w:sz="8" w:space="0" w:color="FFFFFF"/>
              <w:bottom w:val="single" w:sz="12" w:space="0" w:color="000000"/>
            </w:tcBorders>
          </w:tcPr>
          <w:p w14:paraId="7E2E2985"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22.1%</w:t>
            </w:r>
          </w:p>
        </w:tc>
        <w:tc>
          <w:tcPr>
            <w:tcW w:w="987" w:type="dxa"/>
            <w:tcBorders>
              <w:top w:val="single" w:sz="8" w:space="0" w:color="FFFFFF"/>
              <w:bottom w:val="single" w:sz="12" w:space="0" w:color="000000"/>
            </w:tcBorders>
          </w:tcPr>
          <w:p w14:paraId="4BFBC2BC" w14:textId="77777777" w:rsidR="001B52B9" w:rsidRDefault="001B52B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p>
        </w:tc>
      </w:tr>
      <w:tr w:rsidR="001B52B9" w14:paraId="4FE69D47"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top w:val="single" w:sz="12" w:space="0" w:color="000000"/>
              <w:left w:val="single" w:sz="12" w:space="0" w:color="000000"/>
              <w:right w:val="single" w:sz="12" w:space="0" w:color="000000"/>
            </w:tcBorders>
            <w:shd w:val="clear" w:color="auto" w:fill="BFBFBF" w:themeFill="background1" w:themeFillShade="BF"/>
          </w:tcPr>
          <w:p w14:paraId="555809A9" w14:textId="77777777" w:rsidR="001B52B9" w:rsidRDefault="00A5303E">
            <w:pPr>
              <w:widowControl w:val="0"/>
              <w:spacing w:after="0" w:line="240" w:lineRule="auto"/>
              <w:rPr>
                <w:lang w:val="en-US"/>
              </w:rPr>
            </w:pPr>
            <w:r>
              <w:rPr>
                <w:rFonts w:eastAsia="Calibri"/>
                <w:b w:val="0"/>
                <w:bCs w:val="0"/>
                <w:color w:val="FFFFFF"/>
                <w:lang w:val="en-US"/>
              </w:rPr>
              <w:t>Mount Pleasant</w:t>
            </w:r>
          </w:p>
        </w:tc>
        <w:tc>
          <w:tcPr>
            <w:tcW w:w="1112" w:type="dxa"/>
            <w:tcBorders>
              <w:top w:val="single" w:sz="12" w:space="0" w:color="000000"/>
              <w:left w:val="single" w:sz="12" w:space="0" w:color="000000"/>
            </w:tcBorders>
            <w:shd w:val="clear" w:color="auto" w:fill="BFBFBF" w:themeFill="background1" w:themeFillShade="BF"/>
          </w:tcPr>
          <w:p w14:paraId="2D7781AC"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p>
        </w:tc>
        <w:tc>
          <w:tcPr>
            <w:tcW w:w="988" w:type="dxa"/>
            <w:tcBorders>
              <w:top w:val="single" w:sz="12" w:space="0" w:color="000000"/>
            </w:tcBorders>
            <w:shd w:val="clear" w:color="auto" w:fill="BFBFBF" w:themeFill="background1" w:themeFillShade="BF"/>
          </w:tcPr>
          <w:p w14:paraId="5CB65ED3"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2017</w:t>
            </w:r>
          </w:p>
        </w:tc>
        <w:tc>
          <w:tcPr>
            <w:tcW w:w="988" w:type="dxa"/>
            <w:tcBorders>
              <w:top w:val="single" w:sz="12" w:space="0" w:color="000000"/>
            </w:tcBorders>
            <w:shd w:val="clear" w:color="auto" w:fill="BFBFBF" w:themeFill="background1" w:themeFillShade="BF"/>
          </w:tcPr>
          <w:p w14:paraId="5B60BF75"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2018</w:t>
            </w:r>
          </w:p>
        </w:tc>
        <w:tc>
          <w:tcPr>
            <w:tcW w:w="988" w:type="dxa"/>
            <w:tcBorders>
              <w:top w:val="single" w:sz="12" w:space="0" w:color="000000"/>
            </w:tcBorders>
            <w:shd w:val="clear" w:color="auto" w:fill="BFBFBF" w:themeFill="background1" w:themeFillShade="BF"/>
          </w:tcPr>
          <w:p w14:paraId="299DE08B"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2019</w:t>
            </w:r>
          </w:p>
        </w:tc>
        <w:tc>
          <w:tcPr>
            <w:tcW w:w="987" w:type="dxa"/>
            <w:tcBorders>
              <w:top w:val="single" w:sz="12" w:space="0" w:color="000000"/>
            </w:tcBorders>
            <w:shd w:val="clear" w:color="auto" w:fill="BFBFBF" w:themeFill="background1" w:themeFillShade="BF"/>
          </w:tcPr>
          <w:p w14:paraId="28BC03B2"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2020</w:t>
            </w:r>
          </w:p>
        </w:tc>
      </w:tr>
      <w:tr w:rsidR="001B52B9" w14:paraId="1AC6E139"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5D2C8FEC" w14:textId="77777777" w:rsidR="001B52B9" w:rsidRDefault="00A5303E">
            <w:pPr>
              <w:widowControl w:val="0"/>
              <w:spacing w:after="0" w:line="240" w:lineRule="auto"/>
              <w:ind w:left="720"/>
              <w:rPr>
                <w:lang w:val="en-US"/>
              </w:rPr>
            </w:pPr>
            <w:r>
              <w:rPr>
                <w:rFonts w:eastAsia="Calibri"/>
                <w:b w:val="0"/>
                <w:bCs w:val="0"/>
                <w:color w:val="FFFFFF"/>
                <w:lang w:val="en-US"/>
              </w:rPr>
              <w:t>Mine footprint (ha)</w:t>
            </w:r>
          </w:p>
        </w:tc>
        <w:tc>
          <w:tcPr>
            <w:tcW w:w="1112" w:type="dxa"/>
            <w:tcBorders>
              <w:left w:val="single" w:sz="12" w:space="0" w:color="000000"/>
            </w:tcBorders>
          </w:tcPr>
          <w:p w14:paraId="119A367D" w14:textId="77777777" w:rsidR="001B52B9" w:rsidRDefault="001B52B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p>
        </w:tc>
        <w:tc>
          <w:tcPr>
            <w:tcW w:w="988" w:type="dxa"/>
          </w:tcPr>
          <w:p w14:paraId="64292682"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292</w:t>
            </w:r>
          </w:p>
        </w:tc>
        <w:tc>
          <w:tcPr>
            <w:tcW w:w="988" w:type="dxa"/>
          </w:tcPr>
          <w:p w14:paraId="19B745E9"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701</w:t>
            </w:r>
          </w:p>
        </w:tc>
        <w:tc>
          <w:tcPr>
            <w:tcW w:w="988" w:type="dxa"/>
          </w:tcPr>
          <w:p w14:paraId="2701B8B7"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895</w:t>
            </w:r>
          </w:p>
        </w:tc>
        <w:tc>
          <w:tcPr>
            <w:tcW w:w="987" w:type="dxa"/>
          </w:tcPr>
          <w:p w14:paraId="0817F962"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980</w:t>
            </w:r>
          </w:p>
        </w:tc>
      </w:tr>
      <w:tr w:rsidR="001B52B9" w14:paraId="6C667BAA"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5ABAF929" w14:textId="77777777" w:rsidR="001B52B9" w:rsidRDefault="00A5303E">
            <w:pPr>
              <w:widowControl w:val="0"/>
              <w:spacing w:after="0" w:line="240" w:lineRule="auto"/>
              <w:ind w:left="720"/>
              <w:rPr>
                <w:lang w:val="en-US"/>
              </w:rPr>
            </w:pPr>
            <w:r>
              <w:rPr>
                <w:rFonts w:eastAsia="Calibri"/>
                <w:b w:val="0"/>
                <w:bCs w:val="0"/>
                <w:color w:val="FFFFFF"/>
                <w:lang w:val="en-US"/>
              </w:rPr>
              <w:t>Active disturbance (ha)</w:t>
            </w:r>
          </w:p>
        </w:tc>
        <w:tc>
          <w:tcPr>
            <w:tcW w:w="1112" w:type="dxa"/>
            <w:tcBorders>
              <w:left w:val="single" w:sz="12" w:space="0" w:color="000000"/>
            </w:tcBorders>
          </w:tcPr>
          <w:p w14:paraId="51F56F3D"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p>
        </w:tc>
        <w:tc>
          <w:tcPr>
            <w:tcW w:w="988" w:type="dxa"/>
          </w:tcPr>
          <w:p w14:paraId="4FB94CBA"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292</w:t>
            </w:r>
          </w:p>
        </w:tc>
        <w:tc>
          <w:tcPr>
            <w:tcW w:w="988" w:type="dxa"/>
          </w:tcPr>
          <w:p w14:paraId="12C1660C"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618</w:t>
            </w:r>
          </w:p>
        </w:tc>
        <w:tc>
          <w:tcPr>
            <w:tcW w:w="988" w:type="dxa"/>
          </w:tcPr>
          <w:p w14:paraId="2074921C"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834</w:t>
            </w:r>
          </w:p>
        </w:tc>
        <w:tc>
          <w:tcPr>
            <w:tcW w:w="987" w:type="dxa"/>
          </w:tcPr>
          <w:p w14:paraId="3315F50B"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916</w:t>
            </w:r>
          </w:p>
        </w:tc>
      </w:tr>
      <w:tr w:rsidR="001B52B9" w14:paraId="1E47702D"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32A30C57" w14:textId="77777777" w:rsidR="001B52B9" w:rsidRDefault="00A5303E">
            <w:pPr>
              <w:widowControl w:val="0"/>
              <w:spacing w:after="0" w:line="240" w:lineRule="auto"/>
              <w:ind w:left="720"/>
              <w:rPr>
                <w:lang w:val="en-US"/>
              </w:rPr>
            </w:pPr>
            <w:r>
              <w:rPr>
                <w:rFonts w:eastAsia="Calibri"/>
                <w:b w:val="0"/>
                <w:bCs w:val="0"/>
                <w:color w:val="FFFFFF"/>
                <w:lang w:val="en-US"/>
              </w:rPr>
              <w:t>Active rehabilitation (ha)</w:t>
            </w:r>
          </w:p>
        </w:tc>
        <w:tc>
          <w:tcPr>
            <w:tcW w:w="1112" w:type="dxa"/>
            <w:tcBorders>
              <w:left w:val="single" w:sz="12" w:space="0" w:color="000000"/>
            </w:tcBorders>
          </w:tcPr>
          <w:p w14:paraId="341D2884" w14:textId="77777777" w:rsidR="001B52B9" w:rsidRDefault="001B52B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p>
        </w:tc>
        <w:tc>
          <w:tcPr>
            <w:tcW w:w="988" w:type="dxa"/>
          </w:tcPr>
          <w:p w14:paraId="5DA831A8"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0</w:t>
            </w:r>
          </w:p>
        </w:tc>
        <w:tc>
          <w:tcPr>
            <w:tcW w:w="988" w:type="dxa"/>
          </w:tcPr>
          <w:p w14:paraId="1885F4D7"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8</w:t>
            </w:r>
          </w:p>
        </w:tc>
        <w:tc>
          <w:tcPr>
            <w:tcW w:w="988" w:type="dxa"/>
          </w:tcPr>
          <w:p w14:paraId="660EAAC7"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7.5</w:t>
            </w:r>
          </w:p>
        </w:tc>
        <w:tc>
          <w:tcPr>
            <w:tcW w:w="987" w:type="dxa"/>
          </w:tcPr>
          <w:p w14:paraId="5BBA89DB"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53.7</w:t>
            </w:r>
          </w:p>
        </w:tc>
      </w:tr>
      <w:tr w:rsidR="001B52B9" w14:paraId="094CD902"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35A72B1E" w14:textId="77777777" w:rsidR="001B52B9" w:rsidRDefault="00A5303E">
            <w:pPr>
              <w:widowControl w:val="0"/>
              <w:spacing w:after="0" w:line="240" w:lineRule="auto"/>
              <w:ind w:left="720"/>
              <w:rPr>
                <w:lang w:val="en-US"/>
              </w:rPr>
            </w:pPr>
            <w:r>
              <w:rPr>
                <w:rFonts w:eastAsia="Calibri"/>
                <w:b w:val="0"/>
                <w:bCs w:val="0"/>
                <w:color w:val="FFFFFF"/>
                <w:lang w:val="en-US"/>
              </w:rPr>
              <w:t>Completed Rehabilitation (ha)</w:t>
            </w:r>
          </w:p>
        </w:tc>
        <w:tc>
          <w:tcPr>
            <w:tcW w:w="1112" w:type="dxa"/>
            <w:tcBorders>
              <w:left w:val="single" w:sz="12" w:space="0" w:color="000000"/>
            </w:tcBorders>
          </w:tcPr>
          <w:p w14:paraId="692DDD49"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p>
        </w:tc>
        <w:tc>
          <w:tcPr>
            <w:tcW w:w="988" w:type="dxa"/>
          </w:tcPr>
          <w:p w14:paraId="1F8F2CFD"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8" w:type="dxa"/>
          </w:tcPr>
          <w:p w14:paraId="52BD95DD"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8" w:type="dxa"/>
          </w:tcPr>
          <w:p w14:paraId="4E2B22B7"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7" w:type="dxa"/>
          </w:tcPr>
          <w:p w14:paraId="67DFA1BE"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r>
      <w:tr w:rsidR="001B52B9" w14:paraId="6A5AD627"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bottom w:val="single" w:sz="12" w:space="0" w:color="000000"/>
              <w:right w:val="single" w:sz="12" w:space="0" w:color="000000"/>
            </w:tcBorders>
            <w:shd w:val="clear" w:color="auto" w:fill="D9D9D9" w:themeFill="background1" w:themeFillShade="D9"/>
          </w:tcPr>
          <w:p w14:paraId="642DD32D" w14:textId="77777777" w:rsidR="001B52B9" w:rsidRDefault="00A5303E">
            <w:pPr>
              <w:widowControl w:val="0"/>
              <w:spacing w:after="0" w:line="240" w:lineRule="auto"/>
              <w:ind w:left="720"/>
              <w:rPr>
                <w:b w:val="0"/>
                <w:lang w:val="en-US"/>
              </w:rPr>
            </w:pPr>
            <w:r>
              <w:rPr>
                <w:rFonts w:eastAsia="Calibri"/>
                <w:bCs w:val="0"/>
                <w:color w:val="FFFFFF"/>
                <w:lang w:val="en-US"/>
              </w:rPr>
              <w:t>Rehab % of footprint</w:t>
            </w:r>
          </w:p>
        </w:tc>
        <w:tc>
          <w:tcPr>
            <w:tcW w:w="1112" w:type="dxa"/>
            <w:tcBorders>
              <w:left w:val="single" w:sz="12" w:space="0" w:color="000000"/>
              <w:bottom w:val="single" w:sz="12" w:space="0" w:color="000000"/>
            </w:tcBorders>
          </w:tcPr>
          <w:p w14:paraId="4D0B610E" w14:textId="77777777" w:rsidR="001B52B9" w:rsidRDefault="001B52B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p>
        </w:tc>
        <w:tc>
          <w:tcPr>
            <w:tcW w:w="988" w:type="dxa"/>
            <w:tcBorders>
              <w:bottom w:val="single" w:sz="12" w:space="0" w:color="000000"/>
            </w:tcBorders>
          </w:tcPr>
          <w:p w14:paraId="48972BA7"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eastAsia="Calibri" w:cs="Calibri"/>
                <w:b/>
                <w:bCs/>
              </w:rPr>
              <w:t>0</w:t>
            </w:r>
          </w:p>
        </w:tc>
        <w:tc>
          <w:tcPr>
            <w:tcW w:w="988" w:type="dxa"/>
            <w:tcBorders>
              <w:bottom w:val="single" w:sz="12" w:space="0" w:color="000000"/>
            </w:tcBorders>
          </w:tcPr>
          <w:p w14:paraId="6A729024"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0</w:t>
            </w:r>
          </w:p>
        </w:tc>
        <w:tc>
          <w:tcPr>
            <w:tcW w:w="988" w:type="dxa"/>
            <w:tcBorders>
              <w:bottom w:val="single" w:sz="12" w:space="0" w:color="000000"/>
            </w:tcBorders>
          </w:tcPr>
          <w:p w14:paraId="48109330"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0.8%</w:t>
            </w:r>
          </w:p>
        </w:tc>
        <w:tc>
          <w:tcPr>
            <w:tcW w:w="987" w:type="dxa"/>
            <w:tcBorders>
              <w:bottom w:val="single" w:sz="12" w:space="0" w:color="000000"/>
            </w:tcBorders>
          </w:tcPr>
          <w:p w14:paraId="3EEB77AC"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5.5%</w:t>
            </w:r>
          </w:p>
        </w:tc>
      </w:tr>
      <w:tr w:rsidR="001B52B9" w14:paraId="59A57CB9"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top w:val="single" w:sz="12" w:space="0" w:color="000000"/>
              <w:left w:val="single" w:sz="12" w:space="0" w:color="000000"/>
              <w:right w:val="single" w:sz="12" w:space="0" w:color="000000"/>
            </w:tcBorders>
            <w:shd w:val="clear" w:color="auto" w:fill="BFBFBF" w:themeFill="background1" w:themeFillShade="BF"/>
          </w:tcPr>
          <w:p w14:paraId="39D679C0" w14:textId="77777777" w:rsidR="001B52B9" w:rsidRDefault="00A5303E">
            <w:pPr>
              <w:widowControl w:val="0"/>
              <w:spacing w:after="0" w:line="240" w:lineRule="auto"/>
              <w:ind w:left="61"/>
              <w:rPr>
                <w:lang w:val="en-US"/>
              </w:rPr>
            </w:pPr>
            <w:r>
              <w:rPr>
                <w:rFonts w:eastAsia="Calibri"/>
                <w:b w:val="0"/>
                <w:bCs w:val="0"/>
                <w:color w:val="FFFFFF"/>
                <w:lang w:val="en-US"/>
              </w:rPr>
              <w:t>Bengalla</w:t>
            </w:r>
          </w:p>
        </w:tc>
        <w:tc>
          <w:tcPr>
            <w:tcW w:w="1112" w:type="dxa"/>
            <w:tcBorders>
              <w:top w:val="single" w:sz="12" w:space="0" w:color="000000"/>
              <w:left w:val="single" w:sz="12" w:space="0" w:color="000000"/>
            </w:tcBorders>
            <w:shd w:val="clear" w:color="auto" w:fill="BFBFBF" w:themeFill="background1" w:themeFillShade="BF"/>
          </w:tcPr>
          <w:p w14:paraId="74097D95"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2016</w:t>
            </w:r>
          </w:p>
        </w:tc>
        <w:tc>
          <w:tcPr>
            <w:tcW w:w="988" w:type="dxa"/>
            <w:tcBorders>
              <w:top w:val="single" w:sz="12" w:space="0" w:color="000000"/>
            </w:tcBorders>
            <w:shd w:val="clear" w:color="auto" w:fill="BFBFBF" w:themeFill="background1" w:themeFillShade="BF"/>
          </w:tcPr>
          <w:p w14:paraId="2B23BE3B"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eastAsia="Calibri" w:cs="Calibri"/>
                <w:b/>
                <w:bCs/>
              </w:rPr>
              <w:t>2017</w:t>
            </w:r>
          </w:p>
        </w:tc>
        <w:tc>
          <w:tcPr>
            <w:tcW w:w="988" w:type="dxa"/>
            <w:tcBorders>
              <w:top w:val="single" w:sz="12" w:space="0" w:color="000000"/>
            </w:tcBorders>
            <w:shd w:val="clear" w:color="auto" w:fill="BFBFBF" w:themeFill="background1" w:themeFillShade="BF"/>
          </w:tcPr>
          <w:p w14:paraId="1545B614"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2018</w:t>
            </w:r>
          </w:p>
        </w:tc>
        <w:tc>
          <w:tcPr>
            <w:tcW w:w="988" w:type="dxa"/>
            <w:tcBorders>
              <w:top w:val="single" w:sz="12" w:space="0" w:color="000000"/>
            </w:tcBorders>
            <w:shd w:val="clear" w:color="auto" w:fill="BFBFBF" w:themeFill="background1" w:themeFillShade="BF"/>
          </w:tcPr>
          <w:p w14:paraId="2E66CC2C"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2019</w:t>
            </w:r>
          </w:p>
        </w:tc>
        <w:tc>
          <w:tcPr>
            <w:tcW w:w="987" w:type="dxa"/>
            <w:tcBorders>
              <w:top w:val="single" w:sz="12" w:space="0" w:color="000000"/>
            </w:tcBorders>
            <w:shd w:val="clear" w:color="auto" w:fill="BFBFBF" w:themeFill="background1" w:themeFillShade="BF"/>
          </w:tcPr>
          <w:p w14:paraId="38B38296"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2020</w:t>
            </w:r>
          </w:p>
        </w:tc>
      </w:tr>
      <w:tr w:rsidR="001B52B9" w14:paraId="2B8D5873"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3CAEA2F1" w14:textId="77777777" w:rsidR="001B52B9" w:rsidRDefault="00A5303E">
            <w:pPr>
              <w:widowControl w:val="0"/>
              <w:spacing w:after="0" w:line="240" w:lineRule="auto"/>
              <w:ind w:left="720"/>
              <w:rPr>
                <w:lang w:val="en-US"/>
              </w:rPr>
            </w:pPr>
            <w:r>
              <w:rPr>
                <w:rFonts w:eastAsia="Calibri"/>
                <w:b w:val="0"/>
                <w:bCs w:val="0"/>
                <w:color w:val="FFFFFF"/>
                <w:lang w:val="en-US"/>
              </w:rPr>
              <w:t>Mine footprint (ha)</w:t>
            </w:r>
          </w:p>
        </w:tc>
        <w:tc>
          <w:tcPr>
            <w:tcW w:w="1112" w:type="dxa"/>
            <w:tcBorders>
              <w:left w:val="single" w:sz="12" w:space="0" w:color="000000"/>
            </w:tcBorders>
          </w:tcPr>
          <w:p w14:paraId="12ADDA4F"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986</w:t>
            </w:r>
          </w:p>
        </w:tc>
        <w:tc>
          <w:tcPr>
            <w:tcW w:w="988" w:type="dxa"/>
          </w:tcPr>
          <w:p w14:paraId="329CCB9D"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1122</w:t>
            </w:r>
          </w:p>
        </w:tc>
        <w:tc>
          <w:tcPr>
            <w:tcW w:w="988" w:type="dxa"/>
          </w:tcPr>
          <w:p w14:paraId="443C0161"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1168</w:t>
            </w:r>
          </w:p>
        </w:tc>
        <w:tc>
          <w:tcPr>
            <w:tcW w:w="988" w:type="dxa"/>
          </w:tcPr>
          <w:p w14:paraId="4D0DBAAF"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1202</w:t>
            </w:r>
          </w:p>
        </w:tc>
        <w:tc>
          <w:tcPr>
            <w:tcW w:w="987" w:type="dxa"/>
          </w:tcPr>
          <w:p w14:paraId="22BF9A40" w14:textId="77777777" w:rsidR="001B52B9" w:rsidRDefault="001B52B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p>
        </w:tc>
      </w:tr>
      <w:tr w:rsidR="001B52B9" w14:paraId="25EB7C37"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68870D64" w14:textId="77777777" w:rsidR="001B52B9" w:rsidRDefault="00A5303E">
            <w:pPr>
              <w:widowControl w:val="0"/>
              <w:spacing w:after="0" w:line="240" w:lineRule="auto"/>
              <w:ind w:left="720"/>
              <w:rPr>
                <w:lang w:val="en-US"/>
              </w:rPr>
            </w:pPr>
            <w:r>
              <w:rPr>
                <w:rFonts w:eastAsia="Calibri"/>
                <w:b w:val="0"/>
                <w:bCs w:val="0"/>
                <w:color w:val="FFFFFF"/>
                <w:lang w:val="en-US"/>
              </w:rPr>
              <w:t>Active disturbance (ha)</w:t>
            </w:r>
          </w:p>
        </w:tc>
        <w:tc>
          <w:tcPr>
            <w:tcW w:w="1112" w:type="dxa"/>
            <w:tcBorders>
              <w:left w:val="single" w:sz="12" w:space="0" w:color="000000"/>
            </w:tcBorders>
          </w:tcPr>
          <w:p w14:paraId="20199876"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779</w:t>
            </w:r>
          </w:p>
        </w:tc>
        <w:tc>
          <w:tcPr>
            <w:tcW w:w="988" w:type="dxa"/>
          </w:tcPr>
          <w:p w14:paraId="10FAA642"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893</w:t>
            </w:r>
          </w:p>
        </w:tc>
        <w:tc>
          <w:tcPr>
            <w:tcW w:w="988" w:type="dxa"/>
          </w:tcPr>
          <w:p w14:paraId="7AC8FF13"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935</w:t>
            </w:r>
          </w:p>
        </w:tc>
        <w:tc>
          <w:tcPr>
            <w:tcW w:w="988" w:type="dxa"/>
          </w:tcPr>
          <w:p w14:paraId="0BEE7896"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955</w:t>
            </w:r>
          </w:p>
        </w:tc>
        <w:tc>
          <w:tcPr>
            <w:tcW w:w="987" w:type="dxa"/>
          </w:tcPr>
          <w:p w14:paraId="5694CF8F"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p>
        </w:tc>
      </w:tr>
      <w:tr w:rsidR="001B52B9" w14:paraId="4EDC4DAB"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56090699" w14:textId="77777777" w:rsidR="001B52B9" w:rsidRDefault="00A5303E">
            <w:pPr>
              <w:widowControl w:val="0"/>
              <w:spacing w:after="0" w:line="240" w:lineRule="auto"/>
              <w:ind w:left="720"/>
              <w:rPr>
                <w:lang w:val="en-US"/>
              </w:rPr>
            </w:pPr>
            <w:r>
              <w:rPr>
                <w:rFonts w:eastAsia="Calibri"/>
                <w:b w:val="0"/>
                <w:bCs w:val="0"/>
                <w:color w:val="FFFFFF"/>
                <w:lang w:val="en-US"/>
              </w:rPr>
              <w:t>Active rehabilitation (ha)</w:t>
            </w:r>
          </w:p>
        </w:tc>
        <w:tc>
          <w:tcPr>
            <w:tcW w:w="1112" w:type="dxa"/>
            <w:tcBorders>
              <w:left w:val="single" w:sz="12" w:space="0" w:color="000000"/>
            </w:tcBorders>
          </w:tcPr>
          <w:p w14:paraId="334EF366"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207</w:t>
            </w:r>
          </w:p>
        </w:tc>
        <w:tc>
          <w:tcPr>
            <w:tcW w:w="988" w:type="dxa"/>
          </w:tcPr>
          <w:p w14:paraId="76DC6565"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229</w:t>
            </w:r>
          </w:p>
        </w:tc>
        <w:tc>
          <w:tcPr>
            <w:tcW w:w="988" w:type="dxa"/>
          </w:tcPr>
          <w:p w14:paraId="002ACFA1"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233</w:t>
            </w:r>
          </w:p>
        </w:tc>
        <w:tc>
          <w:tcPr>
            <w:tcW w:w="988" w:type="dxa"/>
          </w:tcPr>
          <w:p w14:paraId="056BF163"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247</w:t>
            </w:r>
          </w:p>
        </w:tc>
        <w:tc>
          <w:tcPr>
            <w:tcW w:w="987" w:type="dxa"/>
          </w:tcPr>
          <w:p w14:paraId="191828A7" w14:textId="77777777" w:rsidR="001B52B9" w:rsidRDefault="001B52B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p>
        </w:tc>
      </w:tr>
      <w:tr w:rsidR="001B52B9" w14:paraId="1454C467"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749C7937" w14:textId="77777777" w:rsidR="001B52B9" w:rsidRDefault="00A5303E">
            <w:pPr>
              <w:widowControl w:val="0"/>
              <w:spacing w:after="0" w:line="240" w:lineRule="auto"/>
              <w:ind w:left="720"/>
              <w:rPr>
                <w:lang w:val="en-US"/>
              </w:rPr>
            </w:pPr>
            <w:r>
              <w:rPr>
                <w:rFonts w:eastAsia="Calibri"/>
                <w:b w:val="0"/>
                <w:bCs w:val="0"/>
                <w:color w:val="FFFFFF"/>
                <w:lang w:val="en-US"/>
              </w:rPr>
              <w:t>Completed Rehabilitation (ha)</w:t>
            </w:r>
          </w:p>
        </w:tc>
        <w:tc>
          <w:tcPr>
            <w:tcW w:w="1112" w:type="dxa"/>
            <w:tcBorders>
              <w:left w:val="single" w:sz="12" w:space="0" w:color="000000"/>
            </w:tcBorders>
          </w:tcPr>
          <w:p w14:paraId="31E31E47"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8" w:type="dxa"/>
          </w:tcPr>
          <w:p w14:paraId="710D67D3"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8" w:type="dxa"/>
          </w:tcPr>
          <w:p w14:paraId="2A550848"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8" w:type="dxa"/>
          </w:tcPr>
          <w:p w14:paraId="1B2B8B19"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7" w:type="dxa"/>
          </w:tcPr>
          <w:p w14:paraId="708408DC"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p>
        </w:tc>
      </w:tr>
      <w:tr w:rsidR="001B52B9" w14:paraId="560FFCBB"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bottom w:val="single" w:sz="12" w:space="0" w:color="000000"/>
              <w:right w:val="single" w:sz="12" w:space="0" w:color="000000"/>
            </w:tcBorders>
            <w:shd w:val="clear" w:color="auto" w:fill="D9D9D9" w:themeFill="background1" w:themeFillShade="D9"/>
          </w:tcPr>
          <w:p w14:paraId="12FF6D3A" w14:textId="77777777" w:rsidR="001B52B9" w:rsidRDefault="00A5303E">
            <w:pPr>
              <w:widowControl w:val="0"/>
              <w:spacing w:after="0" w:line="240" w:lineRule="auto"/>
              <w:ind w:left="720"/>
              <w:rPr>
                <w:b w:val="0"/>
                <w:lang w:val="en-US"/>
              </w:rPr>
            </w:pPr>
            <w:r>
              <w:rPr>
                <w:rFonts w:eastAsia="Calibri"/>
                <w:bCs w:val="0"/>
                <w:color w:val="FFFFFF"/>
                <w:lang w:val="en-US"/>
              </w:rPr>
              <w:t>Rehab % of footprint</w:t>
            </w:r>
          </w:p>
        </w:tc>
        <w:tc>
          <w:tcPr>
            <w:tcW w:w="1112" w:type="dxa"/>
            <w:tcBorders>
              <w:left w:val="single" w:sz="12" w:space="0" w:color="000000"/>
              <w:bottom w:val="single" w:sz="12" w:space="0" w:color="000000"/>
            </w:tcBorders>
          </w:tcPr>
          <w:p w14:paraId="6C0DFA52"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20.9%</w:t>
            </w:r>
          </w:p>
        </w:tc>
        <w:tc>
          <w:tcPr>
            <w:tcW w:w="988" w:type="dxa"/>
            <w:tcBorders>
              <w:bottom w:val="single" w:sz="12" w:space="0" w:color="000000"/>
            </w:tcBorders>
          </w:tcPr>
          <w:p w14:paraId="6F491B17"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eastAsia="Calibri" w:cs="Calibri"/>
                <w:b/>
                <w:bCs/>
              </w:rPr>
              <w:t>20.4%</w:t>
            </w:r>
          </w:p>
        </w:tc>
        <w:tc>
          <w:tcPr>
            <w:tcW w:w="988" w:type="dxa"/>
            <w:tcBorders>
              <w:bottom w:val="single" w:sz="12" w:space="0" w:color="000000"/>
            </w:tcBorders>
          </w:tcPr>
          <w:p w14:paraId="62A13292"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19.9%</w:t>
            </w:r>
          </w:p>
        </w:tc>
        <w:tc>
          <w:tcPr>
            <w:tcW w:w="988" w:type="dxa"/>
            <w:tcBorders>
              <w:bottom w:val="single" w:sz="12" w:space="0" w:color="000000"/>
            </w:tcBorders>
          </w:tcPr>
          <w:p w14:paraId="5D1DF68F"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20.5%</w:t>
            </w:r>
          </w:p>
        </w:tc>
        <w:tc>
          <w:tcPr>
            <w:tcW w:w="987" w:type="dxa"/>
            <w:tcBorders>
              <w:bottom w:val="single" w:sz="12" w:space="0" w:color="000000"/>
            </w:tcBorders>
          </w:tcPr>
          <w:p w14:paraId="6188BEE3" w14:textId="77777777" w:rsidR="001B52B9" w:rsidRDefault="001B52B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p>
        </w:tc>
      </w:tr>
      <w:tr w:rsidR="001B52B9" w14:paraId="00873909"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top w:val="single" w:sz="12" w:space="0" w:color="000000"/>
              <w:left w:val="single" w:sz="12" w:space="0" w:color="000000"/>
              <w:right w:val="single" w:sz="12" w:space="0" w:color="000000"/>
            </w:tcBorders>
            <w:shd w:val="clear" w:color="auto" w:fill="BFBFBF" w:themeFill="background1" w:themeFillShade="BF"/>
          </w:tcPr>
          <w:p w14:paraId="3E5F6BD9" w14:textId="77777777" w:rsidR="001B52B9" w:rsidRDefault="00A5303E">
            <w:pPr>
              <w:widowControl w:val="0"/>
              <w:spacing w:after="0" w:line="240" w:lineRule="auto"/>
              <w:ind w:left="161"/>
              <w:rPr>
                <w:lang w:val="en-US"/>
              </w:rPr>
            </w:pPr>
            <w:r>
              <w:rPr>
                <w:rFonts w:eastAsia="Calibri"/>
                <w:b w:val="0"/>
                <w:bCs w:val="0"/>
                <w:color w:val="FFFFFF"/>
                <w:lang w:val="en-US"/>
              </w:rPr>
              <w:t>Muswellbrook mine</w:t>
            </w:r>
          </w:p>
        </w:tc>
        <w:tc>
          <w:tcPr>
            <w:tcW w:w="1112" w:type="dxa"/>
            <w:tcBorders>
              <w:top w:val="single" w:sz="12" w:space="0" w:color="000000"/>
              <w:left w:val="single" w:sz="12" w:space="0" w:color="000000"/>
            </w:tcBorders>
            <w:shd w:val="clear" w:color="auto" w:fill="BFBFBF" w:themeFill="background1" w:themeFillShade="BF"/>
          </w:tcPr>
          <w:p w14:paraId="6DB93C78"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2016</w:t>
            </w:r>
          </w:p>
        </w:tc>
        <w:tc>
          <w:tcPr>
            <w:tcW w:w="988" w:type="dxa"/>
            <w:tcBorders>
              <w:top w:val="single" w:sz="12" w:space="0" w:color="000000"/>
            </w:tcBorders>
            <w:shd w:val="clear" w:color="auto" w:fill="BFBFBF" w:themeFill="background1" w:themeFillShade="BF"/>
          </w:tcPr>
          <w:p w14:paraId="7651C339"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eastAsia="Calibri" w:cs="Calibri"/>
                <w:b/>
                <w:bCs/>
              </w:rPr>
              <w:t>2017</w:t>
            </w:r>
          </w:p>
        </w:tc>
        <w:tc>
          <w:tcPr>
            <w:tcW w:w="988" w:type="dxa"/>
            <w:tcBorders>
              <w:top w:val="single" w:sz="12" w:space="0" w:color="000000"/>
            </w:tcBorders>
            <w:shd w:val="clear" w:color="auto" w:fill="BFBFBF" w:themeFill="background1" w:themeFillShade="BF"/>
          </w:tcPr>
          <w:p w14:paraId="39BB56D2"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2018</w:t>
            </w:r>
          </w:p>
        </w:tc>
        <w:tc>
          <w:tcPr>
            <w:tcW w:w="988" w:type="dxa"/>
            <w:tcBorders>
              <w:top w:val="single" w:sz="12" w:space="0" w:color="000000"/>
            </w:tcBorders>
            <w:shd w:val="clear" w:color="auto" w:fill="BFBFBF" w:themeFill="background1" w:themeFillShade="BF"/>
          </w:tcPr>
          <w:p w14:paraId="62FE8C88"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2019</w:t>
            </w:r>
          </w:p>
        </w:tc>
        <w:tc>
          <w:tcPr>
            <w:tcW w:w="987" w:type="dxa"/>
            <w:tcBorders>
              <w:top w:val="single" w:sz="12" w:space="0" w:color="000000"/>
            </w:tcBorders>
            <w:shd w:val="clear" w:color="auto" w:fill="BFBFBF" w:themeFill="background1" w:themeFillShade="BF"/>
          </w:tcPr>
          <w:p w14:paraId="5A6219DE"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2020</w:t>
            </w:r>
          </w:p>
        </w:tc>
      </w:tr>
      <w:tr w:rsidR="001B52B9" w14:paraId="0A13AD6E"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5EA3CA83" w14:textId="77777777" w:rsidR="001B52B9" w:rsidRDefault="00A5303E">
            <w:pPr>
              <w:widowControl w:val="0"/>
              <w:spacing w:after="0" w:line="240" w:lineRule="auto"/>
              <w:ind w:left="720"/>
              <w:rPr>
                <w:lang w:val="en-US"/>
              </w:rPr>
            </w:pPr>
            <w:r>
              <w:rPr>
                <w:rFonts w:eastAsia="Calibri"/>
                <w:b w:val="0"/>
                <w:bCs w:val="0"/>
                <w:color w:val="FFFFFF"/>
                <w:lang w:val="en-US"/>
              </w:rPr>
              <w:t>Mine footprint (ha)</w:t>
            </w:r>
          </w:p>
        </w:tc>
        <w:tc>
          <w:tcPr>
            <w:tcW w:w="1112" w:type="dxa"/>
            <w:tcBorders>
              <w:left w:val="single" w:sz="12" w:space="0" w:color="000000"/>
            </w:tcBorders>
            <w:vAlign w:val="center"/>
          </w:tcPr>
          <w:p w14:paraId="4C9CDEEE"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1788</w:t>
            </w:r>
          </w:p>
        </w:tc>
        <w:tc>
          <w:tcPr>
            <w:tcW w:w="988" w:type="dxa"/>
            <w:vAlign w:val="center"/>
          </w:tcPr>
          <w:p w14:paraId="39211F83"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1788</w:t>
            </w:r>
          </w:p>
        </w:tc>
        <w:tc>
          <w:tcPr>
            <w:tcW w:w="988" w:type="dxa"/>
            <w:vAlign w:val="center"/>
          </w:tcPr>
          <w:p w14:paraId="46C2B044"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1788</w:t>
            </w:r>
          </w:p>
        </w:tc>
        <w:tc>
          <w:tcPr>
            <w:tcW w:w="988" w:type="dxa"/>
            <w:vAlign w:val="center"/>
          </w:tcPr>
          <w:p w14:paraId="35F10C14"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1858</w:t>
            </w:r>
          </w:p>
        </w:tc>
        <w:tc>
          <w:tcPr>
            <w:tcW w:w="987" w:type="dxa"/>
            <w:vAlign w:val="center"/>
          </w:tcPr>
          <w:p w14:paraId="7B6919E7"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1858</w:t>
            </w:r>
          </w:p>
        </w:tc>
      </w:tr>
      <w:tr w:rsidR="001B52B9" w14:paraId="7AC1D9F2"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2FF107D7" w14:textId="77777777" w:rsidR="001B52B9" w:rsidRDefault="00A5303E">
            <w:pPr>
              <w:widowControl w:val="0"/>
              <w:spacing w:after="0" w:line="240" w:lineRule="auto"/>
              <w:ind w:left="720"/>
              <w:rPr>
                <w:lang w:val="en-US"/>
              </w:rPr>
            </w:pPr>
            <w:r>
              <w:rPr>
                <w:rFonts w:eastAsia="Calibri"/>
                <w:b w:val="0"/>
                <w:bCs w:val="0"/>
                <w:color w:val="FFFFFF"/>
                <w:lang w:val="en-US"/>
              </w:rPr>
              <w:t>Active disturbance (ha)</w:t>
            </w:r>
          </w:p>
        </w:tc>
        <w:tc>
          <w:tcPr>
            <w:tcW w:w="1112" w:type="dxa"/>
            <w:tcBorders>
              <w:left w:val="single" w:sz="12" w:space="0" w:color="000000"/>
            </w:tcBorders>
            <w:vAlign w:val="center"/>
          </w:tcPr>
          <w:p w14:paraId="4CC68365"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ascii="Calibri-Bold" w:eastAsia="Calibri" w:hAnsi="Calibri-Bold" w:cs="Calibri-Bold"/>
                <w:bCs/>
              </w:rPr>
              <w:t>235.2</w:t>
            </w:r>
          </w:p>
        </w:tc>
        <w:tc>
          <w:tcPr>
            <w:tcW w:w="988" w:type="dxa"/>
            <w:vAlign w:val="center"/>
          </w:tcPr>
          <w:p w14:paraId="76AB8DAF"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ascii="Calibri-Bold" w:eastAsia="Calibri" w:hAnsi="Calibri-Bold" w:cs="Calibri-Bold"/>
                <w:bCs/>
              </w:rPr>
              <w:t>278.7</w:t>
            </w:r>
          </w:p>
        </w:tc>
        <w:tc>
          <w:tcPr>
            <w:tcW w:w="988" w:type="dxa"/>
            <w:vAlign w:val="center"/>
          </w:tcPr>
          <w:p w14:paraId="2E67642B"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rPr>
              <w:t>278.7</w:t>
            </w:r>
          </w:p>
        </w:tc>
        <w:tc>
          <w:tcPr>
            <w:tcW w:w="988" w:type="dxa"/>
            <w:vAlign w:val="center"/>
          </w:tcPr>
          <w:p w14:paraId="4F7A872F"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267.2</w:t>
            </w:r>
          </w:p>
        </w:tc>
        <w:tc>
          <w:tcPr>
            <w:tcW w:w="987" w:type="dxa"/>
            <w:vAlign w:val="center"/>
          </w:tcPr>
          <w:p w14:paraId="2AA0ED71"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257.2</w:t>
            </w:r>
          </w:p>
        </w:tc>
      </w:tr>
      <w:tr w:rsidR="001B52B9" w14:paraId="28B04EA1"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79D30735" w14:textId="77777777" w:rsidR="001B52B9" w:rsidRDefault="00A5303E">
            <w:pPr>
              <w:widowControl w:val="0"/>
              <w:spacing w:after="0" w:line="240" w:lineRule="auto"/>
              <w:ind w:left="720"/>
              <w:rPr>
                <w:lang w:val="en-US"/>
              </w:rPr>
            </w:pPr>
            <w:r>
              <w:rPr>
                <w:rFonts w:eastAsia="Calibri"/>
                <w:b w:val="0"/>
                <w:bCs w:val="0"/>
                <w:color w:val="FFFFFF"/>
                <w:lang w:val="en-US"/>
              </w:rPr>
              <w:t>Active rehabilitation (ha)</w:t>
            </w:r>
          </w:p>
        </w:tc>
        <w:tc>
          <w:tcPr>
            <w:tcW w:w="1112" w:type="dxa"/>
            <w:tcBorders>
              <w:left w:val="single" w:sz="12" w:space="0" w:color="000000"/>
            </w:tcBorders>
            <w:vAlign w:val="center"/>
          </w:tcPr>
          <w:p w14:paraId="2FC8647B"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ascii="Calibri-Bold" w:eastAsia="Calibri" w:hAnsi="Calibri-Bold" w:cs="Calibri-Bold"/>
                <w:bCs/>
              </w:rPr>
              <w:t>377.5</w:t>
            </w:r>
          </w:p>
        </w:tc>
        <w:tc>
          <w:tcPr>
            <w:tcW w:w="988" w:type="dxa"/>
            <w:vAlign w:val="center"/>
          </w:tcPr>
          <w:p w14:paraId="35C38FA3"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ascii="Calibri-Bold" w:eastAsia="Calibri" w:hAnsi="Calibri-Bold" w:cs="Calibri-Bold"/>
                <w:bCs/>
              </w:rPr>
              <w:t>339.5</w:t>
            </w:r>
          </w:p>
        </w:tc>
        <w:tc>
          <w:tcPr>
            <w:tcW w:w="988" w:type="dxa"/>
            <w:vAlign w:val="center"/>
          </w:tcPr>
          <w:p w14:paraId="2A6A2899"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339.5</w:t>
            </w:r>
          </w:p>
        </w:tc>
        <w:tc>
          <w:tcPr>
            <w:tcW w:w="988" w:type="dxa"/>
            <w:vAlign w:val="center"/>
          </w:tcPr>
          <w:p w14:paraId="45A43AE4"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351</w:t>
            </w:r>
          </w:p>
        </w:tc>
        <w:tc>
          <w:tcPr>
            <w:tcW w:w="987" w:type="dxa"/>
            <w:vAlign w:val="center"/>
          </w:tcPr>
          <w:p w14:paraId="48741757"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361</w:t>
            </w:r>
          </w:p>
        </w:tc>
      </w:tr>
      <w:tr w:rsidR="001B52B9" w14:paraId="63E46239"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0EC55128" w14:textId="77777777" w:rsidR="001B52B9" w:rsidRDefault="00A5303E">
            <w:pPr>
              <w:widowControl w:val="0"/>
              <w:spacing w:after="0" w:line="240" w:lineRule="auto"/>
              <w:ind w:left="720"/>
              <w:rPr>
                <w:lang w:val="en-US"/>
              </w:rPr>
            </w:pPr>
            <w:r>
              <w:rPr>
                <w:rFonts w:eastAsia="Calibri"/>
                <w:b w:val="0"/>
                <w:bCs w:val="0"/>
                <w:color w:val="FFFFFF"/>
                <w:lang w:val="en-US"/>
              </w:rPr>
              <w:t>Completed Rehabilitation (ha)</w:t>
            </w:r>
          </w:p>
        </w:tc>
        <w:tc>
          <w:tcPr>
            <w:tcW w:w="1112" w:type="dxa"/>
            <w:tcBorders>
              <w:left w:val="single" w:sz="12" w:space="0" w:color="000000"/>
            </w:tcBorders>
            <w:vAlign w:val="center"/>
          </w:tcPr>
          <w:p w14:paraId="42C716C4"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8" w:type="dxa"/>
            <w:vAlign w:val="center"/>
          </w:tcPr>
          <w:p w14:paraId="6AC12F9F"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cs="Calibri"/>
                <w:bCs/>
              </w:rPr>
              <w:t>0</w:t>
            </w:r>
          </w:p>
        </w:tc>
        <w:tc>
          <w:tcPr>
            <w:tcW w:w="988" w:type="dxa"/>
            <w:vAlign w:val="center"/>
          </w:tcPr>
          <w:p w14:paraId="104CDF79"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8" w:type="dxa"/>
            <w:vAlign w:val="center"/>
          </w:tcPr>
          <w:p w14:paraId="7025F055"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7" w:type="dxa"/>
            <w:vAlign w:val="center"/>
          </w:tcPr>
          <w:p w14:paraId="7A81E2BD"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r>
      <w:tr w:rsidR="001B52B9" w14:paraId="11B4F765"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bottom w:val="single" w:sz="12" w:space="0" w:color="000000"/>
              <w:right w:val="single" w:sz="12" w:space="0" w:color="000000"/>
            </w:tcBorders>
            <w:shd w:val="clear" w:color="auto" w:fill="D9D9D9" w:themeFill="background1" w:themeFillShade="D9"/>
          </w:tcPr>
          <w:p w14:paraId="4B98FE65" w14:textId="77777777" w:rsidR="001B52B9" w:rsidRDefault="00A5303E">
            <w:pPr>
              <w:widowControl w:val="0"/>
              <w:spacing w:after="0" w:line="240" w:lineRule="auto"/>
              <w:ind w:left="720"/>
              <w:rPr>
                <w:b w:val="0"/>
                <w:lang w:val="en-US"/>
              </w:rPr>
            </w:pPr>
            <w:r>
              <w:rPr>
                <w:rFonts w:eastAsia="Calibri"/>
                <w:bCs w:val="0"/>
                <w:color w:val="FFFFFF"/>
                <w:lang w:val="en-US"/>
              </w:rPr>
              <w:t>Rehab % of footprint</w:t>
            </w:r>
          </w:p>
        </w:tc>
        <w:tc>
          <w:tcPr>
            <w:tcW w:w="1112" w:type="dxa"/>
            <w:tcBorders>
              <w:left w:val="single" w:sz="12" w:space="0" w:color="000000"/>
              <w:bottom w:val="single" w:sz="12" w:space="0" w:color="000000"/>
            </w:tcBorders>
          </w:tcPr>
          <w:p w14:paraId="476452CA"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21.6%</w:t>
            </w:r>
          </w:p>
        </w:tc>
        <w:tc>
          <w:tcPr>
            <w:tcW w:w="988" w:type="dxa"/>
            <w:tcBorders>
              <w:bottom w:val="single" w:sz="12" w:space="0" w:color="000000"/>
            </w:tcBorders>
          </w:tcPr>
          <w:p w14:paraId="6EC8F103"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eastAsia="Calibri" w:cs="Calibri"/>
                <w:b/>
                <w:bCs/>
              </w:rPr>
              <w:t>21.2%</w:t>
            </w:r>
          </w:p>
        </w:tc>
        <w:tc>
          <w:tcPr>
            <w:tcW w:w="988" w:type="dxa"/>
            <w:tcBorders>
              <w:bottom w:val="single" w:sz="12" w:space="0" w:color="000000"/>
            </w:tcBorders>
          </w:tcPr>
          <w:p w14:paraId="2DD2F3EE"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19.2%</w:t>
            </w:r>
          </w:p>
        </w:tc>
        <w:tc>
          <w:tcPr>
            <w:tcW w:w="988" w:type="dxa"/>
            <w:tcBorders>
              <w:bottom w:val="single" w:sz="12" w:space="0" w:color="000000"/>
            </w:tcBorders>
          </w:tcPr>
          <w:p w14:paraId="10E4C469"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19.2%</w:t>
            </w:r>
          </w:p>
        </w:tc>
        <w:tc>
          <w:tcPr>
            <w:tcW w:w="987" w:type="dxa"/>
            <w:tcBorders>
              <w:bottom w:val="single" w:sz="12" w:space="0" w:color="000000"/>
            </w:tcBorders>
          </w:tcPr>
          <w:p w14:paraId="334FA68B"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19.8%</w:t>
            </w:r>
          </w:p>
        </w:tc>
      </w:tr>
      <w:tr w:rsidR="001B52B9" w14:paraId="3E9CD589"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top w:val="single" w:sz="12" w:space="0" w:color="000000"/>
              <w:left w:val="single" w:sz="12" w:space="0" w:color="000000"/>
              <w:right w:val="single" w:sz="12" w:space="0" w:color="000000"/>
            </w:tcBorders>
            <w:shd w:val="clear" w:color="auto" w:fill="BFBFBF" w:themeFill="background1" w:themeFillShade="BF"/>
          </w:tcPr>
          <w:p w14:paraId="66838973" w14:textId="77777777" w:rsidR="001B52B9" w:rsidRDefault="00A5303E">
            <w:pPr>
              <w:widowControl w:val="0"/>
              <w:spacing w:after="0" w:line="240" w:lineRule="auto"/>
              <w:ind w:left="283"/>
              <w:rPr>
                <w:lang w:val="en-US"/>
              </w:rPr>
            </w:pPr>
            <w:r>
              <w:rPr>
                <w:rFonts w:eastAsia="Calibri"/>
                <w:b w:val="0"/>
                <w:bCs w:val="0"/>
                <w:color w:val="FFFFFF"/>
                <w:lang w:val="en-US"/>
              </w:rPr>
              <w:t>Mount Thorley Warkworth</w:t>
            </w:r>
          </w:p>
        </w:tc>
        <w:tc>
          <w:tcPr>
            <w:tcW w:w="1112" w:type="dxa"/>
            <w:tcBorders>
              <w:top w:val="single" w:sz="12" w:space="0" w:color="000000"/>
              <w:left w:val="single" w:sz="12" w:space="0" w:color="000000"/>
            </w:tcBorders>
            <w:shd w:val="clear" w:color="auto" w:fill="BFBFBF" w:themeFill="background1" w:themeFillShade="BF"/>
          </w:tcPr>
          <w:p w14:paraId="5F3CDD9D"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2016</w:t>
            </w:r>
          </w:p>
        </w:tc>
        <w:tc>
          <w:tcPr>
            <w:tcW w:w="988" w:type="dxa"/>
            <w:tcBorders>
              <w:top w:val="single" w:sz="12" w:space="0" w:color="000000"/>
            </w:tcBorders>
            <w:shd w:val="clear" w:color="auto" w:fill="BFBFBF" w:themeFill="background1" w:themeFillShade="BF"/>
          </w:tcPr>
          <w:p w14:paraId="3D0EABE6"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eastAsia="Calibri" w:cs="Calibri"/>
                <w:b/>
                <w:bCs/>
              </w:rPr>
              <w:t>2017</w:t>
            </w:r>
          </w:p>
        </w:tc>
        <w:tc>
          <w:tcPr>
            <w:tcW w:w="988" w:type="dxa"/>
            <w:tcBorders>
              <w:top w:val="single" w:sz="12" w:space="0" w:color="000000"/>
            </w:tcBorders>
            <w:shd w:val="clear" w:color="auto" w:fill="BFBFBF" w:themeFill="background1" w:themeFillShade="BF"/>
          </w:tcPr>
          <w:p w14:paraId="76E5648D"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2018</w:t>
            </w:r>
          </w:p>
        </w:tc>
        <w:tc>
          <w:tcPr>
            <w:tcW w:w="988" w:type="dxa"/>
            <w:tcBorders>
              <w:top w:val="single" w:sz="12" w:space="0" w:color="000000"/>
            </w:tcBorders>
            <w:shd w:val="clear" w:color="auto" w:fill="BFBFBF" w:themeFill="background1" w:themeFillShade="BF"/>
          </w:tcPr>
          <w:p w14:paraId="594F78CC"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2019</w:t>
            </w:r>
          </w:p>
        </w:tc>
        <w:tc>
          <w:tcPr>
            <w:tcW w:w="987" w:type="dxa"/>
            <w:tcBorders>
              <w:top w:val="single" w:sz="12" w:space="0" w:color="000000"/>
            </w:tcBorders>
            <w:shd w:val="clear" w:color="auto" w:fill="BFBFBF" w:themeFill="background1" w:themeFillShade="BF"/>
          </w:tcPr>
          <w:p w14:paraId="58DA0273"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p>
        </w:tc>
      </w:tr>
      <w:tr w:rsidR="001B52B9" w14:paraId="27B8342A"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21B8C7DB" w14:textId="77777777" w:rsidR="001B52B9" w:rsidRDefault="00A5303E">
            <w:pPr>
              <w:widowControl w:val="0"/>
              <w:spacing w:after="0" w:line="240" w:lineRule="auto"/>
              <w:ind w:left="720"/>
              <w:rPr>
                <w:lang w:val="en-US"/>
              </w:rPr>
            </w:pPr>
            <w:r>
              <w:rPr>
                <w:rFonts w:eastAsia="Calibri"/>
                <w:b w:val="0"/>
                <w:bCs w:val="0"/>
                <w:color w:val="FFFFFF"/>
                <w:lang w:val="en-US"/>
              </w:rPr>
              <w:t>Mine footprint (ha)</w:t>
            </w:r>
          </w:p>
        </w:tc>
        <w:tc>
          <w:tcPr>
            <w:tcW w:w="1112" w:type="dxa"/>
            <w:tcBorders>
              <w:left w:val="single" w:sz="12" w:space="0" w:color="000000"/>
            </w:tcBorders>
          </w:tcPr>
          <w:p w14:paraId="48D7E34A"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3,608.7</w:t>
            </w:r>
          </w:p>
        </w:tc>
        <w:tc>
          <w:tcPr>
            <w:tcW w:w="988" w:type="dxa"/>
          </w:tcPr>
          <w:p w14:paraId="1D3779B5"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eastAsia="Calibri" w:cs="Calibri"/>
                <w:bCs/>
              </w:rPr>
              <w:t>3,659.7</w:t>
            </w:r>
          </w:p>
        </w:tc>
        <w:tc>
          <w:tcPr>
            <w:tcW w:w="988" w:type="dxa"/>
          </w:tcPr>
          <w:p w14:paraId="7444D6D6"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3,879.6</w:t>
            </w:r>
          </w:p>
        </w:tc>
        <w:tc>
          <w:tcPr>
            <w:tcW w:w="988" w:type="dxa"/>
          </w:tcPr>
          <w:p w14:paraId="0FF2D7E4"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3,881.2</w:t>
            </w:r>
          </w:p>
        </w:tc>
        <w:tc>
          <w:tcPr>
            <w:tcW w:w="987" w:type="dxa"/>
          </w:tcPr>
          <w:p w14:paraId="7250FAF3" w14:textId="77777777" w:rsidR="001B52B9" w:rsidRDefault="001B52B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p>
        </w:tc>
      </w:tr>
      <w:tr w:rsidR="001B52B9" w14:paraId="5B6B1E08"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60B5FAB5" w14:textId="77777777" w:rsidR="001B52B9" w:rsidRDefault="00A5303E">
            <w:pPr>
              <w:widowControl w:val="0"/>
              <w:spacing w:after="0" w:line="240" w:lineRule="auto"/>
              <w:ind w:left="720"/>
              <w:rPr>
                <w:lang w:val="en-US"/>
              </w:rPr>
            </w:pPr>
            <w:r>
              <w:rPr>
                <w:rFonts w:eastAsia="Calibri"/>
                <w:b w:val="0"/>
                <w:bCs w:val="0"/>
                <w:color w:val="FFFFFF"/>
                <w:lang w:val="en-US"/>
              </w:rPr>
              <w:t>Active disturbance (ha)</w:t>
            </w:r>
          </w:p>
        </w:tc>
        <w:tc>
          <w:tcPr>
            <w:tcW w:w="1112" w:type="dxa"/>
            <w:tcBorders>
              <w:left w:val="single" w:sz="12" w:space="0" w:color="000000"/>
            </w:tcBorders>
          </w:tcPr>
          <w:p w14:paraId="405FEE96"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2,499.5</w:t>
            </w:r>
          </w:p>
        </w:tc>
        <w:tc>
          <w:tcPr>
            <w:tcW w:w="988" w:type="dxa"/>
          </w:tcPr>
          <w:p w14:paraId="3B50BB7F"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eastAsia="Calibri" w:cs="Calibri"/>
                <w:bCs/>
              </w:rPr>
              <w:t>2,468</w:t>
            </w:r>
          </w:p>
        </w:tc>
        <w:tc>
          <w:tcPr>
            <w:tcW w:w="988" w:type="dxa"/>
          </w:tcPr>
          <w:p w14:paraId="2335CA29"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2,546.5</w:t>
            </w:r>
          </w:p>
        </w:tc>
        <w:tc>
          <w:tcPr>
            <w:tcW w:w="988" w:type="dxa"/>
          </w:tcPr>
          <w:p w14:paraId="61994442"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2,579.8</w:t>
            </w:r>
          </w:p>
        </w:tc>
        <w:tc>
          <w:tcPr>
            <w:tcW w:w="987" w:type="dxa"/>
          </w:tcPr>
          <w:p w14:paraId="4FDC8F1D"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p>
        </w:tc>
      </w:tr>
      <w:tr w:rsidR="001B52B9" w14:paraId="3E42ABD1"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376BF239" w14:textId="77777777" w:rsidR="001B52B9" w:rsidRDefault="00A5303E">
            <w:pPr>
              <w:widowControl w:val="0"/>
              <w:spacing w:after="0" w:line="240" w:lineRule="auto"/>
              <w:ind w:left="720"/>
              <w:rPr>
                <w:lang w:val="en-US"/>
              </w:rPr>
            </w:pPr>
            <w:r>
              <w:rPr>
                <w:rFonts w:eastAsia="Calibri"/>
                <w:b w:val="0"/>
                <w:bCs w:val="0"/>
                <w:color w:val="FFFFFF"/>
                <w:lang w:val="en-US"/>
              </w:rPr>
              <w:t>Active rehabilitation (ha)</w:t>
            </w:r>
          </w:p>
        </w:tc>
        <w:tc>
          <w:tcPr>
            <w:tcW w:w="1112" w:type="dxa"/>
            <w:tcBorders>
              <w:left w:val="single" w:sz="12" w:space="0" w:color="000000"/>
            </w:tcBorders>
          </w:tcPr>
          <w:p w14:paraId="43383BF7"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1,067.3</w:t>
            </w:r>
          </w:p>
        </w:tc>
        <w:tc>
          <w:tcPr>
            <w:tcW w:w="988" w:type="dxa"/>
          </w:tcPr>
          <w:p w14:paraId="5F61429A"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eastAsia="Calibri" w:cs="Calibri"/>
                <w:bCs/>
              </w:rPr>
              <w:t>1,156</w:t>
            </w:r>
          </w:p>
        </w:tc>
        <w:tc>
          <w:tcPr>
            <w:tcW w:w="988" w:type="dxa"/>
          </w:tcPr>
          <w:p w14:paraId="3144FFEA"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1,235.7</w:t>
            </w:r>
          </w:p>
        </w:tc>
        <w:tc>
          <w:tcPr>
            <w:tcW w:w="988" w:type="dxa"/>
          </w:tcPr>
          <w:p w14:paraId="3F1A720C"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1,142.3</w:t>
            </w:r>
          </w:p>
        </w:tc>
        <w:tc>
          <w:tcPr>
            <w:tcW w:w="987" w:type="dxa"/>
          </w:tcPr>
          <w:p w14:paraId="74961F7B" w14:textId="77777777" w:rsidR="001B52B9" w:rsidRDefault="001B52B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p>
        </w:tc>
      </w:tr>
      <w:tr w:rsidR="001B52B9" w14:paraId="0D019B91"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1EC64DC4" w14:textId="77777777" w:rsidR="001B52B9" w:rsidRDefault="00A5303E">
            <w:pPr>
              <w:widowControl w:val="0"/>
              <w:spacing w:after="0" w:line="240" w:lineRule="auto"/>
              <w:ind w:left="720"/>
              <w:rPr>
                <w:lang w:val="en-US"/>
              </w:rPr>
            </w:pPr>
            <w:r>
              <w:rPr>
                <w:rFonts w:eastAsia="Calibri"/>
                <w:b w:val="0"/>
                <w:bCs w:val="0"/>
                <w:color w:val="FFFFFF"/>
                <w:lang w:val="en-US"/>
              </w:rPr>
              <w:t>Completed Rehabilitation (ha)</w:t>
            </w:r>
          </w:p>
        </w:tc>
        <w:tc>
          <w:tcPr>
            <w:tcW w:w="1112" w:type="dxa"/>
            <w:tcBorders>
              <w:left w:val="single" w:sz="12" w:space="0" w:color="000000"/>
            </w:tcBorders>
          </w:tcPr>
          <w:p w14:paraId="38A20DB4"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8" w:type="dxa"/>
          </w:tcPr>
          <w:p w14:paraId="3BF48064"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eastAsia="Calibri" w:cs="Calibri"/>
                <w:bCs/>
              </w:rPr>
              <w:t>0</w:t>
            </w:r>
          </w:p>
        </w:tc>
        <w:tc>
          <w:tcPr>
            <w:tcW w:w="988" w:type="dxa"/>
          </w:tcPr>
          <w:p w14:paraId="2DEE598A"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8" w:type="dxa"/>
          </w:tcPr>
          <w:p w14:paraId="2BEDDB7A"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7" w:type="dxa"/>
          </w:tcPr>
          <w:p w14:paraId="5F0990B7"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p>
        </w:tc>
      </w:tr>
      <w:tr w:rsidR="001B52B9" w14:paraId="280482A4"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bottom w:val="single" w:sz="12" w:space="0" w:color="000000"/>
              <w:right w:val="single" w:sz="12" w:space="0" w:color="000000"/>
            </w:tcBorders>
            <w:shd w:val="clear" w:color="auto" w:fill="D9D9D9" w:themeFill="background1" w:themeFillShade="D9"/>
          </w:tcPr>
          <w:p w14:paraId="11B9D069" w14:textId="77777777" w:rsidR="001B52B9" w:rsidRDefault="00A5303E">
            <w:pPr>
              <w:widowControl w:val="0"/>
              <w:spacing w:after="0" w:line="240" w:lineRule="auto"/>
              <w:ind w:left="720"/>
              <w:rPr>
                <w:b w:val="0"/>
                <w:lang w:val="en-US"/>
              </w:rPr>
            </w:pPr>
            <w:r>
              <w:rPr>
                <w:rFonts w:eastAsia="Calibri"/>
                <w:bCs w:val="0"/>
                <w:color w:val="FFFFFF"/>
                <w:lang w:val="en-US"/>
              </w:rPr>
              <w:t>Rehab % of footprint</w:t>
            </w:r>
          </w:p>
        </w:tc>
        <w:tc>
          <w:tcPr>
            <w:tcW w:w="1112" w:type="dxa"/>
            <w:tcBorders>
              <w:left w:val="single" w:sz="12" w:space="0" w:color="000000"/>
              <w:bottom w:val="single" w:sz="12" w:space="0" w:color="000000"/>
            </w:tcBorders>
          </w:tcPr>
          <w:p w14:paraId="207D119B"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29.6%</w:t>
            </w:r>
          </w:p>
        </w:tc>
        <w:tc>
          <w:tcPr>
            <w:tcW w:w="988" w:type="dxa"/>
            <w:tcBorders>
              <w:bottom w:val="single" w:sz="12" w:space="0" w:color="000000"/>
            </w:tcBorders>
          </w:tcPr>
          <w:p w14:paraId="79192964"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eastAsia="Calibri" w:cs="Calibri"/>
                <w:b/>
                <w:bCs/>
              </w:rPr>
              <w:t>31.6%</w:t>
            </w:r>
          </w:p>
        </w:tc>
        <w:tc>
          <w:tcPr>
            <w:tcW w:w="988" w:type="dxa"/>
            <w:tcBorders>
              <w:bottom w:val="single" w:sz="12" w:space="0" w:color="000000"/>
            </w:tcBorders>
          </w:tcPr>
          <w:p w14:paraId="5555E979"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31.9%</w:t>
            </w:r>
          </w:p>
        </w:tc>
        <w:tc>
          <w:tcPr>
            <w:tcW w:w="988" w:type="dxa"/>
            <w:tcBorders>
              <w:bottom w:val="single" w:sz="12" w:space="0" w:color="000000"/>
            </w:tcBorders>
          </w:tcPr>
          <w:p w14:paraId="5BEAA271"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29.4%</w:t>
            </w:r>
          </w:p>
        </w:tc>
        <w:tc>
          <w:tcPr>
            <w:tcW w:w="987" w:type="dxa"/>
            <w:tcBorders>
              <w:bottom w:val="single" w:sz="12" w:space="0" w:color="000000"/>
            </w:tcBorders>
          </w:tcPr>
          <w:p w14:paraId="5366C0EF" w14:textId="77777777" w:rsidR="001B52B9" w:rsidRDefault="001B52B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p>
        </w:tc>
      </w:tr>
      <w:tr w:rsidR="001B52B9" w14:paraId="61D54A7C"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top w:val="single" w:sz="12" w:space="0" w:color="000000"/>
              <w:left w:val="single" w:sz="12" w:space="0" w:color="000000"/>
              <w:right w:val="single" w:sz="12" w:space="0" w:color="000000"/>
            </w:tcBorders>
            <w:shd w:val="clear" w:color="auto" w:fill="BFBFBF" w:themeFill="background1" w:themeFillShade="BF"/>
          </w:tcPr>
          <w:p w14:paraId="5014A40B" w14:textId="77777777" w:rsidR="001B52B9" w:rsidRDefault="00A5303E">
            <w:pPr>
              <w:widowControl w:val="0"/>
              <w:spacing w:after="0" w:line="240" w:lineRule="auto"/>
              <w:ind w:left="121"/>
              <w:rPr>
                <w:lang w:val="en-US"/>
              </w:rPr>
            </w:pPr>
            <w:r>
              <w:rPr>
                <w:rFonts w:eastAsia="Calibri"/>
                <w:b w:val="0"/>
                <w:bCs w:val="0"/>
                <w:color w:val="FFFFFF"/>
                <w:lang w:val="en-US"/>
              </w:rPr>
              <w:t>Hunter Valley Operation</w:t>
            </w:r>
          </w:p>
        </w:tc>
        <w:tc>
          <w:tcPr>
            <w:tcW w:w="1112" w:type="dxa"/>
            <w:tcBorders>
              <w:top w:val="single" w:sz="12" w:space="0" w:color="000000"/>
              <w:left w:val="single" w:sz="12" w:space="0" w:color="000000"/>
            </w:tcBorders>
            <w:shd w:val="clear" w:color="auto" w:fill="BFBFBF" w:themeFill="background1" w:themeFillShade="BF"/>
          </w:tcPr>
          <w:p w14:paraId="42E62B5D"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2016</w:t>
            </w:r>
          </w:p>
        </w:tc>
        <w:tc>
          <w:tcPr>
            <w:tcW w:w="988" w:type="dxa"/>
            <w:tcBorders>
              <w:top w:val="single" w:sz="12" w:space="0" w:color="000000"/>
            </w:tcBorders>
            <w:shd w:val="clear" w:color="auto" w:fill="BFBFBF" w:themeFill="background1" w:themeFillShade="BF"/>
          </w:tcPr>
          <w:p w14:paraId="131A61CF"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eastAsia="Calibri" w:cs="Calibri"/>
                <w:b/>
                <w:bCs/>
              </w:rPr>
              <w:t>2017</w:t>
            </w:r>
          </w:p>
        </w:tc>
        <w:tc>
          <w:tcPr>
            <w:tcW w:w="988" w:type="dxa"/>
            <w:tcBorders>
              <w:top w:val="single" w:sz="12" w:space="0" w:color="000000"/>
            </w:tcBorders>
            <w:shd w:val="clear" w:color="auto" w:fill="BFBFBF" w:themeFill="background1" w:themeFillShade="BF"/>
          </w:tcPr>
          <w:p w14:paraId="7626FF90"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2018</w:t>
            </w:r>
          </w:p>
        </w:tc>
        <w:tc>
          <w:tcPr>
            <w:tcW w:w="988" w:type="dxa"/>
            <w:tcBorders>
              <w:top w:val="single" w:sz="12" w:space="0" w:color="000000"/>
            </w:tcBorders>
            <w:shd w:val="clear" w:color="auto" w:fill="BFBFBF" w:themeFill="background1" w:themeFillShade="BF"/>
          </w:tcPr>
          <w:p w14:paraId="51272E73"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2019</w:t>
            </w:r>
          </w:p>
        </w:tc>
        <w:tc>
          <w:tcPr>
            <w:tcW w:w="987" w:type="dxa"/>
            <w:tcBorders>
              <w:top w:val="single" w:sz="12" w:space="0" w:color="000000"/>
            </w:tcBorders>
            <w:shd w:val="clear" w:color="auto" w:fill="BFBFBF" w:themeFill="background1" w:themeFillShade="BF"/>
          </w:tcPr>
          <w:p w14:paraId="672DC46C"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rFonts w:eastAsia="Calibri"/>
                <w:b/>
                <w:bCs/>
                <w:lang w:val="en-US"/>
              </w:rPr>
              <w:t>2020</w:t>
            </w:r>
          </w:p>
        </w:tc>
      </w:tr>
      <w:tr w:rsidR="001B52B9" w14:paraId="3EBCF633"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4E975C6D" w14:textId="77777777" w:rsidR="001B52B9" w:rsidRDefault="00A5303E">
            <w:pPr>
              <w:widowControl w:val="0"/>
              <w:spacing w:after="0" w:line="240" w:lineRule="auto"/>
              <w:ind w:left="720"/>
              <w:rPr>
                <w:lang w:val="en-US"/>
              </w:rPr>
            </w:pPr>
            <w:r>
              <w:rPr>
                <w:rFonts w:eastAsia="Calibri"/>
                <w:b w:val="0"/>
                <w:bCs w:val="0"/>
                <w:color w:val="FFFFFF"/>
                <w:lang w:val="en-US"/>
              </w:rPr>
              <w:t>Mine footprint (ha)</w:t>
            </w:r>
          </w:p>
        </w:tc>
        <w:tc>
          <w:tcPr>
            <w:tcW w:w="1112" w:type="dxa"/>
            <w:tcBorders>
              <w:left w:val="single" w:sz="12" w:space="0" w:color="000000"/>
            </w:tcBorders>
          </w:tcPr>
          <w:p w14:paraId="1FC19239" w14:textId="77777777" w:rsidR="001B52B9" w:rsidRDefault="001B52B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p>
        </w:tc>
        <w:tc>
          <w:tcPr>
            <w:tcW w:w="988" w:type="dxa"/>
          </w:tcPr>
          <w:p w14:paraId="60135944"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eastAsia="Calibri" w:cs="Calibri"/>
                <w:bCs/>
              </w:rPr>
              <w:t>6,443.4</w:t>
            </w:r>
          </w:p>
        </w:tc>
        <w:tc>
          <w:tcPr>
            <w:tcW w:w="988" w:type="dxa"/>
          </w:tcPr>
          <w:p w14:paraId="61546742"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6,539</w:t>
            </w:r>
          </w:p>
        </w:tc>
        <w:tc>
          <w:tcPr>
            <w:tcW w:w="988" w:type="dxa"/>
          </w:tcPr>
          <w:p w14:paraId="7E0A3BD8"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6,567.8</w:t>
            </w:r>
          </w:p>
        </w:tc>
        <w:tc>
          <w:tcPr>
            <w:tcW w:w="987" w:type="dxa"/>
          </w:tcPr>
          <w:p w14:paraId="69A6CABF"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6,665</w:t>
            </w:r>
          </w:p>
        </w:tc>
      </w:tr>
      <w:tr w:rsidR="001B52B9" w14:paraId="42C112DA"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723DE32F" w14:textId="77777777" w:rsidR="001B52B9" w:rsidRDefault="00A5303E">
            <w:pPr>
              <w:widowControl w:val="0"/>
              <w:spacing w:after="0" w:line="240" w:lineRule="auto"/>
              <w:ind w:left="720"/>
              <w:rPr>
                <w:lang w:val="en-US"/>
              </w:rPr>
            </w:pPr>
            <w:r>
              <w:rPr>
                <w:rFonts w:eastAsia="Calibri"/>
                <w:b w:val="0"/>
                <w:bCs w:val="0"/>
                <w:color w:val="FFFFFF"/>
                <w:lang w:val="en-US"/>
              </w:rPr>
              <w:t>Active disturbance (ha)</w:t>
            </w:r>
          </w:p>
        </w:tc>
        <w:tc>
          <w:tcPr>
            <w:tcW w:w="1112" w:type="dxa"/>
            <w:tcBorders>
              <w:left w:val="single" w:sz="12" w:space="0" w:color="000000"/>
            </w:tcBorders>
          </w:tcPr>
          <w:p w14:paraId="4B41680D"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p>
        </w:tc>
        <w:tc>
          <w:tcPr>
            <w:tcW w:w="988" w:type="dxa"/>
          </w:tcPr>
          <w:p w14:paraId="27419CCE"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eastAsia="Calibri" w:cs="Calibri"/>
                <w:bCs/>
              </w:rPr>
              <w:t>3,527.5</w:t>
            </w:r>
          </w:p>
        </w:tc>
        <w:tc>
          <w:tcPr>
            <w:tcW w:w="988" w:type="dxa"/>
          </w:tcPr>
          <w:p w14:paraId="1B295BC3"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3,599.2</w:t>
            </w:r>
          </w:p>
        </w:tc>
        <w:tc>
          <w:tcPr>
            <w:tcW w:w="988" w:type="dxa"/>
          </w:tcPr>
          <w:p w14:paraId="1CB201E9"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3,639.1</w:t>
            </w:r>
          </w:p>
        </w:tc>
        <w:tc>
          <w:tcPr>
            <w:tcW w:w="987" w:type="dxa"/>
          </w:tcPr>
          <w:p w14:paraId="740018B7"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3,753.8</w:t>
            </w:r>
          </w:p>
        </w:tc>
      </w:tr>
      <w:tr w:rsidR="001B52B9" w14:paraId="7F1C2D37"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03FCFE1B" w14:textId="77777777" w:rsidR="001B52B9" w:rsidRDefault="00A5303E">
            <w:pPr>
              <w:widowControl w:val="0"/>
              <w:spacing w:after="0" w:line="240" w:lineRule="auto"/>
              <w:ind w:left="720"/>
              <w:rPr>
                <w:lang w:val="en-US"/>
              </w:rPr>
            </w:pPr>
            <w:r>
              <w:rPr>
                <w:rFonts w:eastAsia="Calibri"/>
                <w:b w:val="0"/>
                <w:bCs w:val="0"/>
                <w:color w:val="FFFFFF"/>
                <w:lang w:val="en-US"/>
              </w:rPr>
              <w:t>Active rehabilitation (ha)</w:t>
            </w:r>
          </w:p>
        </w:tc>
        <w:tc>
          <w:tcPr>
            <w:tcW w:w="1112" w:type="dxa"/>
            <w:tcBorders>
              <w:left w:val="single" w:sz="12" w:space="0" w:color="000000"/>
            </w:tcBorders>
          </w:tcPr>
          <w:p w14:paraId="1BACFB2C" w14:textId="77777777" w:rsidR="001B52B9" w:rsidRDefault="001B52B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p>
        </w:tc>
        <w:tc>
          <w:tcPr>
            <w:tcW w:w="988" w:type="dxa"/>
          </w:tcPr>
          <w:p w14:paraId="562C84A6"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eastAsia="Calibri" w:cs="Calibri"/>
                <w:bCs/>
              </w:rPr>
              <w:t>2,876.3</w:t>
            </w:r>
          </w:p>
        </w:tc>
        <w:tc>
          <w:tcPr>
            <w:tcW w:w="988" w:type="dxa"/>
          </w:tcPr>
          <w:p w14:paraId="04E9C0F4"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2,727.5</w:t>
            </w:r>
          </w:p>
        </w:tc>
        <w:tc>
          <w:tcPr>
            <w:tcW w:w="988" w:type="dxa"/>
          </w:tcPr>
          <w:p w14:paraId="169C12A8"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2,392.5</w:t>
            </w:r>
          </w:p>
        </w:tc>
        <w:tc>
          <w:tcPr>
            <w:tcW w:w="987" w:type="dxa"/>
          </w:tcPr>
          <w:p w14:paraId="7C846B7A"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Cs/>
                <w:lang w:val="en-US"/>
              </w:rPr>
            </w:pPr>
            <w:r>
              <w:rPr>
                <w:rFonts w:eastAsia="Calibri"/>
                <w:bCs/>
                <w:lang w:val="en-US"/>
              </w:rPr>
              <w:t>2,492.9</w:t>
            </w:r>
          </w:p>
        </w:tc>
      </w:tr>
      <w:tr w:rsidR="001B52B9" w14:paraId="4334F5FC"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76FF8798" w14:textId="77777777" w:rsidR="001B52B9" w:rsidRDefault="00A5303E">
            <w:pPr>
              <w:widowControl w:val="0"/>
              <w:spacing w:after="0" w:line="240" w:lineRule="auto"/>
              <w:ind w:left="720"/>
              <w:rPr>
                <w:lang w:val="en-US"/>
              </w:rPr>
            </w:pPr>
            <w:r>
              <w:rPr>
                <w:rFonts w:eastAsia="Calibri"/>
                <w:b w:val="0"/>
                <w:bCs w:val="0"/>
                <w:color w:val="FFFFFF"/>
                <w:lang w:val="en-US"/>
              </w:rPr>
              <w:t>Completed Rehabilitation (ha)</w:t>
            </w:r>
          </w:p>
        </w:tc>
        <w:tc>
          <w:tcPr>
            <w:tcW w:w="1112" w:type="dxa"/>
            <w:tcBorders>
              <w:left w:val="single" w:sz="12" w:space="0" w:color="000000"/>
            </w:tcBorders>
          </w:tcPr>
          <w:p w14:paraId="4401D2B9"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p>
        </w:tc>
        <w:tc>
          <w:tcPr>
            <w:tcW w:w="988" w:type="dxa"/>
          </w:tcPr>
          <w:p w14:paraId="14FDCA77"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eastAsia="Calibri" w:cs="Calibri"/>
                <w:bCs/>
              </w:rPr>
              <w:t>0</w:t>
            </w:r>
          </w:p>
        </w:tc>
        <w:tc>
          <w:tcPr>
            <w:tcW w:w="988" w:type="dxa"/>
          </w:tcPr>
          <w:p w14:paraId="674D071A"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8" w:type="dxa"/>
          </w:tcPr>
          <w:p w14:paraId="1116626A"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c>
          <w:tcPr>
            <w:tcW w:w="987" w:type="dxa"/>
          </w:tcPr>
          <w:p w14:paraId="22CA3A8D" w14:textId="77777777" w:rsidR="001B52B9" w:rsidRDefault="00A530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lang w:val="en-US"/>
              </w:rPr>
            </w:pPr>
            <w:r>
              <w:rPr>
                <w:rFonts w:eastAsia="Calibri"/>
                <w:bCs/>
                <w:lang w:val="en-US"/>
              </w:rPr>
              <w:t>0</w:t>
            </w:r>
          </w:p>
        </w:tc>
      </w:tr>
      <w:tr w:rsidR="001B52B9" w14:paraId="05762368" w14:textId="77777777" w:rsidTr="001B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right w:val="single" w:sz="12" w:space="0" w:color="000000"/>
            </w:tcBorders>
            <w:shd w:val="clear" w:color="auto" w:fill="D9D9D9" w:themeFill="background1" w:themeFillShade="D9"/>
          </w:tcPr>
          <w:p w14:paraId="61CD9851" w14:textId="77777777" w:rsidR="001B52B9" w:rsidRDefault="00A5303E">
            <w:pPr>
              <w:widowControl w:val="0"/>
              <w:spacing w:after="0" w:line="240" w:lineRule="auto"/>
              <w:ind w:left="720"/>
              <w:rPr>
                <w:b w:val="0"/>
                <w:lang w:val="en-US"/>
              </w:rPr>
            </w:pPr>
            <w:r>
              <w:rPr>
                <w:rFonts w:eastAsia="Calibri"/>
                <w:bCs w:val="0"/>
                <w:color w:val="FFFFFF"/>
                <w:lang w:val="en-US"/>
              </w:rPr>
              <w:t>Rehab % of footprint</w:t>
            </w:r>
          </w:p>
        </w:tc>
        <w:tc>
          <w:tcPr>
            <w:tcW w:w="1112" w:type="dxa"/>
            <w:tcBorders>
              <w:left w:val="single" w:sz="12" w:space="0" w:color="000000"/>
            </w:tcBorders>
          </w:tcPr>
          <w:p w14:paraId="2759381D" w14:textId="77777777" w:rsidR="001B52B9" w:rsidRDefault="001B52B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p>
        </w:tc>
        <w:tc>
          <w:tcPr>
            <w:tcW w:w="988" w:type="dxa"/>
          </w:tcPr>
          <w:p w14:paraId="24CA7E76"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eastAsia="Calibri" w:cs="Calibri"/>
                <w:b/>
                <w:bCs/>
              </w:rPr>
              <w:t>44.6%</w:t>
            </w:r>
          </w:p>
        </w:tc>
        <w:tc>
          <w:tcPr>
            <w:tcW w:w="988" w:type="dxa"/>
          </w:tcPr>
          <w:p w14:paraId="07624B1D"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41.7%</w:t>
            </w:r>
          </w:p>
        </w:tc>
        <w:tc>
          <w:tcPr>
            <w:tcW w:w="988" w:type="dxa"/>
          </w:tcPr>
          <w:p w14:paraId="60E84DA2"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36.4%</w:t>
            </w:r>
          </w:p>
        </w:tc>
        <w:tc>
          <w:tcPr>
            <w:tcW w:w="987" w:type="dxa"/>
          </w:tcPr>
          <w:p w14:paraId="4AF71F3C" w14:textId="77777777" w:rsidR="001B52B9" w:rsidRDefault="00A530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rFonts w:eastAsia="Calibri"/>
                <w:b/>
                <w:bCs/>
                <w:lang w:val="en-US"/>
              </w:rPr>
              <w:t>37.4%</w:t>
            </w:r>
          </w:p>
        </w:tc>
      </w:tr>
      <w:tr w:rsidR="001B52B9" w14:paraId="7982B1C7" w14:textId="77777777" w:rsidTr="001B52B9">
        <w:tc>
          <w:tcPr>
            <w:cnfStyle w:val="001000000000" w:firstRow="0" w:lastRow="0" w:firstColumn="1" w:lastColumn="0" w:oddVBand="0" w:evenVBand="0" w:oddHBand="0" w:evenHBand="0" w:firstRowFirstColumn="0" w:firstRowLastColumn="0" w:lastRowFirstColumn="0" w:lastRowLastColumn="0"/>
            <w:tcW w:w="4118" w:type="dxa"/>
            <w:tcBorders>
              <w:left w:val="single" w:sz="12" w:space="0" w:color="000000"/>
              <w:bottom w:val="single" w:sz="12" w:space="0" w:color="000000"/>
              <w:right w:val="single" w:sz="12" w:space="0" w:color="000000"/>
            </w:tcBorders>
            <w:shd w:val="clear" w:color="auto" w:fill="D9D9D9" w:themeFill="background1" w:themeFillShade="D9"/>
          </w:tcPr>
          <w:p w14:paraId="203901C2" w14:textId="77777777" w:rsidR="001B52B9" w:rsidRDefault="001B52B9">
            <w:pPr>
              <w:widowControl w:val="0"/>
              <w:spacing w:after="0" w:line="240" w:lineRule="auto"/>
              <w:ind w:left="720"/>
              <w:rPr>
                <w:lang w:val="en-US"/>
              </w:rPr>
            </w:pPr>
          </w:p>
        </w:tc>
        <w:tc>
          <w:tcPr>
            <w:tcW w:w="1112" w:type="dxa"/>
            <w:tcBorders>
              <w:left w:val="single" w:sz="12" w:space="0" w:color="000000"/>
              <w:bottom w:val="single" w:sz="12" w:space="0" w:color="000000"/>
            </w:tcBorders>
          </w:tcPr>
          <w:p w14:paraId="46053310"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p>
        </w:tc>
        <w:tc>
          <w:tcPr>
            <w:tcW w:w="988" w:type="dxa"/>
            <w:tcBorders>
              <w:bottom w:val="single" w:sz="12" w:space="0" w:color="000000"/>
            </w:tcBorders>
          </w:tcPr>
          <w:p w14:paraId="5084C082"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988" w:type="dxa"/>
            <w:tcBorders>
              <w:bottom w:val="single" w:sz="12" w:space="0" w:color="000000"/>
            </w:tcBorders>
          </w:tcPr>
          <w:p w14:paraId="0FDA10F3"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p>
        </w:tc>
        <w:tc>
          <w:tcPr>
            <w:tcW w:w="988" w:type="dxa"/>
            <w:tcBorders>
              <w:bottom w:val="single" w:sz="12" w:space="0" w:color="000000"/>
            </w:tcBorders>
          </w:tcPr>
          <w:p w14:paraId="3BC8E5F6"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p>
        </w:tc>
        <w:tc>
          <w:tcPr>
            <w:tcW w:w="987" w:type="dxa"/>
            <w:tcBorders>
              <w:bottom w:val="single" w:sz="12" w:space="0" w:color="000000"/>
            </w:tcBorders>
          </w:tcPr>
          <w:p w14:paraId="252AE43D" w14:textId="77777777" w:rsidR="001B52B9" w:rsidRDefault="001B52B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p>
        </w:tc>
      </w:tr>
    </w:tbl>
    <w:p w14:paraId="25EB1349" w14:textId="77777777" w:rsidR="001B52B9" w:rsidRDefault="00A5303E">
      <w:pPr>
        <w:ind w:left="142"/>
        <w:rPr>
          <w:sz w:val="18"/>
          <w:szCs w:val="18"/>
        </w:rPr>
      </w:pPr>
      <w:r>
        <w:rPr>
          <w:sz w:val="18"/>
          <w:szCs w:val="18"/>
        </w:rPr>
        <w:t xml:space="preserve">Notes: The numbers in this table are drawn from Annual Reviews submitted by the mines to the NSW Department of Planning and Environment. Mount Arthur submits Annual Reviews on a financial year basis. Some mines are yet to publish their 2020 Annual reviews. The category “land being prepared for rehabilitation” is not shown here or aggregated in the proportion of land under rehabilitation as a proportion of the mine footprint. </w:t>
      </w:r>
    </w:p>
    <w:sectPr w:rsidR="001B52B9">
      <w:pgSz w:w="11906" w:h="16838"/>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904D" w14:textId="77777777" w:rsidR="008731E7" w:rsidRDefault="008731E7">
      <w:pPr>
        <w:spacing w:after="0" w:line="240" w:lineRule="auto"/>
      </w:pPr>
      <w:r>
        <w:separator/>
      </w:r>
    </w:p>
  </w:endnote>
  <w:endnote w:type="continuationSeparator" w:id="0">
    <w:p w14:paraId="58CF7A68" w14:textId="77777777" w:rsidR="008731E7" w:rsidRDefault="0087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Bold">
    <w:altName w:val="Calibr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EBE8" w14:textId="77777777" w:rsidR="008731E7" w:rsidRDefault="008731E7">
      <w:pPr>
        <w:rPr>
          <w:sz w:val="12"/>
        </w:rPr>
      </w:pPr>
      <w:r>
        <w:separator/>
      </w:r>
    </w:p>
  </w:footnote>
  <w:footnote w:type="continuationSeparator" w:id="0">
    <w:p w14:paraId="4436C035" w14:textId="77777777" w:rsidR="008731E7" w:rsidRDefault="008731E7">
      <w:pPr>
        <w:rPr>
          <w:sz w:val="12"/>
        </w:rPr>
      </w:pPr>
      <w:r>
        <w:continuationSeparator/>
      </w:r>
    </w:p>
  </w:footnote>
  <w:footnote w:id="1">
    <w:p w14:paraId="1AC3D715" w14:textId="77777777" w:rsidR="001B52B9" w:rsidRDefault="00A5303E">
      <w:pPr>
        <w:pStyle w:val="FootnoteText"/>
      </w:pPr>
      <w:r>
        <w:rPr>
          <w:rStyle w:val="FootnoteCharacters"/>
        </w:rPr>
        <w:footnoteRef/>
      </w:r>
      <w:r>
        <w:t xml:space="preserve"> Independent Environmental Audit, Bengalla, 2019. </w:t>
      </w:r>
    </w:p>
  </w:footnote>
  <w:footnote w:id="2">
    <w:p w14:paraId="661F0F69" w14:textId="77777777" w:rsidR="001B52B9" w:rsidRDefault="00A5303E">
      <w:pPr>
        <w:pStyle w:val="FootnoteText"/>
      </w:pPr>
      <w:r>
        <w:rPr>
          <w:rStyle w:val="FootnoteCharacters"/>
        </w:rPr>
        <w:footnoteRef/>
      </w:r>
      <w:r>
        <w:t xml:space="preserve"> Bengalla mine 2019 Annual Review </w:t>
      </w:r>
    </w:p>
  </w:footnote>
  <w:footnote w:id="3">
    <w:p w14:paraId="509F2B56" w14:textId="77777777" w:rsidR="001B52B9" w:rsidRDefault="00A5303E">
      <w:pPr>
        <w:pStyle w:val="FootnoteText"/>
        <w:rPr>
          <w:lang w:val="en-US"/>
        </w:rPr>
      </w:pPr>
      <w:r>
        <w:rPr>
          <w:rStyle w:val="FootnoteCharacters"/>
        </w:rPr>
        <w:footnoteRef/>
      </w:r>
      <w:r>
        <w:t xml:space="preserve"> </w:t>
      </w:r>
      <w:r>
        <w:rPr>
          <w:lang w:val="en-US"/>
        </w:rPr>
        <w:t xml:space="preserve">Mach Energy, 2019. Mount Pleasant Operations DA 92/97 Annual Review 2018. </w:t>
      </w:r>
    </w:p>
  </w:footnote>
  <w:footnote w:id="4">
    <w:p w14:paraId="054E71E4" w14:textId="77777777" w:rsidR="001B52B9" w:rsidRDefault="00A5303E">
      <w:pPr>
        <w:pStyle w:val="FootnoteText"/>
        <w:rPr>
          <w:lang w:val="en-US"/>
        </w:rPr>
      </w:pPr>
      <w:r>
        <w:rPr>
          <w:rStyle w:val="FootnoteCharacters"/>
        </w:rPr>
        <w:footnoteRef/>
      </w:r>
      <w:r>
        <w:t xml:space="preserve"> </w:t>
      </w:r>
      <w:r>
        <w:rPr>
          <w:lang w:val="en-US"/>
        </w:rPr>
        <w:t xml:space="preserve">Mach Energy, 2019. Mount Pleasant Operations DA 92/97 Annual Review 2018. </w:t>
      </w:r>
    </w:p>
  </w:footnote>
  <w:footnote w:id="5">
    <w:p w14:paraId="2D73DDAB" w14:textId="77777777" w:rsidR="001B52B9" w:rsidRDefault="00A5303E">
      <w:pPr>
        <w:pStyle w:val="FootnoteText"/>
      </w:pPr>
      <w:r>
        <w:rPr>
          <w:rStyle w:val="FootnoteCharacters"/>
        </w:rPr>
        <w:footnoteRef/>
      </w:r>
      <w:r>
        <w:t xml:space="preserve"> Joanne McCarthy, 2019, “Mount Pleasant coal mine inspection left regulator doubting if mine had 'good understanding' of rehabilitation.” </w:t>
      </w:r>
      <w:r>
        <w:rPr>
          <w:i/>
          <w:iCs/>
        </w:rPr>
        <w:t>Newcastle Herald</w:t>
      </w:r>
      <w:r>
        <w:t xml:space="preserve"> 2 October, 2019, 8:00AM. </w:t>
      </w:r>
    </w:p>
  </w:footnote>
  <w:footnote w:id="6">
    <w:p w14:paraId="510BB88B" w14:textId="77777777" w:rsidR="001B52B9" w:rsidRDefault="00A5303E">
      <w:pPr>
        <w:pStyle w:val="FootnoteText"/>
      </w:pPr>
      <w:r>
        <w:rPr>
          <w:rStyle w:val="FootnoteCharacters"/>
        </w:rPr>
        <w:footnoteRef/>
      </w:r>
      <w:r>
        <w:t xml:space="preserve"> Resources Regulator Topsoil management audit, Hunter Valley Operations,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1311"/>
    <w:multiLevelType w:val="multilevel"/>
    <w:tmpl w:val="3C68AF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6514AE1"/>
    <w:multiLevelType w:val="multilevel"/>
    <w:tmpl w:val="9F0AF4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A701887"/>
    <w:multiLevelType w:val="multilevel"/>
    <w:tmpl w:val="469416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9B43455"/>
    <w:multiLevelType w:val="hybridMultilevel"/>
    <w:tmpl w:val="C15A0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B9"/>
    <w:rsid w:val="00090A90"/>
    <w:rsid w:val="001B52B9"/>
    <w:rsid w:val="003D192C"/>
    <w:rsid w:val="008731E7"/>
    <w:rsid w:val="00A5303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AE39"/>
  <w15:docId w15:val="{ECF77541-1202-4EFB-972D-DC5F5D5E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E1432C"/>
    <w:rPr>
      <w:sz w:val="20"/>
      <w:szCs w:val="20"/>
    </w:rPr>
  </w:style>
  <w:style w:type="character" w:customStyle="1" w:styleId="FootnoteCharacters">
    <w:name w:val="Footnote Characters"/>
    <w:basedOn w:val="DefaultParagraphFont"/>
    <w:uiPriority w:val="99"/>
    <w:semiHidden/>
    <w:unhideWhenUsed/>
    <w:qFormat/>
    <w:rsid w:val="00E1432C"/>
    <w:rPr>
      <w:vertAlign w:val="superscript"/>
    </w:rPr>
  </w:style>
  <w:style w:type="character" w:customStyle="1" w:styleId="FootnoteAnchor">
    <w:name w:val="Footnote Anchor"/>
    <w:rPr>
      <w:vertAlign w:val="superscript"/>
    </w:rPr>
  </w:style>
  <w:style w:type="character" w:styleId="Hyperlink">
    <w:name w:val="Hyperlink"/>
    <w:basedOn w:val="DefaultParagraphFont"/>
    <w:uiPriority w:val="99"/>
    <w:unhideWhenUsed/>
    <w:rsid w:val="00E1432C"/>
    <w:rPr>
      <w:color w:val="0563C1" w:themeColor="hyperlink"/>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next w:val="Normal"/>
    <w:uiPriority w:val="35"/>
    <w:unhideWhenUsed/>
    <w:qFormat/>
    <w:rsid w:val="00A309E2"/>
    <w:pPr>
      <w:spacing w:after="200" w:line="240" w:lineRule="auto"/>
    </w:pPr>
    <w:rPr>
      <w:i/>
      <w:iCs/>
      <w:color w:val="44546A" w:themeColor="text2"/>
      <w:sz w:val="18"/>
      <w:szCs w:val="18"/>
    </w:rPr>
  </w:style>
  <w:style w:type="paragraph" w:customStyle="1" w:styleId="Index">
    <w:name w:val="Index"/>
    <w:basedOn w:val="Normal"/>
    <w:qFormat/>
    <w:pPr>
      <w:suppressLineNumbers/>
    </w:pPr>
    <w:rPr>
      <w:rFonts w:cs="Arial"/>
    </w:rPr>
  </w:style>
  <w:style w:type="paragraph" w:styleId="FootnoteText">
    <w:name w:val="footnote text"/>
    <w:basedOn w:val="Normal"/>
    <w:link w:val="FootnoteTextChar"/>
    <w:uiPriority w:val="99"/>
    <w:semiHidden/>
    <w:unhideWhenUsed/>
    <w:rsid w:val="00E1432C"/>
    <w:pPr>
      <w:spacing w:after="0" w:line="240" w:lineRule="auto"/>
    </w:pPr>
    <w:rPr>
      <w:sz w:val="20"/>
      <w:szCs w:val="20"/>
    </w:rPr>
  </w:style>
  <w:style w:type="paragraph" w:styleId="ListParagraph">
    <w:name w:val="List Paragraph"/>
    <w:basedOn w:val="Normal"/>
    <w:uiPriority w:val="34"/>
    <w:qFormat/>
    <w:rsid w:val="00E90FEB"/>
    <w:pPr>
      <w:ind w:left="720"/>
      <w:contextualSpacing/>
    </w:pPr>
  </w:style>
  <w:style w:type="paragraph" w:customStyle="1" w:styleId="Default">
    <w:name w:val="Default"/>
    <w:qFormat/>
    <w:rsid w:val="00C32B2D"/>
    <w:rPr>
      <w:rFonts w:ascii="Arial" w:eastAsia="Calibri" w:hAnsi="Arial" w:cs="Arial"/>
      <w:color w:val="000000"/>
      <w:sz w:val="24"/>
      <w:szCs w:val="24"/>
    </w:rPr>
  </w:style>
  <w:style w:type="table" w:styleId="TableGrid">
    <w:name w:val="Table Grid"/>
    <w:basedOn w:val="TableNormal"/>
    <w:uiPriority w:val="39"/>
    <w:rsid w:val="00232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232C06"/>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131B0-BB6B-4B4C-84FD-C5FE2342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1661</Words>
  <Characters>9469</Characters>
  <Application>Microsoft Office Word</Application>
  <DocSecurity>0</DocSecurity>
  <Lines>78</Lines>
  <Paragraphs>22</Paragraphs>
  <ScaleCrop>false</ScaleCrop>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dc:description/>
  <cp:lastModifiedBy>User</cp:lastModifiedBy>
  <cp:revision>3</cp:revision>
  <dcterms:created xsi:type="dcterms:W3CDTF">2021-05-10T01:30:00Z</dcterms:created>
  <dcterms:modified xsi:type="dcterms:W3CDTF">2021-05-10T01:30:00Z</dcterms:modified>
  <dc:language>en-AU</dc:language>
</cp:coreProperties>
</file>