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B456" w14:textId="77777777" w:rsidR="00C64410" w:rsidRDefault="00C64410" w:rsidP="00AD1E27">
      <w:pPr>
        <w:pStyle w:val="Heading1"/>
        <w:tabs>
          <w:tab w:val="left" w:pos="3924"/>
        </w:tabs>
        <w:spacing w:line="240" w:lineRule="auto"/>
        <w:ind w:left="-567" w:right="-567"/>
        <w:jc w:val="center"/>
        <w:rPr>
          <w:kern w:val="20"/>
          <w:sz w:val="24"/>
          <w:szCs w:val="24"/>
        </w:rPr>
      </w:pPr>
      <w:bookmarkStart w:id="0" w:name="_Toc240434976"/>
    </w:p>
    <w:p w14:paraId="0F545A38" w14:textId="7946A501" w:rsidR="00AD1E27" w:rsidRPr="00A3738C" w:rsidRDefault="00AD1E27" w:rsidP="00AD1E27">
      <w:pPr>
        <w:pStyle w:val="Heading1"/>
        <w:tabs>
          <w:tab w:val="left" w:pos="3924"/>
        </w:tabs>
        <w:spacing w:line="240" w:lineRule="auto"/>
        <w:ind w:left="-567" w:right="-567"/>
        <w:jc w:val="center"/>
        <w:rPr>
          <w:kern w:val="20"/>
          <w:sz w:val="24"/>
          <w:szCs w:val="24"/>
        </w:rPr>
      </w:pPr>
      <w:r w:rsidRPr="00A3738C">
        <w:rPr>
          <w:kern w:val="20"/>
          <w:sz w:val="24"/>
          <w:szCs w:val="24"/>
        </w:rPr>
        <w:t>COVER SHEET FOR SUBMISSIONS</w:t>
      </w:r>
      <w:bookmarkEnd w:id="0"/>
    </w:p>
    <w:p w14:paraId="38CA72F0" w14:textId="2F2CC459" w:rsidR="006B14DB" w:rsidRPr="00986EE2" w:rsidRDefault="00AD1E27" w:rsidP="00986EE2">
      <w:pPr>
        <w:pStyle w:val="Heading2"/>
        <w:jc w:val="center"/>
        <w:rPr>
          <w:sz w:val="24"/>
          <w:szCs w:val="24"/>
        </w:rPr>
      </w:pPr>
      <w:r w:rsidRPr="00A3738C">
        <w:rPr>
          <w:sz w:val="24"/>
          <w:szCs w:val="24"/>
        </w:rPr>
        <w:t>I</w:t>
      </w:r>
      <w:r w:rsidRPr="00A3738C">
        <w:rPr>
          <w:rStyle w:val="Heading2Char"/>
          <w:b/>
          <w:sz w:val="24"/>
          <w:szCs w:val="24"/>
        </w:rPr>
        <w:t>ndependent Review into the Future Security of the National Electricity Market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05"/>
      </w:tblGrid>
      <w:tr w:rsidR="00A3738C" w:rsidRPr="00287200" w14:paraId="2B288A46" w14:textId="77777777" w:rsidTr="00D72A62">
        <w:trPr>
          <w:trHeight w:val="1275"/>
          <w:jc w:val="center"/>
        </w:trPr>
        <w:tc>
          <w:tcPr>
            <w:tcW w:w="9274" w:type="dxa"/>
            <w:gridSpan w:val="2"/>
          </w:tcPr>
          <w:p w14:paraId="42DBBCB1" w14:textId="77777777" w:rsidR="00A3738C" w:rsidRPr="00A62292" w:rsidRDefault="00A3738C" w:rsidP="00A62292">
            <w:pPr>
              <w:pStyle w:val="Style2"/>
            </w:pPr>
            <w:r w:rsidRPr="00A62292">
              <w:t>Overview</w:t>
            </w:r>
          </w:p>
          <w:p w14:paraId="4E79A129" w14:textId="64DA1F45" w:rsidR="00A3738C" w:rsidRPr="001B6F5B" w:rsidRDefault="00A3738C" w:rsidP="00A3738C">
            <w:pPr>
              <w:spacing w:before="120" w:after="120"/>
              <w:rPr>
                <w:rFonts w:cs="Arial"/>
                <w:sz w:val="20"/>
              </w:rPr>
            </w:pPr>
            <w:r>
              <w:rPr>
                <w:rFonts w:cs="Arial"/>
                <w:sz w:val="20"/>
              </w:rPr>
              <w:t xml:space="preserve">Please include this cover sheet with your </w:t>
            </w:r>
            <w:r w:rsidRPr="006449BA">
              <w:rPr>
                <w:rFonts w:cs="Arial"/>
                <w:sz w:val="20"/>
              </w:rPr>
              <w:t xml:space="preserve">submission on the </w:t>
            </w:r>
            <w:r>
              <w:rPr>
                <w:rFonts w:cs="Arial"/>
                <w:sz w:val="20"/>
              </w:rPr>
              <w:t>Preliminary Report of the Independent Review into the Future Security of the National Electricity Market</w:t>
            </w:r>
            <w:r w:rsidRPr="006449BA">
              <w:rPr>
                <w:rFonts w:cs="Arial"/>
                <w:sz w:val="20"/>
              </w:rPr>
              <w:t xml:space="preserve">. </w:t>
            </w:r>
          </w:p>
        </w:tc>
      </w:tr>
      <w:tr w:rsidR="00A3738C" w:rsidRPr="00287200" w14:paraId="5834D254" w14:textId="77777777" w:rsidTr="00D72A62">
        <w:trPr>
          <w:trHeight w:val="902"/>
          <w:jc w:val="center"/>
        </w:trPr>
        <w:tc>
          <w:tcPr>
            <w:tcW w:w="9274" w:type="dxa"/>
            <w:gridSpan w:val="2"/>
          </w:tcPr>
          <w:p w14:paraId="4D4D6AE2" w14:textId="77777777" w:rsidR="00A3738C" w:rsidRPr="00A62292" w:rsidRDefault="00A3738C" w:rsidP="00A62292">
            <w:pPr>
              <w:pStyle w:val="Style2"/>
            </w:pPr>
            <w:r w:rsidRPr="00A62292">
              <w:t xml:space="preserve">Background </w:t>
            </w:r>
          </w:p>
          <w:p w14:paraId="345E5C88" w14:textId="4873A411" w:rsidR="006F5741" w:rsidRPr="006F5741" w:rsidRDefault="006F5741" w:rsidP="006F5741">
            <w:pPr>
              <w:spacing w:before="120" w:after="120"/>
              <w:rPr>
                <w:rFonts w:cs="Arial"/>
                <w:sz w:val="20"/>
              </w:rPr>
            </w:pPr>
            <w:r>
              <w:rPr>
                <w:rFonts w:cs="Arial"/>
                <w:sz w:val="20"/>
              </w:rPr>
              <w:t>The</w:t>
            </w:r>
            <w:r w:rsidRPr="006F5741">
              <w:rPr>
                <w:rFonts w:cs="Arial"/>
                <w:sz w:val="20"/>
              </w:rPr>
              <w:t xml:space="preserve"> Preliminary Report outlines the Panel’s observations about the current state </w:t>
            </w:r>
            <w:r>
              <w:rPr>
                <w:rFonts w:cs="Arial"/>
                <w:sz w:val="20"/>
              </w:rPr>
              <w:t xml:space="preserve">of the NEM and offers questions </w:t>
            </w:r>
            <w:r w:rsidRPr="006F5741">
              <w:rPr>
                <w:rFonts w:cs="Arial"/>
                <w:sz w:val="20"/>
              </w:rPr>
              <w:t>on the major issues the Panel has identified. The questions are designed to eli</w:t>
            </w:r>
            <w:r>
              <w:rPr>
                <w:rFonts w:cs="Arial"/>
                <w:sz w:val="20"/>
              </w:rPr>
              <w:t xml:space="preserve">cit suggestions or answers that </w:t>
            </w:r>
            <w:r w:rsidRPr="006F5741">
              <w:rPr>
                <w:rFonts w:cs="Arial"/>
                <w:sz w:val="20"/>
              </w:rPr>
              <w:t>may help form the Panel’s final recommendations.</w:t>
            </w:r>
          </w:p>
          <w:p w14:paraId="32D5AFBB" w14:textId="610FF7FB" w:rsidR="006F5741" w:rsidRDefault="006F5741" w:rsidP="006F5741">
            <w:pPr>
              <w:spacing w:before="120" w:after="120"/>
              <w:rPr>
                <w:rFonts w:cs="Arial"/>
                <w:sz w:val="20"/>
              </w:rPr>
            </w:pPr>
            <w:r>
              <w:rPr>
                <w:rFonts w:cs="Arial"/>
                <w:sz w:val="20"/>
              </w:rPr>
              <w:t>The</w:t>
            </w:r>
            <w:r w:rsidRPr="006F5741">
              <w:rPr>
                <w:rFonts w:cs="Arial"/>
                <w:sz w:val="20"/>
              </w:rPr>
              <w:t xml:space="preserve"> Preliminary Report serves as an issues paper for broad </w:t>
            </w:r>
            <w:r>
              <w:rPr>
                <w:rFonts w:cs="Arial"/>
                <w:sz w:val="20"/>
              </w:rPr>
              <w:t xml:space="preserve">public consultation. As </w:t>
            </w:r>
            <w:r w:rsidRPr="006F5741">
              <w:rPr>
                <w:rFonts w:cs="Arial"/>
                <w:sz w:val="20"/>
              </w:rPr>
              <w:t>such, the questions and views will be subject to further consideration and discussi</w:t>
            </w:r>
            <w:r>
              <w:rPr>
                <w:rFonts w:cs="Arial"/>
                <w:sz w:val="20"/>
              </w:rPr>
              <w:t xml:space="preserve">on, in anticipation of the final </w:t>
            </w:r>
            <w:r w:rsidRPr="006F5741">
              <w:rPr>
                <w:rFonts w:cs="Arial"/>
                <w:sz w:val="20"/>
              </w:rPr>
              <w:t>blueprint being produced in 2017.</w:t>
            </w:r>
          </w:p>
          <w:p w14:paraId="7857B7D8" w14:textId="4AC3546D" w:rsidR="006F5741" w:rsidRPr="001B6F5B" w:rsidRDefault="006F5741" w:rsidP="006F5741">
            <w:pPr>
              <w:spacing w:before="120" w:after="120"/>
              <w:rPr>
                <w:rFonts w:cs="Arial"/>
                <w:sz w:val="20"/>
              </w:rPr>
            </w:pPr>
            <w:r w:rsidRPr="006F5741">
              <w:rPr>
                <w:rFonts w:cs="Arial"/>
                <w:sz w:val="20"/>
              </w:rPr>
              <w:t>Stakeholders are encouraged to keep their submissions as succinct as possible, and include a one-page</w:t>
            </w:r>
            <w:r>
              <w:rPr>
                <w:rFonts w:cs="Arial"/>
                <w:sz w:val="20"/>
              </w:rPr>
              <w:t xml:space="preserve"> </w:t>
            </w:r>
            <w:r w:rsidRPr="006F5741">
              <w:rPr>
                <w:rFonts w:cs="Arial"/>
                <w:sz w:val="20"/>
              </w:rPr>
              <w:t>executive summary.</w:t>
            </w:r>
          </w:p>
        </w:tc>
      </w:tr>
      <w:tr w:rsidR="00A3738C" w:rsidRPr="00287200" w14:paraId="2869C782" w14:textId="77777777" w:rsidTr="00D72A62">
        <w:trPr>
          <w:trHeight w:val="442"/>
          <w:jc w:val="center"/>
        </w:trPr>
        <w:tc>
          <w:tcPr>
            <w:tcW w:w="9274" w:type="dxa"/>
            <w:gridSpan w:val="2"/>
          </w:tcPr>
          <w:p w14:paraId="7D75B9E7" w14:textId="77777777" w:rsidR="00A3738C" w:rsidRPr="00287200" w:rsidRDefault="00A3738C" w:rsidP="00A62292">
            <w:pPr>
              <w:pStyle w:val="Style2"/>
            </w:pPr>
            <w:r w:rsidRPr="00287200">
              <w:t>Contact Details</w:t>
            </w:r>
          </w:p>
        </w:tc>
      </w:tr>
      <w:tr w:rsidR="00A3738C" w:rsidRPr="00287200" w14:paraId="448703ED" w14:textId="77777777" w:rsidTr="00D72A62">
        <w:trPr>
          <w:trHeight w:val="336"/>
          <w:jc w:val="center"/>
        </w:trPr>
        <w:tc>
          <w:tcPr>
            <w:tcW w:w="2453" w:type="dxa"/>
          </w:tcPr>
          <w:p w14:paraId="7D1791FA" w14:textId="10D9BC01" w:rsidR="00A3738C" w:rsidRPr="00FD1F8E" w:rsidRDefault="00A3738C" w:rsidP="00BA3CAC">
            <w:pPr>
              <w:spacing w:before="120" w:after="120"/>
              <w:rPr>
                <w:rFonts w:cs="Arial"/>
                <w:b/>
                <w:sz w:val="20"/>
                <w:szCs w:val="20"/>
                <w:lang w:val="en-GB"/>
              </w:rPr>
            </w:pPr>
            <w:r w:rsidRPr="00FD1F8E">
              <w:rPr>
                <w:rFonts w:cs="Arial"/>
                <w:b/>
                <w:sz w:val="20"/>
                <w:szCs w:val="20"/>
                <w:lang w:val="en-GB"/>
              </w:rPr>
              <w:t>Name of Organisation</w:t>
            </w:r>
            <w:r w:rsidR="00986EE2">
              <w:rPr>
                <w:rFonts w:cs="Arial"/>
                <w:b/>
                <w:sz w:val="20"/>
                <w:szCs w:val="20"/>
                <w:lang w:val="en-GB"/>
              </w:rPr>
              <w:t xml:space="preserve"> (where applicable)</w:t>
            </w:r>
          </w:p>
        </w:tc>
        <w:tc>
          <w:tcPr>
            <w:tcW w:w="6821" w:type="dxa"/>
          </w:tcPr>
          <w:p w14:paraId="0C48162A" w14:textId="7599E557" w:rsidR="00A3738C" w:rsidRPr="00FD1F8E" w:rsidRDefault="00662FA0" w:rsidP="00BA3CAC">
            <w:pPr>
              <w:spacing w:before="120" w:after="120"/>
              <w:rPr>
                <w:rFonts w:cs="Arial"/>
                <w:sz w:val="20"/>
                <w:szCs w:val="20"/>
              </w:rPr>
            </w:pPr>
            <w:r>
              <w:rPr>
                <w:rFonts w:cs="Arial"/>
                <w:sz w:val="20"/>
                <w:szCs w:val="20"/>
              </w:rPr>
              <w:t>Nature Conservation Council of NSW</w:t>
            </w:r>
          </w:p>
        </w:tc>
      </w:tr>
      <w:tr w:rsidR="00A3738C" w:rsidRPr="00287200" w14:paraId="7DD51EBC" w14:textId="77777777" w:rsidTr="00D72A62">
        <w:trPr>
          <w:trHeight w:val="336"/>
          <w:jc w:val="center"/>
        </w:trPr>
        <w:tc>
          <w:tcPr>
            <w:tcW w:w="2453" w:type="dxa"/>
          </w:tcPr>
          <w:p w14:paraId="0AAE7D8F" w14:textId="77777777" w:rsidR="00A3738C" w:rsidRPr="00FD1F8E" w:rsidRDefault="00A3738C" w:rsidP="00BA3CAC">
            <w:pPr>
              <w:spacing w:before="120" w:after="120"/>
              <w:rPr>
                <w:rFonts w:cs="Arial"/>
                <w:b/>
                <w:sz w:val="20"/>
                <w:szCs w:val="20"/>
                <w:lang w:val="en-GB"/>
              </w:rPr>
            </w:pPr>
            <w:r w:rsidRPr="00FD1F8E">
              <w:rPr>
                <w:rFonts w:cs="Arial"/>
                <w:b/>
                <w:sz w:val="20"/>
                <w:szCs w:val="20"/>
                <w:lang w:val="en-GB"/>
              </w:rPr>
              <w:t>Name of Author</w:t>
            </w:r>
          </w:p>
        </w:tc>
        <w:tc>
          <w:tcPr>
            <w:tcW w:w="6821" w:type="dxa"/>
          </w:tcPr>
          <w:p w14:paraId="63137DFC" w14:textId="2C003B55" w:rsidR="00A3738C" w:rsidRPr="00FD1F8E" w:rsidRDefault="00662FA0" w:rsidP="00BA3CAC">
            <w:pPr>
              <w:spacing w:before="120" w:after="120"/>
              <w:rPr>
                <w:rFonts w:cs="Arial"/>
                <w:b/>
                <w:sz w:val="20"/>
                <w:szCs w:val="20"/>
                <w:lang w:val="en-GB"/>
              </w:rPr>
            </w:pPr>
            <w:r>
              <w:rPr>
                <w:rFonts w:cs="Arial"/>
                <w:b/>
                <w:sz w:val="20"/>
                <w:szCs w:val="20"/>
                <w:lang w:val="en-GB"/>
              </w:rPr>
              <w:t>Bradley Smith, Senior Climate and Energy Campaigner</w:t>
            </w:r>
          </w:p>
        </w:tc>
      </w:tr>
      <w:tr w:rsidR="00A3738C" w:rsidRPr="00287200" w14:paraId="4FD16561" w14:textId="77777777" w:rsidTr="00D72A62">
        <w:trPr>
          <w:trHeight w:val="336"/>
          <w:jc w:val="center"/>
        </w:trPr>
        <w:tc>
          <w:tcPr>
            <w:tcW w:w="2453" w:type="dxa"/>
          </w:tcPr>
          <w:p w14:paraId="74090B9A" w14:textId="319AD3C4" w:rsidR="00A3738C" w:rsidRPr="00FD1F8E" w:rsidRDefault="00A3738C" w:rsidP="00BA3CAC">
            <w:pPr>
              <w:spacing w:before="120" w:after="120"/>
              <w:rPr>
                <w:rFonts w:cs="Arial"/>
                <w:b/>
                <w:sz w:val="20"/>
                <w:szCs w:val="20"/>
                <w:lang w:val="en-GB"/>
              </w:rPr>
            </w:pPr>
            <w:r w:rsidRPr="00FD1F8E">
              <w:rPr>
                <w:rFonts w:cs="Arial"/>
                <w:b/>
                <w:sz w:val="20"/>
                <w:szCs w:val="20"/>
                <w:lang w:val="en-GB"/>
              </w:rPr>
              <w:t>Phone Number</w:t>
            </w:r>
            <w:r w:rsidR="00986EE2">
              <w:rPr>
                <w:rFonts w:cs="Arial"/>
                <w:b/>
                <w:sz w:val="20"/>
                <w:szCs w:val="20"/>
                <w:lang w:val="en-GB"/>
              </w:rPr>
              <w:t xml:space="preserve"> (optional)</w:t>
            </w:r>
          </w:p>
        </w:tc>
        <w:tc>
          <w:tcPr>
            <w:tcW w:w="6821" w:type="dxa"/>
          </w:tcPr>
          <w:p w14:paraId="1A0F1626" w14:textId="056B47AF" w:rsidR="00A3738C" w:rsidRPr="00FD1F8E" w:rsidRDefault="00662FA0" w:rsidP="00662FA0">
            <w:pPr>
              <w:rPr>
                <w:rFonts w:cs="Arial"/>
                <w:sz w:val="20"/>
                <w:szCs w:val="20"/>
              </w:rPr>
            </w:pPr>
            <w:r>
              <w:rPr>
                <w:rFonts w:cs="Arial"/>
                <w:sz w:val="20"/>
                <w:szCs w:val="20"/>
              </w:rPr>
              <w:t>(02) 9516 1488</w:t>
            </w:r>
          </w:p>
        </w:tc>
      </w:tr>
      <w:tr w:rsidR="00A3738C" w:rsidRPr="00287200" w14:paraId="0B8531B0" w14:textId="77777777" w:rsidTr="00D72A62">
        <w:trPr>
          <w:trHeight w:val="336"/>
          <w:jc w:val="center"/>
        </w:trPr>
        <w:tc>
          <w:tcPr>
            <w:tcW w:w="2453" w:type="dxa"/>
          </w:tcPr>
          <w:p w14:paraId="2F2B0F35" w14:textId="77777777" w:rsidR="00A3738C" w:rsidRPr="00FD1F8E" w:rsidRDefault="00A3738C" w:rsidP="00BA3CAC">
            <w:pPr>
              <w:spacing w:before="120" w:after="120"/>
              <w:rPr>
                <w:rFonts w:cs="Arial"/>
                <w:b/>
                <w:sz w:val="20"/>
                <w:szCs w:val="20"/>
                <w:lang w:val="en-GB"/>
              </w:rPr>
            </w:pPr>
            <w:r w:rsidRPr="00FD1F8E">
              <w:rPr>
                <w:rFonts w:cs="Arial"/>
                <w:b/>
                <w:sz w:val="20"/>
                <w:szCs w:val="20"/>
                <w:lang w:val="en-GB"/>
              </w:rPr>
              <w:t>Email</w:t>
            </w:r>
          </w:p>
        </w:tc>
        <w:tc>
          <w:tcPr>
            <w:tcW w:w="6821" w:type="dxa"/>
          </w:tcPr>
          <w:p w14:paraId="21F33D59" w14:textId="571BBCF9" w:rsidR="00A3738C" w:rsidRPr="00FD1F8E" w:rsidRDefault="003063A2" w:rsidP="00BA3CAC">
            <w:pPr>
              <w:spacing w:before="120" w:after="120"/>
              <w:rPr>
                <w:rFonts w:cs="Arial"/>
                <w:sz w:val="20"/>
                <w:szCs w:val="20"/>
              </w:rPr>
            </w:pPr>
            <w:hyperlink r:id="rId8" w:history="1">
              <w:r w:rsidR="00662FA0" w:rsidRPr="00D00060">
                <w:rPr>
                  <w:rStyle w:val="Hyperlink"/>
                  <w:rFonts w:cs="Arial"/>
                  <w:sz w:val="20"/>
                  <w:szCs w:val="20"/>
                  <w:bdr w:val="none" w:sz="0" w:space="0" w:color="auto"/>
                </w:rPr>
                <w:t>bsmith@nature.org.au</w:t>
              </w:r>
            </w:hyperlink>
          </w:p>
        </w:tc>
      </w:tr>
      <w:tr w:rsidR="00A3738C" w:rsidRPr="00287200" w14:paraId="01322DE0" w14:textId="77777777" w:rsidTr="00D72A62">
        <w:trPr>
          <w:trHeight w:val="336"/>
          <w:jc w:val="center"/>
        </w:trPr>
        <w:tc>
          <w:tcPr>
            <w:tcW w:w="2453" w:type="dxa"/>
          </w:tcPr>
          <w:p w14:paraId="50E7468D" w14:textId="7D169814" w:rsidR="00A3738C" w:rsidRPr="00FD1F8E" w:rsidRDefault="00A3738C" w:rsidP="00BA3CAC">
            <w:pPr>
              <w:spacing w:before="120" w:after="120"/>
              <w:rPr>
                <w:rFonts w:cs="Arial"/>
                <w:b/>
                <w:sz w:val="20"/>
                <w:szCs w:val="20"/>
                <w:lang w:val="en-GB"/>
              </w:rPr>
            </w:pPr>
            <w:r>
              <w:rPr>
                <w:rFonts w:cs="Arial"/>
                <w:b/>
                <w:sz w:val="20"/>
                <w:szCs w:val="20"/>
                <w:lang w:val="en-GB"/>
              </w:rPr>
              <w:t>Address</w:t>
            </w:r>
          </w:p>
        </w:tc>
        <w:tc>
          <w:tcPr>
            <w:tcW w:w="6821" w:type="dxa"/>
          </w:tcPr>
          <w:p w14:paraId="4B6B1E3F" w14:textId="77777777" w:rsidR="00A3738C" w:rsidRDefault="00662FA0" w:rsidP="00BA3CAC">
            <w:pPr>
              <w:spacing w:before="120" w:after="120"/>
              <w:rPr>
                <w:rFonts w:cs="Arial"/>
                <w:sz w:val="20"/>
                <w:szCs w:val="20"/>
              </w:rPr>
            </w:pPr>
            <w:r>
              <w:rPr>
                <w:rFonts w:cs="Arial"/>
                <w:sz w:val="20"/>
                <w:szCs w:val="20"/>
              </w:rPr>
              <w:t>Level 14, 338 Pitt St, Sydney 2000</w:t>
            </w:r>
          </w:p>
          <w:p w14:paraId="538A7187" w14:textId="51415029" w:rsidR="00662FA0" w:rsidRPr="00FD1F8E" w:rsidRDefault="00662FA0" w:rsidP="00BA3CAC">
            <w:pPr>
              <w:spacing w:before="120" w:after="120"/>
              <w:rPr>
                <w:rFonts w:cs="Arial"/>
                <w:sz w:val="20"/>
                <w:szCs w:val="20"/>
              </w:rPr>
            </w:pPr>
            <w:r>
              <w:rPr>
                <w:rFonts w:cs="Arial"/>
                <w:sz w:val="20"/>
                <w:szCs w:val="20"/>
              </w:rPr>
              <w:t xml:space="preserve">Mail: </w:t>
            </w:r>
            <w:r w:rsidRPr="00662FA0">
              <w:rPr>
                <w:rFonts w:cs="Arial"/>
                <w:sz w:val="20"/>
                <w:szCs w:val="20"/>
              </w:rPr>
              <w:t>PO Box 20232, World Square, NSW, 2002</w:t>
            </w:r>
          </w:p>
        </w:tc>
      </w:tr>
      <w:tr w:rsidR="00A3738C" w:rsidRPr="00287200" w14:paraId="029D3E9B" w14:textId="77777777" w:rsidTr="00D72A62">
        <w:trPr>
          <w:trHeight w:val="336"/>
          <w:jc w:val="center"/>
        </w:trPr>
        <w:tc>
          <w:tcPr>
            <w:tcW w:w="2453" w:type="dxa"/>
          </w:tcPr>
          <w:p w14:paraId="0FCFE2D0" w14:textId="677422F0" w:rsidR="00A3738C" w:rsidRPr="00FD1F8E" w:rsidRDefault="00A3738C" w:rsidP="00BA3CAC">
            <w:pPr>
              <w:spacing w:before="120" w:after="120"/>
              <w:rPr>
                <w:rFonts w:cs="Arial"/>
                <w:b/>
                <w:sz w:val="20"/>
                <w:szCs w:val="20"/>
                <w:lang w:val="en-GB"/>
              </w:rPr>
            </w:pPr>
            <w:r>
              <w:rPr>
                <w:rFonts w:cs="Arial"/>
                <w:b/>
                <w:sz w:val="20"/>
                <w:szCs w:val="20"/>
                <w:lang w:val="en-GB"/>
              </w:rPr>
              <w:t>Website</w:t>
            </w:r>
            <w:r w:rsidR="00986EE2">
              <w:rPr>
                <w:rFonts w:cs="Arial"/>
                <w:b/>
                <w:sz w:val="20"/>
                <w:szCs w:val="20"/>
                <w:lang w:val="en-GB"/>
              </w:rPr>
              <w:t xml:space="preserve"> (optional)</w:t>
            </w:r>
          </w:p>
        </w:tc>
        <w:tc>
          <w:tcPr>
            <w:tcW w:w="6821" w:type="dxa"/>
          </w:tcPr>
          <w:p w14:paraId="353D100B" w14:textId="3563A985" w:rsidR="00A3738C" w:rsidRPr="00FD1F8E" w:rsidRDefault="00662FA0" w:rsidP="00BA3CAC">
            <w:pPr>
              <w:spacing w:before="120" w:after="120"/>
              <w:rPr>
                <w:rFonts w:cs="Arial"/>
                <w:sz w:val="20"/>
                <w:szCs w:val="20"/>
              </w:rPr>
            </w:pPr>
            <w:r>
              <w:rPr>
                <w:rFonts w:cs="Arial"/>
                <w:sz w:val="20"/>
                <w:szCs w:val="20"/>
              </w:rPr>
              <w:t>Nature.org.au</w:t>
            </w:r>
          </w:p>
        </w:tc>
      </w:tr>
      <w:tr w:rsidR="00A3738C" w:rsidRPr="00287200" w14:paraId="33701A3E" w14:textId="77777777" w:rsidTr="00D72A62">
        <w:trPr>
          <w:jc w:val="center"/>
        </w:trPr>
        <w:tc>
          <w:tcPr>
            <w:tcW w:w="9274" w:type="dxa"/>
            <w:gridSpan w:val="2"/>
            <w:vAlign w:val="center"/>
          </w:tcPr>
          <w:p w14:paraId="0B21AB58" w14:textId="77777777" w:rsidR="00A62292" w:rsidRPr="00287200" w:rsidRDefault="00A62292" w:rsidP="00A62292">
            <w:pPr>
              <w:pStyle w:val="Style2"/>
            </w:pPr>
            <w:r w:rsidRPr="00287200">
              <w:lastRenderedPageBreak/>
              <w:t xml:space="preserve">Confidentiality </w:t>
            </w:r>
            <w:r>
              <w:t>and Privacy</w:t>
            </w:r>
          </w:p>
          <w:p w14:paraId="25B6FCFA" w14:textId="77777777" w:rsidR="00A62292" w:rsidRPr="00FD1F8E" w:rsidRDefault="00A62292" w:rsidP="00A62292">
            <w:pPr>
              <w:pStyle w:val="NormalWeb"/>
              <w:spacing w:before="200" w:after="200" w:line="276" w:lineRule="auto"/>
              <w:rPr>
                <w:rFonts w:ascii="Arial" w:hAnsi="Arial" w:cs="Arial"/>
                <w:sz w:val="20"/>
                <w:szCs w:val="22"/>
              </w:rPr>
            </w:pPr>
            <w:r w:rsidRPr="007F5C9F">
              <w:rPr>
                <w:rFonts w:ascii="Arial" w:hAnsi="Arial" w:cs="Arial"/>
                <w:sz w:val="20"/>
                <w:szCs w:val="22"/>
              </w:rPr>
              <w:t xml:space="preserve">The Department will treat all submissions as public documents, unless the author requests the submission </w:t>
            </w:r>
            <w:r>
              <w:rPr>
                <w:rFonts w:ascii="Arial" w:hAnsi="Arial" w:cs="Arial"/>
                <w:sz w:val="20"/>
                <w:szCs w:val="22"/>
              </w:rPr>
              <w:t>be treated as confidential</w:t>
            </w:r>
            <w:r w:rsidRPr="007F5C9F">
              <w:rPr>
                <w:rFonts w:ascii="Arial" w:hAnsi="Arial" w:cs="Arial"/>
                <w:sz w:val="20"/>
                <w:szCs w:val="22"/>
              </w:rPr>
              <w:t>.</w:t>
            </w:r>
          </w:p>
          <w:p w14:paraId="7813CA86" w14:textId="77777777" w:rsidR="00A62292" w:rsidRPr="00FD1F8E" w:rsidRDefault="00A62292" w:rsidP="00A62292">
            <w:pPr>
              <w:pStyle w:val="NormalWeb"/>
              <w:spacing w:before="200" w:after="200" w:line="276" w:lineRule="auto"/>
              <w:rPr>
                <w:rFonts w:ascii="Arial" w:hAnsi="Arial" w:cs="Arial"/>
                <w:sz w:val="20"/>
                <w:szCs w:val="22"/>
              </w:rPr>
            </w:pPr>
            <w:r w:rsidRPr="00FD1F8E">
              <w:rPr>
                <w:rFonts w:ascii="Arial" w:hAnsi="Arial" w:cs="Arial"/>
                <w:sz w:val="20"/>
                <w:szCs w:val="22"/>
              </w:rPr>
              <w:t xml:space="preserve">Public submissions will be published in full on the Department’s website. </w:t>
            </w:r>
            <w:r>
              <w:rPr>
                <w:rFonts w:ascii="Arial" w:hAnsi="Arial" w:cs="Arial"/>
                <w:sz w:val="20"/>
                <w:szCs w:val="22"/>
              </w:rPr>
              <w:t xml:space="preserve">The Department will publish your name, organisation (if applicable) and state or territory with your submission. </w:t>
            </w:r>
          </w:p>
          <w:p w14:paraId="2A4D705D" w14:textId="77777777" w:rsidR="00A62292" w:rsidRPr="00FD1F8E" w:rsidRDefault="00A62292" w:rsidP="00A62292">
            <w:pPr>
              <w:pStyle w:val="NormalWeb"/>
              <w:spacing w:before="200" w:after="200" w:line="276" w:lineRule="auto"/>
              <w:rPr>
                <w:rFonts w:ascii="Arial" w:hAnsi="Arial" w:cs="Arial"/>
                <w:sz w:val="20"/>
                <w:szCs w:val="22"/>
              </w:rPr>
            </w:pPr>
            <w:r>
              <w:rPr>
                <w:rFonts w:ascii="Arial" w:hAnsi="Arial" w:cs="Arial"/>
                <w:sz w:val="20"/>
                <w:szCs w:val="22"/>
              </w:rPr>
              <w:t xml:space="preserve">A request may be </w:t>
            </w:r>
            <w:r w:rsidRPr="006F5741">
              <w:rPr>
                <w:rFonts w:ascii="Arial" w:hAnsi="Arial" w:cs="Arial"/>
                <w:sz w:val="20"/>
                <w:szCs w:val="22"/>
              </w:rPr>
              <w:t xml:space="preserve">made under the </w:t>
            </w:r>
            <w:r w:rsidRPr="006F5741">
              <w:rPr>
                <w:rFonts w:ascii="Arial" w:hAnsi="Arial" w:cs="Arial"/>
                <w:i/>
                <w:sz w:val="20"/>
                <w:szCs w:val="22"/>
              </w:rPr>
              <w:t>Freedom of Information Act 1982</w:t>
            </w:r>
            <w:r>
              <w:rPr>
                <w:rFonts w:ascii="Arial" w:hAnsi="Arial" w:cs="Arial"/>
                <w:sz w:val="20"/>
                <w:szCs w:val="22"/>
              </w:rPr>
              <w:t xml:space="preserve"> (Commonwealth</w:t>
            </w:r>
            <w:r w:rsidRPr="006F5741">
              <w:rPr>
                <w:rFonts w:ascii="Arial" w:hAnsi="Arial" w:cs="Arial"/>
                <w:sz w:val="20"/>
                <w:szCs w:val="22"/>
              </w:rPr>
              <w:t>) for a submission marked ‘confidential’ to be</w:t>
            </w:r>
            <w:r>
              <w:rPr>
                <w:rFonts w:ascii="Arial" w:hAnsi="Arial" w:cs="Arial"/>
                <w:sz w:val="20"/>
                <w:szCs w:val="22"/>
              </w:rPr>
              <w:t xml:space="preserve"> </w:t>
            </w:r>
            <w:r w:rsidRPr="006F5741">
              <w:rPr>
                <w:rFonts w:ascii="Arial" w:hAnsi="Arial" w:cs="Arial"/>
                <w:sz w:val="20"/>
                <w:szCs w:val="22"/>
              </w:rPr>
              <w:t>made available. Such requests will be determined in accordance with provisions under that Act.</w:t>
            </w:r>
          </w:p>
          <w:p w14:paraId="77DC7906" w14:textId="77777777" w:rsidR="00A62292" w:rsidRDefault="00A62292" w:rsidP="00A62292">
            <w:pPr>
              <w:pStyle w:val="NormalWeb"/>
              <w:spacing w:before="200" w:after="200" w:line="276" w:lineRule="auto"/>
              <w:rPr>
                <w:rFonts w:ascii="Arial" w:hAnsi="Arial" w:cs="Arial"/>
                <w:sz w:val="20"/>
                <w:szCs w:val="22"/>
              </w:rPr>
            </w:pPr>
            <w:r w:rsidRPr="008E366F">
              <w:rPr>
                <w:rFonts w:ascii="Arial" w:hAnsi="Arial" w:cs="Arial"/>
                <w:sz w:val="20"/>
                <w:szCs w:val="22"/>
              </w:rPr>
              <w:t>T</w:t>
            </w:r>
            <w:r>
              <w:rPr>
                <w:rFonts w:ascii="Arial" w:hAnsi="Arial" w:cs="Arial"/>
                <w:sz w:val="20"/>
                <w:szCs w:val="22"/>
              </w:rPr>
              <w:t>he Department will deal with personal information contained in, or provided in relation to, submissions in accordance with this cover sheet and its Privacy Policy (</w:t>
            </w:r>
            <w:hyperlink r:id="rId9" w:history="1">
              <w:r w:rsidRPr="003B4C7B">
                <w:rPr>
                  <w:rStyle w:val="Hyperlink"/>
                  <w:rFonts w:ascii="Arial" w:hAnsi="Arial" w:cs="Arial"/>
                  <w:sz w:val="20"/>
                  <w:szCs w:val="22"/>
                  <w:bdr w:val="none" w:sz="0" w:space="0" w:color="auto"/>
                </w:rPr>
                <w:t>http://www.environment.gov.au/privacy-policy</w:t>
              </w:r>
            </w:hyperlink>
            <w:r>
              <w:rPr>
                <w:rFonts w:ascii="Arial" w:hAnsi="Arial" w:cs="Arial"/>
                <w:sz w:val="20"/>
                <w:szCs w:val="22"/>
              </w:rPr>
              <w:t>). That personal information is collected for the purposes of identifying authors of submissions. It may be used and disclosed within the Department and to other persons for the purposes of carrying out the review, and otherwise as required or permitted by law.</w:t>
            </w:r>
          </w:p>
          <w:p w14:paraId="68E850C9" w14:textId="0CD98FD5" w:rsidR="003C0617" w:rsidRPr="006F5741" w:rsidRDefault="00A3738C" w:rsidP="00662FA0">
            <w:pPr>
              <w:spacing w:before="120" w:after="240"/>
              <w:rPr>
                <w:rFonts w:cs="Arial"/>
                <w:b/>
                <w:sz w:val="20"/>
                <w:lang w:val="en-GB"/>
              </w:rPr>
            </w:pPr>
            <w:r w:rsidRPr="00FD1F8E">
              <w:rPr>
                <w:rFonts w:cs="Arial"/>
                <w:b/>
                <w:sz w:val="20"/>
                <w:lang w:val="en-GB"/>
              </w:rPr>
              <w:t>Do you want this submission to be treated as</w:t>
            </w:r>
            <w:r w:rsidRPr="00FD1F8E">
              <w:rPr>
                <w:rFonts w:cs="Arial"/>
                <w:b/>
                <w:bCs/>
                <w:sz w:val="20"/>
                <w:lang w:val="en-GB"/>
              </w:rPr>
              <w:t xml:space="preserve"> confidential</w:t>
            </w:r>
            <w:r w:rsidR="00EF2D98">
              <w:rPr>
                <w:rFonts w:cs="Arial"/>
                <w:b/>
                <w:sz w:val="20"/>
                <w:lang w:val="en-GB"/>
              </w:rPr>
              <w:t xml:space="preserve">? </w:t>
            </w:r>
            <w:r w:rsidR="006F5741">
              <w:rPr>
                <w:rFonts w:cs="Arial"/>
                <w:b/>
                <w:sz w:val="20"/>
                <w:lang w:val="en-GB"/>
              </w:rPr>
              <w:t xml:space="preserve">         </w:t>
            </w:r>
            <w:r w:rsidR="00EF2D98">
              <w:rPr>
                <w:rFonts w:cs="Arial"/>
                <w:b/>
                <w:sz w:val="20"/>
                <w:lang w:val="en-GB"/>
              </w:rPr>
              <w:t xml:space="preserve">  </w:t>
            </w:r>
            <w:r w:rsidRPr="00FD1F8E">
              <w:rPr>
                <w:rFonts w:cs="Arial"/>
                <w:b/>
                <w:sz w:val="20"/>
                <w:bdr w:val="single" w:sz="4" w:space="0" w:color="auto"/>
                <w:lang w:val="en-GB"/>
              </w:rPr>
              <w:t xml:space="preserve">    </w:t>
            </w:r>
            <w:r>
              <w:rPr>
                <w:rFonts w:cs="Arial"/>
                <w:b/>
                <w:sz w:val="20"/>
                <w:lang w:val="en-GB"/>
              </w:rPr>
              <w:t xml:space="preserve"> Y</w:t>
            </w:r>
            <w:r w:rsidR="003C0617">
              <w:rPr>
                <w:rFonts w:cs="Arial"/>
                <w:b/>
                <w:sz w:val="20"/>
                <w:lang w:val="en-GB"/>
              </w:rPr>
              <w:t>es</w:t>
            </w:r>
            <w:r w:rsidR="006F5741">
              <w:rPr>
                <w:rFonts w:cs="Arial"/>
                <w:b/>
                <w:sz w:val="20"/>
                <w:lang w:val="en-GB"/>
              </w:rPr>
              <w:t xml:space="preserve">       </w:t>
            </w:r>
            <w:r w:rsidR="003C0617">
              <w:rPr>
                <w:rFonts w:cs="Arial"/>
                <w:b/>
                <w:sz w:val="20"/>
                <w:lang w:val="en-GB"/>
              </w:rPr>
              <w:t xml:space="preserve">  </w:t>
            </w:r>
            <w:r w:rsidRPr="00FD1F8E">
              <w:rPr>
                <w:rFonts w:cs="Arial"/>
                <w:b/>
                <w:sz w:val="20"/>
                <w:bdr w:val="single" w:sz="4" w:space="0" w:color="auto"/>
                <w:lang w:val="en-GB"/>
              </w:rPr>
              <w:t xml:space="preserve"> </w:t>
            </w:r>
            <w:r w:rsidR="00662FA0">
              <w:rPr>
                <w:rFonts w:cs="Arial"/>
                <w:b/>
                <w:sz w:val="20"/>
                <w:bdr w:val="single" w:sz="4" w:space="0" w:color="auto"/>
                <w:lang w:val="en-GB"/>
              </w:rPr>
              <w:sym w:font="Wingdings" w:char="F0FB"/>
            </w:r>
            <w:r w:rsidRPr="00FD1F8E">
              <w:rPr>
                <w:rFonts w:cs="Arial"/>
                <w:b/>
                <w:sz w:val="20"/>
                <w:bdr w:val="single" w:sz="4" w:space="0" w:color="auto"/>
                <w:lang w:val="en-GB"/>
              </w:rPr>
              <w:t xml:space="preserve"> </w:t>
            </w:r>
            <w:r>
              <w:rPr>
                <w:rFonts w:cs="Arial"/>
                <w:b/>
                <w:sz w:val="20"/>
                <w:lang w:val="en-GB"/>
              </w:rPr>
              <w:t xml:space="preserve"> No</w:t>
            </w:r>
          </w:p>
        </w:tc>
      </w:tr>
      <w:tr w:rsidR="00A3738C" w:rsidRPr="00287200" w14:paraId="315D19C5" w14:textId="77777777" w:rsidTr="00D72A62">
        <w:trPr>
          <w:jc w:val="center"/>
        </w:trPr>
        <w:tc>
          <w:tcPr>
            <w:tcW w:w="9274" w:type="dxa"/>
            <w:gridSpan w:val="2"/>
            <w:vAlign w:val="center"/>
          </w:tcPr>
          <w:p w14:paraId="6EAB9396" w14:textId="1884C63C" w:rsidR="00A3738C" w:rsidRPr="00287200" w:rsidRDefault="00A3738C" w:rsidP="00A62292">
            <w:pPr>
              <w:pStyle w:val="Style2"/>
            </w:pPr>
            <w:r w:rsidRPr="00287200">
              <w:t xml:space="preserve">Submission </w:t>
            </w:r>
            <w:r w:rsidR="004F25DE">
              <w:t>I</w:t>
            </w:r>
            <w:r w:rsidRPr="00287200">
              <w:t>nstructions</w:t>
            </w:r>
          </w:p>
          <w:p w14:paraId="6D90CEBD" w14:textId="314A7578" w:rsidR="006A7ACB" w:rsidRPr="00AA5986" w:rsidRDefault="006A7ACB" w:rsidP="00BA3CAC">
            <w:pPr>
              <w:pStyle w:val="NormalWeb"/>
              <w:spacing w:before="200" w:after="200" w:line="276" w:lineRule="auto"/>
              <w:rPr>
                <w:rFonts w:ascii="Arial" w:hAnsi="Arial" w:cs="Arial"/>
                <w:sz w:val="20"/>
                <w:szCs w:val="22"/>
              </w:rPr>
            </w:pPr>
            <w:r>
              <w:rPr>
                <w:rFonts w:ascii="Arial" w:hAnsi="Arial" w:cs="Arial"/>
                <w:sz w:val="20"/>
                <w:szCs w:val="22"/>
              </w:rPr>
              <w:t xml:space="preserve">The submission period will </w:t>
            </w:r>
            <w:r w:rsidR="00CB2ED0">
              <w:rPr>
                <w:rFonts w:ascii="Arial" w:hAnsi="Arial" w:cs="Arial"/>
                <w:sz w:val="20"/>
                <w:szCs w:val="22"/>
              </w:rPr>
              <w:t>be open until</w:t>
            </w:r>
            <w:r>
              <w:rPr>
                <w:rFonts w:ascii="Arial" w:hAnsi="Arial" w:cs="Arial"/>
                <w:sz w:val="20"/>
                <w:szCs w:val="22"/>
              </w:rPr>
              <w:t xml:space="preserve"> close of business on </w:t>
            </w:r>
            <w:r w:rsidR="008222C2">
              <w:rPr>
                <w:rFonts w:ascii="Arial" w:hAnsi="Arial" w:cs="Arial"/>
                <w:sz w:val="20"/>
                <w:szCs w:val="22"/>
              </w:rPr>
              <w:t xml:space="preserve">Tuesday </w:t>
            </w:r>
            <w:r w:rsidRPr="00CB2ED0">
              <w:rPr>
                <w:rFonts w:ascii="Arial" w:hAnsi="Arial" w:cs="Arial"/>
                <w:b/>
                <w:sz w:val="20"/>
                <w:szCs w:val="22"/>
              </w:rPr>
              <w:t>21 February 2017</w:t>
            </w:r>
            <w:r>
              <w:rPr>
                <w:rFonts w:ascii="Arial" w:hAnsi="Arial" w:cs="Arial"/>
                <w:sz w:val="20"/>
                <w:szCs w:val="22"/>
              </w:rPr>
              <w:t xml:space="preserve">.  </w:t>
            </w:r>
          </w:p>
          <w:p w14:paraId="2F10C4DD" w14:textId="12368121" w:rsidR="00A3738C" w:rsidRPr="006A7ACB" w:rsidRDefault="006A7ACB" w:rsidP="0061685C">
            <w:pPr>
              <w:pStyle w:val="NormalWeb"/>
              <w:spacing w:before="200" w:after="200" w:line="276" w:lineRule="auto"/>
              <w:rPr>
                <w:rFonts w:asciiTheme="minorHAnsi" w:hAnsiTheme="minorHAnsi"/>
                <w:szCs w:val="22"/>
              </w:rPr>
            </w:pPr>
            <w:r w:rsidRPr="006A7ACB">
              <w:rPr>
                <w:rFonts w:ascii="Arial" w:hAnsi="Arial" w:cs="Arial"/>
                <w:sz w:val="20"/>
                <w:szCs w:val="22"/>
              </w:rPr>
              <w:t xml:space="preserve">All submissions should be emailed to </w:t>
            </w:r>
            <w:r w:rsidR="0061685C">
              <w:rPr>
                <w:rFonts w:ascii="Arial" w:hAnsi="Arial" w:cs="Arial"/>
                <w:sz w:val="20"/>
                <w:szCs w:val="22"/>
              </w:rPr>
              <w:t>the NEM Security Review at the</w:t>
            </w:r>
            <w:r w:rsidRPr="006A7ACB">
              <w:rPr>
                <w:rFonts w:ascii="Arial" w:hAnsi="Arial" w:cs="Arial"/>
                <w:sz w:val="20"/>
                <w:szCs w:val="22"/>
              </w:rPr>
              <w:t xml:space="preserve"> mailbox: </w:t>
            </w:r>
            <w:hyperlink r:id="rId10" w:history="1">
              <w:r w:rsidRPr="006A7ACB">
                <w:rPr>
                  <w:rFonts w:ascii="Arial" w:hAnsi="Arial" w:cs="Arial"/>
                  <w:sz w:val="20"/>
                  <w:szCs w:val="22"/>
                </w:rPr>
                <w:t>NEMSecurityReview@environment.gov.au</w:t>
              </w:r>
            </w:hyperlink>
          </w:p>
        </w:tc>
      </w:tr>
    </w:tbl>
    <w:p w14:paraId="3CCB78C5" w14:textId="2C42A9ED" w:rsidR="00CA32AE" w:rsidRDefault="00CA32AE" w:rsidP="0026141E">
      <w:pPr>
        <w:rPr>
          <w:rFonts w:asciiTheme="minorHAnsi" w:hAnsiTheme="minorHAnsi"/>
          <w:sz w:val="20"/>
          <w:szCs w:val="20"/>
        </w:rPr>
      </w:pPr>
    </w:p>
    <w:p w14:paraId="147DB0CF" w14:textId="77777777" w:rsidR="00CA32AE" w:rsidRDefault="00CA32AE">
      <w:pPr>
        <w:spacing w:after="0" w:line="240" w:lineRule="auto"/>
        <w:rPr>
          <w:rFonts w:asciiTheme="minorHAnsi" w:hAnsiTheme="minorHAnsi"/>
          <w:sz w:val="20"/>
          <w:szCs w:val="20"/>
        </w:rPr>
      </w:pPr>
      <w:r>
        <w:rPr>
          <w:rFonts w:asciiTheme="minorHAnsi" w:hAnsiTheme="minorHAnsi"/>
          <w:sz w:val="20"/>
          <w:szCs w:val="20"/>
        </w:rPr>
        <w:br w:type="page"/>
      </w:r>
    </w:p>
    <w:p w14:paraId="1F8A2243" w14:textId="38A290FD"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Pr>
          <w:noProof/>
          <w:lang w:eastAsia="en-AU"/>
        </w:rPr>
        <w:lastRenderedPageBreak/>
        <w:drawing>
          <wp:anchor distT="0" distB="0" distL="114300" distR="114300" simplePos="0" relativeHeight="251659264" behindDoc="0" locked="0" layoutInCell="0" hidden="0" allowOverlap="1" wp14:anchorId="41044320" wp14:editId="6CBC6551">
            <wp:simplePos x="0" y="0"/>
            <wp:positionH relativeFrom="margin">
              <wp:posOffset>-297180</wp:posOffset>
            </wp:positionH>
            <wp:positionV relativeFrom="paragraph">
              <wp:posOffset>0</wp:posOffset>
            </wp:positionV>
            <wp:extent cx="4166870" cy="1158240"/>
            <wp:effectExtent l="0" t="0" r="5080" b="3810"/>
            <wp:wrapTopAndBottom/>
            <wp:docPr id="1" name="image02.jpg" descr="U:\Administration\Logos\NCC Logos\2014 NCC Final logos - 140328\NCC Final logos\CMYK\JPG\horizontal\NCC_NSW-02 -horizontal - colour - 245kb.jpg"/>
            <wp:cNvGraphicFramePr/>
            <a:graphic xmlns:a="http://schemas.openxmlformats.org/drawingml/2006/main">
              <a:graphicData uri="http://schemas.openxmlformats.org/drawingml/2006/picture">
                <pic:pic xmlns:pic="http://schemas.openxmlformats.org/drawingml/2006/picture">
                  <pic:nvPicPr>
                    <pic:cNvPr id="0" name="image02.jpg" descr="U:\Administration\Logos\NCC Logos\2014 NCC Final logos - 140328\NCC Final logos\CMYK\JPG\horizontal\NCC_NSW-02 -horizontal - colour - 245kb.jpg"/>
                    <pic:cNvPicPr preferRelativeResize="0"/>
                  </pic:nvPicPr>
                  <pic:blipFill>
                    <a:blip r:embed="rId11"/>
                    <a:srcRect/>
                    <a:stretch>
                      <a:fillRect/>
                    </a:stretch>
                  </pic:blipFill>
                  <pic:spPr>
                    <a:xfrm>
                      <a:off x="0" y="0"/>
                      <a:ext cx="4166870" cy="1158240"/>
                    </a:xfrm>
                    <a:prstGeom prst="rect">
                      <a:avLst/>
                    </a:prstGeom>
                    <a:ln/>
                  </pic:spPr>
                </pic:pic>
              </a:graphicData>
            </a:graphic>
          </wp:anchor>
        </w:drawing>
      </w:r>
    </w:p>
    <w:p w14:paraId="4AF25CEE" w14:textId="35166EB9"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Dr Alan </w:t>
      </w:r>
      <w:proofErr w:type="spellStart"/>
      <w:r>
        <w:t>Finkel</w:t>
      </w:r>
      <w:proofErr w:type="spellEnd"/>
    </w:p>
    <w:p w14:paraId="4EE3F41F" w14:textId="77777777" w:rsidR="00CA32AE" w:rsidRDefault="00CA32AE" w:rsidP="00CA32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Chair</w:t>
      </w:r>
      <w:r>
        <w:br/>
        <w:t>Independent Review into the Future Security of the National Electricity Market</w:t>
      </w:r>
    </w:p>
    <w:p w14:paraId="1A19250D" w14:textId="77777777" w:rsidR="00CA32AE" w:rsidRDefault="00CA32AE" w:rsidP="00CA32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Via: NEMSecurityReview@environment.gov.au</w:t>
      </w:r>
    </w:p>
    <w:p w14:paraId="51AF2AC1" w14:textId="77777777"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48080F72" w14:textId="77777777"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Friday, 3rd of March, 2017</w:t>
      </w:r>
    </w:p>
    <w:p w14:paraId="78456060" w14:textId="77777777"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188F4C85" w14:textId="77777777"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4C7757B8" w14:textId="77777777" w:rsidR="00CA32AE" w:rsidRDefault="00CA32AE" w:rsidP="00CA3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Dear Professor </w:t>
      </w:r>
      <w:proofErr w:type="spellStart"/>
      <w:r>
        <w:t>Finkel</w:t>
      </w:r>
      <w:proofErr w:type="spellEnd"/>
      <w:r>
        <w:t xml:space="preserve"> and panel,</w:t>
      </w:r>
    </w:p>
    <w:p w14:paraId="196CF9AD" w14:textId="77777777" w:rsidR="00CA32AE" w:rsidRDefault="00CA32AE" w:rsidP="00CA32AE">
      <w:pPr>
        <w:widowControl w:val="0"/>
        <w:tabs>
          <w:tab w:val="left" w:pos="560"/>
          <w:tab w:val="left" w:pos="1120"/>
          <w:tab w:val="left" w:pos="1668"/>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4B30E6F" w14:textId="77777777" w:rsidR="00CA32AE" w:rsidRDefault="00CA32AE" w:rsidP="00CA32AE">
      <w:bookmarkStart w:id="1" w:name="_gjdgxs" w:colFirst="0" w:colLast="0"/>
      <w:bookmarkEnd w:id="1"/>
      <w:r>
        <w:t>The Nature Conservation Council of New South Wales (</w:t>
      </w:r>
      <w:r>
        <w:rPr>
          <w:b/>
        </w:rPr>
        <w:t>NCC</w:t>
      </w:r>
      <w:r>
        <w:t xml:space="preserve">) is the state’s peak environment organisation. We represent over 150 member organisations across NSW. Together we are dedicated to protecting and conserving the wildlife, landscapes and natural resources of NSW. </w:t>
      </w:r>
    </w:p>
    <w:p w14:paraId="643D6EB8" w14:textId="62108659" w:rsidR="00CA32AE" w:rsidRDefault="00CA32AE" w:rsidP="00CA32AE">
      <w:r>
        <w:t>NCC welcomes the opportunity to make a submission to this important and timely inquiry, we also appreciated the panel’s interim report and consultation session in Sydney.</w:t>
      </w:r>
    </w:p>
    <w:p w14:paraId="23CD841A" w14:textId="6398ECDB" w:rsidR="00CA32AE" w:rsidRDefault="00CA32AE" w:rsidP="00CA32AE">
      <w:pPr>
        <w:spacing w:after="0"/>
      </w:pPr>
      <w:r>
        <w:t xml:space="preserve">This brief submission is in addition to a joint submission that we supported </w:t>
      </w:r>
      <w:r w:rsidR="00F33006">
        <w:t xml:space="preserve">which focussed </w:t>
      </w:r>
      <w:r>
        <w:t>on the National Electricity Objective.</w:t>
      </w:r>
      <w:bookmarkStart w:id="2" w:name="_GoBack"/>
      <w:bookmarkEnd w:id="2"/>
    </w:p>
    <w:p w14:paraId="1E51AB92" w14:textId="77777777" w:rsidR="00CA32AE" w:rsidRDefault="00CA32AE" w:rsidP="00CA32AE">
      <w:pPr>
        <w:spacing w:after="0"/>
      </w:pPr>
    </w:p>
    <w:p w14:paraId="3E2FB683" w14:textId="77777777" w:rsidR="00CA32AE" w:rsidRDefault="00CA32AE" w:rsidP="00CA32AE">
      <w:pPr>
        <w:pStyle w:val="Heading3"/>
        <w:spacing w:after="0"/>
      </w:pPr>
      <w:bookmarkStart w:id="3" w:name="_lr02cppiekse" w:colFirst="0" w:colLast="0"/>
      <w:bookmarkEnd w:id="3"/>
      <w:r>
        <w:t>The role of the electricity market in achieving decarbonisation</w:t>
      </w:r>
    </w:p>
    <w:p w14:paraId="47799B74" w14:textId="77777777" w:rsidR="00CA32AE" w:rsidRDefault="00CA32AE" w:rsidP="00CA32AE">
      <w:pPr>
        <w:spacing w:after="0"/>
      </w:pPr>
      <w:r>
        <w:t xml:space="preserve">The future security of the electricity market and the decarbonisation of society are inextricably interdependent. </w:t>
      </w:r>
    </w:p>
    <w:p w14:paraId="1F4D7F25" w14:textId="77777777" w:rsidR="00CA32AE" w:rsidRDefault="00CA32AE" w:rsidP="00CA32AE">
      <w:pPr>
        <w:spacing w:after="0"/>
      </w:pPr>
    </w:p>
    <w:p w14:paraId="7B136549" w14:textId="77777777" w:rsidR="00CA32AE" w:rsidRDefault="00CA32AE" w:rsidP="00CA32AE">
      <w:pPr>
        <w:spacing w:after="0"/>
      </w:pPr>
      <w:r>
        <w:t>The stationary energy sector, representing 33% of emissions, presents both low-hanging fruit in our decarbonisation pathway and a key for decarbonising other sectors such as transport. Hence it must decarbonise early and fast.</w:t>
      </w:r>
    </w:p>
    <w:p w14:paraId="3221A039" w14:textId="77777777" w:rsidR="00CA32AE" w:rsidRDefault="00CA32AE" w:rsidP="00CA32AE">
      <w:pPr>
        <w:spacing w:after="0"/>
      </w:pPr>
    </w:p>
    <w:p w14:paraId="4F0C8A8A" w14:textId="77777777" w:rsidR="00CA32AE" w:rsidRDefault="00CA32AE" w:rsidP="00CA32AE">
      <w:pPr>
        <w:spacing w:after="0"/>
      </w:pPr>
      <w:r>
        <w:t xml:space="preserve">On the other hand, poor energy policy could lead to infrastructure investment choices which lock in failure to achieve our decarbonisation commitments and avoid dangerous climate change. </w:t>
      </w:r>
    </w:p>
    <w:p w14:paraId="2F2BB630" w14:textId="77777777" w:rsidR="00CA32AE" w:rsidRDefault="00CA32AE" w:rsidP="00CA32AE">
      <w:pPr>
        <w:spacing w:after="0"/>
      </w:pPr>
    </w:p>
    <w:p w14:paraId="3AF9120D" w14:textId="77777777" w:rsidR="00CA32AE" w:rsidRDefault="00CA32AE" w:rsidP="00CA32AE">
      <w:pPr>
        <w:spacing w:after="0"/>
      </w:pPr>
      <w:r>
        <w:t>At Paris, Australia along with over 190 other countries made several commitments, including complete decarbonisation by the second half of the century, avoiding 2 degrees of warming and making efforts to limit warming to less than 1.5 degrees. Only the latter commitment would enable most coral reefs and many pacific island nations to survive.</w:t>
      </w:r>
    </w:p>
    <w:p w14:paraId="0036428F" w14:textId="77777777" w:rsidR="00CA32AE" w:rsidRDefault="00CA32AE" w:rsidP="00CA32AE">
      <w:pPr>
        <w:spacing w:after="0"/>
      </w:pPr>
    </w:p>
    <w:p w14:paraId="3CA42684" w14:textId="77777777" w:rsidR="00CA32AE" w:rsidRDefault="00CA32AE" w:rsidP="00CA32AE">
      <w:pPr>
        <w:spacing w:after="0"/>
      </w:pPr>
      <w:r>
        <w:t xml:space="preserve">International Energy Agency modelling shows that to have a better than even chance of limiting global warming to less than two degrees, unabated coal-fired power stations must be </w:t>
      </w:r>
      <w:r>
        <w:lastRenderedPageBreak/>
        <w:t>all but phased out in all OECD countries by 2035</w:t>
      </w:r>
      <w:r>
        <w:rPr>
          <w:vertAlign w:val="superscript"/>
        </w:rPr>
        <w:footnoteReference w:id="1"/>
      </w:r>
      <w:r>
        <w:t>. If Australia is to “make efforts” to constrain warming to less than 1.5 degrees, clearly we must phase out all coal fired power even earlier than 2035. We request that the panel considers these commitments - including making efforts to limit warming to less than 1.5 degrees - when forming recommendations.</w:t>
      </w:r>
    </w:p>
    <w:p w14:paraId="00666323" w14:textId="77777777" w:rsidR="00CA32AE" w:rsidRDefault="00CA32AE" w:rsidP="00CA32AE">
      <w:pPr>
        <w:spacing w:after="0"/>
      </w:pPr>
    </w:p>
    <w:p w14:paraId="72F5D4A8" w14:textId="77777777" w:rsidR="00CA32AE" w:rsidRDefault="00CA32AE" w:rsidP="00CA32AE">
      <w:pPr>
        <w:pStyle w:val="Heading3"/>
        <w:spacing w:after="0"/>
      </w:pPr>
      <w:bookmarkStart w:id="4" w:name="_i8z4usse23v" w:colFirst="0" w:colLast="0"/>
      <w:bookmarkEnd w:id="4"/>
      <w:r>
        <w:t>Achieving a secure, affordable and clean electricity grid</w:t>
      </w:r>
    </w:p>
    <w:p w14:paraId="5BEC31E8" w14:textId="77777777" w:rsidR="00CA32AE" w:rsidRDefault="00CA32AE" w:rsidP="00CA32AE">
      <w:pPr>
        <w:spacing w:after="0"/>
      </w:pPr>
    </w:p>
    <w:p w14:paraId="0F4389B2" w14:textId="162669EA" w:rsidR="00CA32AE" w:rsidRDefault="00CA32AE" w:rsidP="00CA32AE">
      <w:pPr>
        <w:numPr>
          <w:ilvl w:val="0"/>
          <w:numId w:val="49"/>
        </w:numPr>
        <w:spacing w:after="0"/>
        <w:ind w:hanging="360"/>
        <w:contextualSpacing/>
      </w:pPr>
      <w:r>
        <w:t>Off-River Pumped-hydro.</w:t>
      </w:r>
    </w:p>
    <w:p w14:paraId="2D06212C" w14:textId="77777777" w:rsidR="00CA32AE" w:rsidRDefault="00CA32AE" w:rsidP="00CA32AE">
      <w:pPr>
        <w:spacing w:after="0"/>
      </w:pPr>
      <w:r>
        <w:t>As the peak body for nature conservation in NSW we are confident that the environmental impacts of off-river pumped-hydro can be acceptably managed and wholeheartedly encourage the panel to explore ways that this technology can assist in achieving a stable, affordable electricity supply, and a rapid transition to clean, renewable energy. On the other hand, we have deep concerns about the impact on the environment of new on-river dams, or raising the walls of existing on-river dams.</w:t>
      </w:r>
    </w:p>
    <w:p w14:paraId="5F334E9A" w14:textId="77777777" w:rsidR="00CA32AE" w:rsidRDefault="00CA32AE" w:rsidP="00CA32AE">
      <w:pPr>
        <w:spacing w:after="0"/>
      </w:pPr>
    </w:p>
    <w:p w14:paraId="4E5B5DEF" w14:textId="77777777" w:rsidR="00CA32AE" w:rsidRDefault="00CA32AE" w:rsidP="00CA32AE">
      <w:pPr>
        <w:spacing w:after="0"/>
      </w:pPr>
      <w:r>
        <w:t xml:space="preserve">Construction times for off-river pumped hydro projects are around five years. This necessitates long planning horizons, relative to the short notice of only months that coal fired power stations typically provide before closing, for example at Wallerawang, Port Augusta and Hazelwood. </w:t>
      </w:r>
    </w:p>
    <w:p w14:paraId="222F7A8F" w14:textId="77777777" w:rsidR="00CA32AE" w:rsidRDefault="00CA32AE" w:rsidP="00CA32AE">
      <w:pPr>
        <w:spacing w:after="0"/>
      </w:pPr>
    </w:p>
    <w:p w14:paraId="127D8689" w14:textId="77777777" w:rsidR="00CA32AE" w:rsidRDefault="00CA32AE" w:rsidP="00CA32AE">
      <w:pPr>
        <w:spacing w:after="0"/>
      </w:pPr>
      <w:r>
        <w:t>Therefore states and federal governments must actively incentivise investment in pumped hydro storage and other clean storage technologies in order to deliver affordability and reliability.</w:t>
      </w:r>
    </w:p>
    <w:p w14:paraId="749EED4A" w14:textId="77777777" w:rsidR="00CA32AE" w:rsidRDefault="00CA32AE" w:rsidP="00CA32AE">
      <w:pPr>
        <w:spacing w:after="0"/>
      </w:pPr>
    </w:p>
    <w:p w14:paraId="10022094" w14:textId="77777777" w:rsidR="00CA32AE" w:rsidRDefault="00CA32AE" w:rsidP="00CA32AE">
      <w:pPr>
        <w:spacing w:after="0"/>
      </w:pPr>
      <w:r>
        <w:t>Finally, the existing pumped-hydro plant in Queensland has not been efficiently dispatched due to market concentration, and these types of market failures need to be investigated and fixed</w:t>
      </w:r>
      <w:r>
        <w:rPr>
          <w:vertAlign w:val="superscript"/>
        </w:rPr>
        <w:footnoteReference w:id="2"/>
      </w:r>
      <w:r>
        <w:t>.</w:t>
      </w:r>
    </w:p>
    <w:p w14:paraId="3CA8886F" w14:textId="77777777" w:rsidR="00CA32AE" w:rsidRDefault="00CA32AE" w:rsidP="00CA32AE">
      <w:pPr>
        <w:spacing w:after="0"/>
      </w:pPr>
      <w:r>
        <w:t xml:space="preserve"> </w:t>
      </w:r>
    </w:p>
    <w:p w14:paraId="2886ECC8" w14:textId="77777777" w:rsidR="00CA32AE" w:rsidRDefault="00CA32AE" w:rsidP="00CA32AE">
      <w:pPr>
        <w:numPr>
          <w:ilvl w:val="0"/>
          <w:numId w:val="49"/>
        </w:numPr>
        <w:spacing w:after="0"/>
        <w:ind w:hanging="360"/>
        <w:contextualSpacing/>
      </w:pPr>
      <w:r>
        <w:t>Concentrating Solar-Thermal (CST)</w:t>
      </w:r>
    </w:p>
    <w:p w14:paraId="5B36820E" w14:textId="77777777" w:rsidR="00CA32AE" w:rsidRDefault="00CA32AE" w:rsidP="00CA32AE">
      <w:pPr>
        <w:spacing w:after="0"/>
      </w:pPr>
    </w:p>
    <w:p w14:paraId="55284547" w14:textId="77777777" w:rsidR="00CA32AE" w:rsidRDefault="00CA32AE" w:rsidP="00CA32AE">
      <w:pPr>
        <w:spacing w:after="0"/>
      </w:pPr>
      <w:r>
        <w:t>The proposed concentrating solar thermal plant in Port Augusta requires an unsubsidised cost of $150/MWh</w:t>
      </w:r>
      <w:r>
        <w:rPr>
          <w:vertAlign w:val="superscript"/>
        </w:rPr>
        <w:footnoteReference w:id="3"/>
      </w:r>
      <w:r>
        <w:t xml:space="preserve">. </w:t>
      </w:r>
    </w:p>
    <w:p w14:paraId="04F687BE" w14:textId="77777777" w:rsidR="00CA32AE" w:rsidRDefault="00CA32AE" w:rsidP="00CA32AE">
      <w:pPr>
        <w:spacing w:after="0"/>
      </w:pPr>
    </w:p>
    <w:p w14:paraId="00C23A6D" w14:textId="77777777" w:rsidR="00CA32AE" w:rsidRDefault="00CA32AE" w:rsidP="00CA32AE">
      <w:pPr>
        <w:spacing w:after="0"/>
      </w:pPr>
      <w:r>
        <w:t xml:space="preserve">As this would be the first solar thermal plant to be built in Australia, costs are then expected to fall for subsequent plants. The Australian Solar Thermal Research Initiative estimates that the </w:t>
      </w:r>
      <w:proofErr w:type="spellStart"/>
      <w:r>
        <w:t>levelised</w:t>
      </w:r>
      <w:proofErr w:type="spellEnd"/>
      <w:r>
        <w:t xml:space="preserve"> cost of solar thermal electricity to fall to $80/MWh by 2025</w:t>
      </w:r>
      <w:r>
        <w:rPr>
          <w:vertAlign w:val="superscript"/>
        </w:rPr>
        <w:footnoteReference w:id="4"/>
      </w:r>
      <w:r>
        <w:t>.</w:t>
      </w:r>
    </w:p>
    <w:p w14:paraId="36481621" w14:textId="77777777" w:rsidR="00CA32AE" w:rsidRDefault="00CA32AE" w:rsidP="00CA32AE">
      <w:pPr>
        <w:spacing w:after="0"/>
      </w:pPr>
    </w:p>
    <w:p w14:paraId="0685C21D" w14:textId="77777777" w:rsidR="00CA32AE" w:rsidRDefault="00CA32AE" w:rsidP="00CA32AE">
      <w:pPr>
        <w:spacing w:after="0"/>
      </w:pPr>
      <w:r>
        <w:lastRenderedPageBreak/>
        <w:t xml:space="preserve">The barrier to the construction of Australia’s first plant needs to be overcome in order to move this technology down the cost curve in Australia, and we suggest that a program is established to achieve this important aim. </w:t>
      </w:r>
    </w:p>
    <w:p w14:paraId="54749479" w14:textId="77777777" w:rsidR="00CA32AE" w:rsidRDefault="00CA32AE" w:rsidP="00CA32AE">
      <w:pPr>
        <w:spacing w:after="0"/>
      </w:pPr>
    </w:p>
    <w:p w14:paraId="1770B9CE" w14:textId="77777777" w:rsidR="00CA32AE" w:rsidRDefault="00CA32AE" w:rsidP="00CA32AE">
      <w:pPr>
        <w:spacing w:after="0"/>
      </w:pPr>
      <w:r>
        <w:t>Special attention needs to be given to this technology due to its ability to provide both generation and storage and improve the diversity of supply sources and hence grid reliability at lower cost.</w:t>
      </w:r>
    </w:p>
    <w:p w14:paraId="5A94D120" w14:textId="77777777" w:rsidR="00CA32AE" w:rsidRDefault="00CA32AE" w:rsidP="00CA32AE">
      <w:pPr>
        <w:spacing w:after="0"/>
      </w:pPr>
    </w:p>
    <w:p w14:paraId="1A27A8CC" w14:textId="77777777" w:rsidR="00CA32AE" w:rsidRDefault="00CA32AE" w:rsidP="00CA32AE">
      <w:pPr>
        <w:spacing w:after="0"/>
      </w:pPr>
      <w:r>
        <w:t>Even in winter, concentrating solar thermal plants provide significant generation across most of Australia. At Port Augusta modelled collected insolation varies from a minimum of 5.0 kWh/m</w:t>
      </w:r>
      <w:r>
        <w:rPr>
          <w:vertAlign w:val="superscript"/>
        </w:rPr>
        <w:t>2</w:t>
      </w:r>
      <w:r>
        <w:t>/day in June to 11.2 kWh/m</w:t>
      </w:r>
      <w:r>
        <w:rPr>
          <w:vertAlign w:val="superscript"/>
        </w:rPr>
        <w:t>2</w:t>
      </w:r>
      <w:r>
        <w:t>/day in January</w:t>
      </w:r>
      <w:r>
        <w:rPr>
          <w:vertAlign w:val="superscript"/>
        </w:rPr>
        <w:footnoteReference w:id="5"/>
      </w:r>
      <w:r>
        <w:t>. In winter, excess electricity could be transmitted from CST plants in locations such as Longreach where insolation is higher (7.0 kWh/m</w:t>
      </w:r>
      <w:r>
        <w:rPr>
          <w:vertAlign w:val="superscript"/>
        </w:rPr>
        <w:t>2</w:t>
      </w:r>
      <w:r>
        <w:t>/day in June) and demand is very low to support winter peaks in southern states.</w:t>
      </w:r>
    </w:p>
    <w:p w14:paraId="7E834A5C" w14:textId="77777777" w:rsidR="00CA32AE" w:rsidRDefault="00CA32AE" w:rsidP="00CA32AE">
      <w:pPr>
        <w:spacing w:after="0"/>
      </w:pPr>
    </w:p>
    <w:p w14:paraId="0DC8AABA" w14:textId="77777777" w:rsidR="00CA32AE" w:rsidRDefault="00CA32AE" w:rsidP="00CA32AE">
      <w:pPr>
        <w:numPr>
          <w:ilvl w:val="0"/>
          <w:numId w:val="49"/>
        </w:numPr>
        <w:spacing w:after="0"/>
        <w:ind w:hanging="360"/>
        <w:contextualSpacing/>
      </w:pPr>
      <w:r>
        <w:t>Health impacts of coal fired power stations</w:t>
      </w:r>
    </w:p>
    <w:p w14:paraId="664A6C6C" w14:textId="77777777" w:rsidR="00CA32AE" w:rsidRDefault="00CA32AE" w:rsidP="00CA32AE">
      <w:pPr>
        <w:spacing w:after="0"/>
      </w:pPr>
      <w:r>
        <w:t>The health burden from coal-fired power stations is significant. The Climate and Health Alliance estimates the annual costs of associated health damages from coal-fired power station air-pollution in the Hunter Valley and NSW Central Coast at around $600 million per annum</w:t>
      </w:r>
      <w:r>
        <w:rPr>
          <w:vertAlign w:val="superscript"/>
        </w:rPr>
        <w:footnoteReference w:id="6"/>
      </w:r>
      <w:r>
        <w:t>.</w:t>
      </w:r>
    </w:p>
    <w:p w14:paraId="502E56AE" w14:textId="77777777" w:rsidR="00CA32AE" w:rsidRDefault="00CA32AE" w:rsidP="00CA32AE">
      <w:pPr>
        <w:spacing w:after="0"/>
      </w:pPr>
    </w:p>
    <w:p w14:paraId="1CC03D2F" w14:textId="77777777" w:rsidR="00CA32AE" w:rsidRDefault="00CA32AE" w:rsidP="00CA32AE">
      <w:pPr>
        <w:spacing w:after="0"/>
      </w:pPr>
      <w:r>
        <w:t xml:space="preserve">Pollution loads from each power station in Australia are published each year in the National Pollution Inventory, and the health costs of each pollutant can be estimated. We recommend that independent health impact assessments be carried out for existing power stations, and the health impacts of these plants be considered when deciding closure timelines and comparing the cost to society of different options for electricity generation.  </w:t>
      </w:r>
    </w:p>
    <w:p w14:paraId="15F8041A" w14:textId="77777777" w:rsidR="00CA32AE" w:rsidRDefault="00CA32AE" w:rsidP="00CA32AE">
      <w:pPr>
        <w:spacing w:after="0"/>
      </w:pPr>
    </w:p>
    <w:p w14:paraId="66C20C9F" w14:textId="77777777" w:rsidR="00CA32AE" w:rsidRDefault="00CA32AE" w:rsidP="00CA32AE">
      <w:pPr>
        <w:pStyle w:val="Heading3"/>
        <w:keepNext w:val="0"/>
        <w:spacing w:before="360" w:after="120" w:line="331" w:lineRule="auto"/>
      </w:pPr>
      <w:bookmarkStart w:id="5" w:name="_wavw1uzf6v3o" w:colFirst="0" w:colLast="0"/>
      <w:bookmarkEnd w:id="5"/>
      <w:r>
        <w:t>The importance of a just transition</w:t>
      </w:r>
    </w:p>
    <w:p w14:paraId="3D6B0BED" w14:textId="77777777" w:rsidR="00CA32AE" w:rsidRDefault="00CA32AE" w:rsidP="00CA32AE">
      <w:pPr>
        <w:spacing w:after="0"/>
      </w:pPr>
      <w:r>
        <w:t xml:space="preserve">Governments must ensure the rapid transition to renewable energy is a just transition so that affected workers and communities get the help they deserve, rather than having to shoulder the costs of transition. Coal affected communities are already suffering disproportionate impacts of pollution as well as economic dislocation as coal power stations and mines reduce production and close. Three coal fired power stations have already closed in NSW in the recent past.  Economic adjustments take time, and so governments must immediately take an active role in managing the transition. We recommend the establishment and funding of transition processes led by workers and community to support those affected to harness new sources of regional development and employment. </w:t>
      </w:r>
    </w:p>
    <w:p w14:paraId="4EB5469C" w14:textId="77777777" w:rsidR="00CA32AE" w:rsidRDefault="00CA32AE" w:rsidP="00CA32AE">
      <w:pPr>
        <w:spacing w:after="0"/>
      </w:pPr>
    </w:p>
    <w:p w14:paraId="1B629B67" w14:textId="77777777" w:rsidR="00CA32AE" w:rsidRDefault="00CA32AE" w:rsidP="00CA32AE">
      <w:r>
        <w:t xml:space="preserve">If you seek any further information on the issues raised in this submission please do not hesitate to contact Dr Brad Smith on (02) 9516 1488 or </w:t>
      </w:r>
      <w:r>
        <w:rPr>
          <w:color w:val="0000FF"/>
        </w:rPr>
        <w:t>ncc@nature.org.au.</w:t>
      </w:r>
      <w:r>
        <w:t xml:space="preserve"> </w:t>
      </w:r>
    </w:p>
    <w:p w14:paraId="30F071E5" w14:textId="77777777" w:rsidR="00CA32AE" w:rsidRDefault="00CA32AE" w:rsidP="00CA32AE">
      <w:r>
        <w:lastRenderedPageBreak/>
        <w:t xml:space="preserve">Yours sincerely, </w:t>
      </w:r>
    </w:p>
    <w:p w14:paraId="134E2FDE" w14:textId="77777777" w:rsidR="00CA32AE" w:rsidRDefault="00CA32AE" w:rsidP="00CA32AE">
      <w:r>
        <w:rPr>
          <w:noProof/>
          <w:lang w:eastAsia="en-AU"/>
        </w:rPr>
        <w:drawing>
          <wp:inline distT="114300" distB="114300" distL="114300" distR="114300" wp14:anchorId="79946DA7" wp14:editId="4E3F9202">
            <wp:extent cx="1347788" cy="828764"/>
            <wp:effectExtent l="0" t="0" r="0" b="0"/>
            <wp:docPr id="3" name="image03.png" descr="Kate signature.png"/>
            <wp:cNvGraphicFramePr/>
            <a:graphic xmlns:a="http://schemas.openxmlformats.org/drawingml/2006/main">
              <a:graphicData uri="http://schemas.openxmlformats.org/drawingml/2006/picture">
                <pic:pic xmlns:pic="http://schemas.openxmlformats.org/drawingml/2006/picture">
                  <pic:nvPicPr>
                    <pic:cNvPr id="0" name="image03.png" descr="Kate signature.png"/>
                    <pic:cNvPicPr preferRelativeResize="0"/>
                  </pic:nvPicPr>
                  <pic:blipFill>
                    <a:blip r:embed="rId12"/>
                    <a:srcRect/>
                    <a:stretch>
                      <a:fillRect/>
                    </a:stretch>
                  </pic:blipFill>
                  <pic:spPr>
                    <a:xfrm>
                      <a:off x="0" y="0"/>
                      <a:ext cx="1347788" cy="828764"/>
                    </a:xfrm>
                    <a:prstGeom prst="rect">
                      <a:avLst/>
                    </a:prstGeom>
                    <a:ln/>
                  </pic:spPr>
                </pic:pic>
              </a:graphicData>
            </a:graphic>
          </wp:inline>
        </w:drawing>
      </w:r>
    </w:p>
    <w:p w14:paraId="398F0AAD" w14:textId="77777777" w:rsidR="00CA32AE" w:rsidRDefault="00CA32AE" w:rsidP="00CA32AE">
      <w:pPr>
        <w:spacing w:after="0"/>
      </w:pPr>
      <w:r>
        <w:t>Kate Smolski</w:t>
      </w:r>
    </w:p>
    <w:p w14:paraId="3F995D13" w14:textId="77777777" w:rsidR="00CA32AE" w:rsidRDefault="00CA32AE" w:rsidP="00CA32AE">
      <w:pPr>
        <w:spacing w:after="0"/>
      </w:pPr>
      <w:r>
        <w:t>Chief Executive Officer</w:t>
      </w:r>
    </w:p>
    <w:p w14:paraId="2DAEF6E6" w14:textId="77777777" w:rsidR="0026141E" w:rsidRPr="0026141E" w:rsidRDefault="0026141E" w:rsidP="0026141E">
      <w:pPr>
        <w:rPr>
          <w:rFonts w:asciiTheme="minorHAnsi" w:hAnsiTheme="minorHAnsi"/>
          <w:sz w:val="20"/>
          <w:szCs w:val="20"/>
        </w:rPr>
      </w:pPr>
    </w:p>
    <w:sectPr w:rsidR="0026141E" w:rsidRPr="0026141E" w:rsidSect="00CA32AE">
      <w:headerReference w:type="even" r:id="rId13"/>
      <w:headerReference w:type="default" r:id="rId14"/>
      <w:footerReference w:type="default" r:id="rId15"/>
      <w:headerReference w:type="first" r:id="rId16"/>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5A37" w14:textId="77777777" w:rsidR="003063A2" w:rsidRDefault="003063A2" w:rsidP="00A60185">
      <w:pPr>
        <w:spacing w:after="0" w:line="240" w:lineRule="auto"/>
      </w:pPr>
      <w:r>
        <w:separator/>
      </w:r>
    </w:p>
  </w:endnote>
  <w:endnote w:type="continuationSeparator" w:id="0">
    <w:p w14:paraId="2C7D4386" w14:textId="77777777" w:rsidR="003063A2" w:rsidRDefault="003063A2"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03115"/>
      <w:docPartObj>
        <w:docPartGallery w:val="Page Numbers (Bottom of Page)"/>
        <w:docPartUnique/>
      </w:docPartObj>
    </w:sdtPr>
    <w:sdtEndPr>
      <w:rPr>
        <w:noProof/>
      </w:rPr>
    </w:sdtEndPr>
    <w:sdtContent>
      <w:p w14:paraId="1C10FFD0" w14:textId="5787BF34" w:rsidR="0041748B" w:rsidRDefault="0041748B">
        <w:pPr>
          <w:pStyle w:val="Footer"/>
          <w:jc w:val="center"/>
        </w:pPr>
        <w:r>
          <w:fldChar w:fldCharType="begin"/>
        </w:r>
        <w:r>
          <w:instrText xml:space="preserve"> PAGE   \* MERGEFORMAT </w:instrText>
        </w:r>
        <w:r>
          <w:fldChar w:fldCharType="separate"/>
        </w:r>
        <w:r w:rsidR="00F33006">
          <w:rPr>
            <w:noProof/>
          </w:rPr>
          <w:t>4</w:t>
        </w:r>
        <w:r>
          <w:rPr>
            <w:noProof/>
          </w:rPr>
          <w:fldChar w:fldCharType="end"/>
        </w:r>
      </w:p>
    </w:sdtContent>
  </w:sdt>
  <w:p w14:paraId="6A63DA2F" w14:textId="2470F26D" w:rsidR="00100BEF" w:rsidRDefault="00100B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03273" w14:textId="77777777" w:rsidR="003063A2" w:rsidRDefault="003063A2" w:rsidP="00A60185">
      <w:pPr>
        <w:spacing w:after="0" w:line="240" w:lineRule="auto"/>
      </w:pPr>
      <w:r>
        <w:separator/>
      </w:r>
    </w:p>
  </w:footnote>
  <w:footnote w:type="continuationSeparator" w:id="0">
    <w:p w14:paraId="39360C46" w14:textId="77777777" w:rsidR="003063A2" w:rsidRDefault="003063A2" w:rsidP="00A60185">
      <w:pPr>
        <w:spacing w:after="0" w:line="240" w:lineRule="auto"/>
      </w:pPr>
      <w:r>
        <w:continuationSeparator/>
      </w:r>
    </w:p>
  </w:footnote>
  <w:footnote w:id="1">
    <w:p w14:paraId="77D137C1" w14:textId="77777777" w:rsidR="00CA32AE" w:rsidRDefault="00CA32AE" w:rsidP="00CA32AE">
      <w:pPr>
        <w:spacing w:after="0" w:line="240" w:lineRule="auto"/>
      </w:pPr>
      <w:r>
        <w:rPr>
          <w:vertAlign w:val="superscript"/>
        </w:rPr>
        <w:footnoteRef/>
      </w:r>
      <w:r>
        <w:rPr>
          <w:sz w:val="20"/>
          <w:szCs w:val="20"/>
        </w:rPr>
        <w:t xml:space="preserve"> International Energy Agency, Energy, Climate Change and Environment 2016 Insights report, p30,</w:t>
      </w:r>
      <w:hyperlink r:id="rId1">
        <w:r>
          <w:rPr>
            <w:sz w:val="20"/>
            <w:szCs w:val="20"/>
          </w:rPr>
          <w:t xml:space="preserve"> http://www.iea.org/publications/freepublications/publication/ECCE2016.pdf</w:t>
        </w:r>
      </w:hyperlink>
    </w:p>
  </w:footnote>
  <w:footnote w:id="2">
    <w:p w14:paraId="3054EFEF" w14:textId="77777777" w:rsidR="00CA32AE" w:rsidRDefault="00CA32AE" w:rsidP="00CA32AE">
      <w:pPr>
        <w:spacing w:after="0"/>
      </w:pPr>
      <w:r>
        <w:rPr>
          <w:vertAlign w:val="superscript"/>
        </w:rPr>
        <w:footnoteRef/>
      </w:r>
      <w:r>
        <w:rPr>
          <w:sz w:val="20"/>
          <w:szCs w:val="20"/>
        </w:rPr>
        <w:t xml:space="preserve"> See </w:t>
      </w:r>
      <w:proofErr w:type="spellStart"/>
      <w:r>
        <w:rPr>
          <w:sz w:val="20"/>
          <w:szCs w:val="20"/>
        </w:rPr>
        <w:t>RenewEconomy</w:t>
      </w:r>
      <w:proofErr w:type="spellEnd"/>
      <w:r>
        <w:rPr>
          <w:sz w:val="20"/>
          <w:szCs w:val="20"/>
        </w:rPr>
        <w:t xml:space="preserve">, Wivenhoe pumped hydro: the big little plant that didn’t, 23/02/2017. Available at: </w:t>
      </w:r>
      <w:hyperlink r:id="rId2">
        <w:r>
          <w:rPr>
            <w:color w:val="1155CC"/>
            <w:sz w:val="20"/>
            <w:szCs w:val="20"/>
            <w:u w:val="single"/>
          </w:rPr>
          <w:t>http://reneweconomy.com.au/wivenhoe-pumped-hydro-big-little-plant-didnt-30606/</w:t>
        </w:r>
      </w:hyperlink>
      <w:r>
        <w:rPr>
          <w:sz w:val="20"/>
          <w:szCs w:val="20"/>
        </w:rPr>
        <w:t xml:space="preserve"> </w:t>
      </w:r>
    </w:p>
  </w:footnote>
  <w:footnote w:id="3">
    <w:p w14:paraId="45857160" w14:textId="77777777" w:rsidR="00CA32AE" w:rsidRDefault="00CA32AE" w:rsidP="00CA32AE">
      <w:pPr>
        <w:spacing w:after="0"/>
      </w:pPr>
      <w:r>
        <w:rPr>
          <w:vertAlign w:val="superscript"/>
        </w:rPr>
        <w:footnoteRef/>
      </w:r>
      <w:r>
        <w:t xml:space="preserve"> </w:t>
      </w:r>
      <w:r>
        <w:rPr>
          <w:sz w:val="20"/>
          <w:szCs w:val="20"/>
        </w:rPr>
        <w:t>Evidence from Mr Simon Brooker, Executive Director, CEFC, to Senate Select Committee into the Resilience of Electricity Infrastructure in a Warming World, 10/02/2017</w:t>
      </w:r>
    </w:p>
  </w:footnote>
  <w:footnote w:id="4">
    <w:p w14:paraId="2B5B49A4" w14:textId="77777777" w:rsidR="00CA32AE" w:rsidRDefault="00CA32AE" w:rsidP="00CA32AE">
      <w:pPr>
        <w:spacing w:after="0" w:line="240" w:lineRule="auto"/>
      </w:pPr>
      <w:r>
        <w:rPr>
          <w:vertAlign w:val="superscript"/>
        </w:rPr>
        <w:footnoteRef/>
      </w:r>
      <w:r>
        <w:rPr>
          <w:sz w:val="20"/>
          <w:szCs w:val="20"/>
        </w:rPr>
        <w:t xml:space="preserve"> Australian Solar Thermal Research Initiative Annual Report 2016, page 6. Available at: </w:t>
      </w:r>
      <w:hyperlink r:id="rId3">
        <w:r>
          <w:rPr>
            <w:color w:val="1155CC"/>
            <w:sz w:val="20"/>
            <w:szCs w:val="20"/>
            <w:u w:val="single"/>
          </w:rPr>
          <w:t>http://www.astri.org.au/wp-content/uploads/2014/11/ASTRI_Annual_Report_2015-v5-20160428.pdf</w:t>
        </w:r>
      </w:hyperlink>
      <w:r>
        <w:rPr>
          <w:sz w:val="20"/>
          <w:szCs w:val="20"/>
        </w:rPr>
        <w:t xml:space="preserve"> </w:t>
      </w:r>
    </w:p>
  </w:footnote>
  <w:footnote w:id="5">
    <w:p w14:paraId="6824E348" w14:textId="77777777" w:rsidR="00CA32AE" w:rsidRDefault="00CA32AE" w:rsidP="00CA32AE">
      <w:pPr>
        <w:spacing w:after="0" w:line="240" w:lineRule="auto"/>
      </w:pPr>
      <w:r>
        <w:rPr>
          <w:vertAlign w:val="superscript"/>
        </w:rPr>
        <w:footnoteRef/>
      </w:r>
      <w:r>
        <w:rPr>
          <w:sz w:val="20"/>
          <w:szCs w:val="20"/>
        </w:rPr>
        <w:t xml:space="preserve"> University of Melbourne, Zero Carbon Australia Stationary Energy Plan, second edition (2011) page 56.</w:t>
      </w:r>
    </w:p>
  </w:footnote>
  <w:footnote w:id="6">
    <w:p w14:paraId="6A301EAA" w14:textId="77777777" w:rsidR="00CA32AE" w:rsidRDefault="00CA32AE" w:rsidP="00CA32AE">
      <w:pPr>
        <w:spacing w:after="0" w:line="240" w:lineRule="auto"/>
      </w:pPr>
      <w:r>
        <w:rPr>
          <w:vertAlign w:val="superscript"/>
        </w:rPr>
        <w:footnoteRef/>
      </w:r>
      <w:r>
        <w:rPr>
          <w:sz w:val="20"/>
          <w:szCs w:val="20"/>
        </w:rPr>
        <w:t xml:space="preserve"> Climate and Health Alliance, Coal and Health in the Hunter, 2015, p32, available at: </w:t>
      </w:r>
      <w:hyperlink r:id="rId4">
        <w:r>
          <w:rPr>
            <w:color w:val="1155CC"/>
            <w:sz w:val="20"/>
            <w:szCs w:val="20"/>
            <w:u w:val="single"/>
          </w:rPr>
          <w:t>http://d3n8a8pro7vhmx.cloudfront.net/caha/legacy_url/53/Climate-and-Health-Alliance_Report_Layout_PRINTv2.pdf?1439938112</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538E"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DD2E6F">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CBC6" w14:textId="7C6CEE0D" w:rsidR="00C64410" w:rsidRDefault="00C64410" w:rsidP="00C644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8DA5" w14:textId="286161B2" w:rsidR="00CA32AE" w:rsidRDefault="00CA32AE" w:rsidP="00CA32AE">
    <w:pPr>
      <w:pStyle w:val="Header"/>
      <w:jc w:val="center"/>
    </w:pPr>
    <w:r>
      <w:rPr>
        <w:noProof/>
        <w:lang w:eastAsia="en-AU"/>
      </w:rPr>
      <w:drawing>
        <wp:inline distT="0" distB="0" distL="0" distR="0" wp14:anchorId="3AEDA994" wp14:editId="4A8F6A48">
          <wp:extent cx="3264838" cy="828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ene-inline-black-small.jpg"/>
                  <pic:cNvPicPr/>
                </pic:nvPicPr>
                <pic:blipFill>
                  <a:blip r:embed="rId1">
                    <a:extLst>
                      <a:ext uri="{28A0092B-C50C-407E-A947-70E740481C1C}">
                        <a14:useLocalDpi xmlns:a14="http://schemas.microsoft.com/office/drawing/2010/main" val="0"/>
                      </a:ext>
                    </a:extLst>
                  </a:blip>
                  <a:stretch>
                    <a:fillRect/>
                  </a:stretch>
                </pic:blipFill>
                <pic:spPr>
                  <a:xfrm>
                    <a:off x="0" y="0"/>
                    <a:ext cx="3264838" cy="828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48B871CF"/>
    <w:multiLevelType w:val="multilevel"/>
    <w:tmpl w:val="E5E89F92"/>
    <w:numStyleLink w:val="BulletList"/>
  </w:abstractNum>
  <w:abstractNum w:abstractNumId="27" w15:restartNumberingAfterBreak="0">
    <w:nsid w:val="49016841"/>
    <w:multiLevelType w:val="multilevel"/>
    <w:tmpl w:val="E5E89F92"/>
    <w:numStyleLink w:val="BulletList"/>
  </w:abstractNum>
  <w:abstractNum w:abstractNumId="28" w15:restartNumberingAfterBreak="0">
    <w:nsid w:val="51A44175"/>
    <w:multiLevelType w:val="multilevel"/>
    <w:tmpl w:val="E5E89F92"/>
    <w:numStyleLink w:val="BulletList"/>
  </w:abstractNum>
  <w:abstractNum w:abstractNumId="29" w15:restartNumberingAfterBreak="0">
    <w:nsid w:val="587F4266"/>
    <w:multiLevelType w:val="multilevel"/>
    <w:tmpl w:val="18D4D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88260C9"/>
    <w:multiLevelType w:val="multilevel"/>
    <w:tmpl w:val="E898CC72"/>
    <w:numStyleLink w:val="KeyPoints"/>
  </w:abstractNum>
  <w:abstractNum w:abstractNumId="43"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8"/>
  </w:num>
  <w:num w:numId="6">
    <w:abstractNumId w:val="39"/>
  </w:num>
  <w:num w:numId="7">
    <w:abstractNumId w:val="34"/>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3"/>
  </w:num>
  <w:num w:numId="17">
    <w:abstractNumId w:val="12"/>
  </w:num>
  <w:num w:numId="18">
    <w:abstractNumId w:val="32"/>
  </w:num>
  <w:num w:numId="19">
    <w:abstractNumId w:val="11"/>
  </w:num>
  <w:num w:numId="20">
    <w:abstractNumId w:val="20"/>
  </w:num>
  <w:num w:numId="21">
    <w:abstractNumId w:val="14"/>
  </w:num>
  <w:num w:numId="22">
    <w:abstractNumId w:val="19"/>
  </w:num>
  <w:num w:numId="23">
    <w:abstractNumId w:val="27"/>
  </w:num>
  <w:num w:numId="24">
    <w:abstractNumId w:val="37"/>
  </w:num>
  <w:num w:numId="25">
    <w:abstractNumId w:val="33"/>
  </w:num>
  <w:num w:numId="26">
    <w:abstractNumId w:val="25"/>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6"/>
  </w:num>
  <w:num w:numId="32">
    <w:abstractNumId w:val="33"/>
  </w:num>
  <w:num w:numId="33">
    <w:abstractNumId w:val="28"/>
  </w:num>
  <w:num w:numId="34">
    <w:abstractNumId w:val="17"/>
  </w:num>
  <w:num w:numId="35">
    <w:abstractNumId w:val="30"/>
  </w:num>
  <w:num w:numId="36">
    <w:abstractNumId w:val="44"/>
  </w:num>
  <w:num w:numId="37">
    <w:abstractNumId w:val="44"/>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2"/>
  </w:num>
  <w:num w:numId="45">
    <w:abstractNumId w:val="35"/>
  </w:num>
  <w:num w:numId="46">
    <w:abstractNumId w:val="45"/>
  </w:num>
  <w:num w:numId="47">
    <w:abstractNumId w:val="31"/>
  </w:num>
  <w:num w:numId="48">
    <w:abstractNumId w:val="1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DD2E6F"/>
    <w:rsid w:val="00004AEE"/>
    <w:rsid w:val="00005CAA"/>
    <w:rsid w:val="00007630"/>
    <w:rsid w:val="00010210"/>
    <w:rsid w:val="00012D66"/>
    <w:rsid w:val="00015ADA"/>
    <w:rsid w:val="00020C99"/>
    <w:rsid w:val="0002707B"/>
    <w:rsid w:val="0005148E"/>
    <w:rsid w:val="00072C5A"/>
    <w:rsid w:val="000759E5"/>
    <w:rsid w:val="00084AC6"/>
    <w:rsid w:val="00091608"/>
    <w:rsid w:val="0009333C"/>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0E4B"/>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B2E"/>
    <w:rsid w:val="00175ED3"/>
    <w:rsid w:val="001842A2"/>
    <w:rsid w:val="00187FA8"/>
    <w:rsid w:val="00192F5E"/>
    <w:rsid w:val="00197772"/>
    <w:rsid w:val="001A11AB"/>
    <w:rsid w:val="001A51C8"/>
    <w:rsid w:val="001B4CA8"/>
    <w:rsid w:val="001B5EA1"/>
    <w:rsid w:val="001B6F5B"/>
    <w:rsid w:val="001C14D9"/>
    <w:rsid w:val="001C4F3D"/>
    <w:rsid w:val="001D0CDC"/>
    <w:rsid w:val="001D1D82"/>
    <w:rsid w:val="001E1182"/>
    <w:rsid w:val="00202C90"/>
    <w:rsid w:val="00213DE8"/>
    <w:rsid w:val="00216118"/>
    <w:rsid w:val="002209AB"/>
    <w:rsid w:val="002251E3"/>
    <w:rsid w:val="00227A95"/>
    <w:rsid w:val="002316BD"/>
    <w:rsid w:val="002473FC"/>
    <w:rsid w:val="00252E3C"/>
    <w:rsid w:val="0026141E"/>
    <w:rsid w:val="00262198"/>
    <w:rsid w:val="00285F1B"/>
    <w:rsid w:val="00292B81"/>
    <w:rsid w:val="002B18AE"/>
    <w:rsid w:val="002C1C93"/>
    <w:rsid w:val="002C5066"/>
    <w:rsid w:val="002C5813"/>
    <w:rsid w:val="002D4AAC"/>
    <w:rsid w:val="002F045A"/>
    <w:rsid w:val="0030039D"/>
    <w:rsid w:val="0030326F"/>
    <w:rsid w:val="003063A2"/>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A03D9"/>
    <w:rsid w:val="003B057D"/>
    <w:rsid w:val="003B60CC"/>
    <w:rsid w:val="003C0617"/>
    <w:rsid w:val="003C1B25"/>
    <w:rsid w:val="003C2443"/>
    <w:rsid w:val="003C5DA3"/>
    <w:rsid w:val="003D4BCD"/>
    <w:rsid w:val="003D6C2B"/>
    <w:rsid w:val="003E01D8"/>
    <w:rsid w:val="003E2100"/>
    <w:rsid w:val="003F6F5B"/>
    <w:rsid w:val="0040342D"/>
    <w:rsid w:val="0041192D"/>
    <w:rsid w:val="00413EE1"/>
    <w:rsid w:val="0041748B"/>
    <w:rsid w:val="0042128E"/>
    <w:rsid w:val="00432B60"/>
    <w:rsid w:val="00440698"/>
    <w:rsid w:val="004540E2"/>
    <w:rsid w:val="00454454"/>
    <w:rsid w:val="00467924"/>
    <w:rsid w:val="004712A5"/>
    <w:rsid w:val="0047266F"/>
    <w:rsid w:val="00476D6B"/>
    <w:rsid w:val="00492C16"/>
    <w:rsid w:val="004A0678"/>
    <w:rsid w:val="004A48A3"/>
    <w:rsid w:val="004B0D92"/>
    <w:rsid w:val="004B0EC0"/>
    <w:rsid w:val="004B66F1"/>
    <w:rsid w:val="004C3EA0"/>
    <w:rsid w:val="004E0971"/>
    <w:rsid w:val="004F25DE"/>
    <w:rsid w:val="004F7169"/>
    <w:rsid w:val="00500D66"/>
    <w:rsid w:val="00514C8E"/>
    <w:rsid w:val="00531DBF"/>
    <w:rsid w:val="00541C6D"/>
    <w:rsid w:val="00545759"/>
    <w:rsid w:val="00545BE0"/>
    <w:rsid w:val="00546930"/>
    <w:rsid w:val="00547A7E"/>
    <w:rsid w:val="00554C6A"/>
    <w:rsid w:val="00562E85"/>
    <w:rsid w:val="0056332F"/>
    <w:rsid w:val="005719B3"/>
    <w:rsid w:val="0057295E"/>
    <w:rsid w:val="00581C39"/>
    <w:rsid w:val="005903B6"/>
    <w:rsid w:val="005A0247"/>
    <w:rsid w:val="005A126E"/>
    <w:rsid w:val="005A452F"/>
    <w:rsid w:val="005B140D"/>
    <w:rsid w:val="005C1FEA"/>
    <w:rsid w:val="005C3495"/>
    <w:rsid w:val="005E3DFC"/>
    <w:rsid w:val="005E5942"/>
    <w:rsid w:val="005E60AF"/>
    <w:rsid w:val="005F1DEA"/>
    <w:rsid w:val="00607FC9"/>
    <w:rsid w:val="0061685C"/>
    <w:rsid w:val="00622FE1"/>
    <w:rsid w:val="0062521C"/>
    <w:rsid w:val="00630A2B"/>
    <w:rsid w:val="00632DC7"/>
    <w:rsid w:val="006357FB"/>
    <w:rsid w:val="006406FC"/>
    <w:rsid w:val="00640E57"/>
    <w:rsid w:val="00646122"/>
    <w:rsid w:val="00653E16"/>
    <w:rsid w:val="00657220"/>
    <w:rsid w:val="00657362"/>
    <w:rsid w:val="0066104B"/>
    <w:rsid w:val="00662FA0"/>
    <w:rsid w:val="006655EE"/>
    <w:rsid w:val="00667C10"/>
    <w:rsid w:val="00667EF4"/>
    <w:rsid w:val="00676FCA"/>
    <w:rsid w:val="00677177"/>
    <w:rsid w:val="0068612E"/>
    <w:rsid w:val="00687C92"/>
    <w:rsid w:val="0069534E"/>
    <w:rsid w:val="0069669C"/>
    <w:rsid w:val="006A1200"/>
    <w:rsid w:val="006A4F4E"/>
    <w:rsid w:val="006A6C23"/>
    <w:rsid w:val="006A7ACB"/>
    <w:rsid w:val="006B14DB"/>
    <w:rsid w:val="006B21C4"/>
    <w:rsid w:val="006C379E"/>
    <w:rsid w:val="006C4A1A"/>
    <w:rsid w:val="006C54B1"/>
    <w:rsid w:val="006D0393"/>
    <w:rsid w:val="006D1A83"/>
    <w:rsid w:val="006E1CFE"/>
    <w:rsid w:val="006F10C4"/>
    <w:rsid w:val="006F40E9"/>
    <w:rsid w:val="006F5603"/>
    <w:rsid w:val="006F5741"/>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1CF8"/>
    <w:rsid w:val="007E24F6"/>
    <w:rsid w:val="007F5C9F"/>
    <w:rsid w:val="00800F64"/>
    <w:rsid w:val="00801050"/>
    <w:rsid w:val="00802F0B"/>
    <w:rsid w:val="00810A67"/>
    <w:rsid w:val="008222C2"/>
    <w:rsid w:val="00833CF7"/>
    <w:rsid w:val="00834CDE"/>
    <w:rsid w:val="00842464"/>
    <w:rsid w:val="00845601"/>
    <w:rsid w:val="00855C5C"/>
    <w:rsid w:val="008A3C96"/>
    <w:rsid w:val="008B4019"/>
    <w:rsid w:val="008B65C9"/>
    <w:rsid w:val="008C2D4A"/>
    <w:rsid w:val="008C5D1B"/>
    <w:rsid w:val="008D3900"/>
    <w:rsid w:val="008D6E1D"/>
    <w:rsid w:val="008F39B4"/>
    <w:rsid w:val="008F4162"/>
    <w:rsid w:val="00903E02"/>
    <w:rsid w:val="00913175"/>
    <w:rsid w:val="00916EDB"/>
    <w:rsid w:val="00920861"/>
    <w:rsid w:val="009229D5"/>
    <w:rsid w:val="00922B13"/>
    <w:rsid w:val="009242EF"/>
    <w:rsid w:val="00932291"/>
    <w:rsid w:val="00932861"/>
    <w:rsid w:val="0093408E"/>
    <w:rsid w:val="00952DDF"/>
    <w:rsid w:val="00963B6A"/>
    <w:rsid w:val="00970950"/>
    <w:rsid w:val="009812D4"/>
    <w:rsid w:val="0098397B"/>
    <w:rsid w:val="00986EE2"/>
    <w:rsid w:val="009920D8"/>
    <w:rsid w:val="009B38BE"/>
    <w:rsid w:val="009C3D0F"/>
    <w:rsid w:val="009E1B19"/>
    <w:rsid w:val="009F33EA"/>
    <w:rsid w:val="009F35E2"/>
    <w:rsid w:val="009F42AA"/>
    <w:rsid w:val="009F65F9"/>
    <w:rsid w:val="009F68BA"/>
    <w:rsid w:val="00A06277"/>
    <w:rsid w:val="00A079DC"/>
    <w:rsid w:val="00A111C2"/>
    <w:rsid w:val="00A338E7"/>
    <w:rsid w:val="00A35CAA"/>
    <w:rsid w:val="00A36E7F"/>
    <w:rsid w:val="00A3738C"/>
    <w:rsid w:val="00A41E65"/>
    <w:rsid w:val="00A43E0A"/>
    <w:rsid w:val="00A4769E"/>
    <w:rsid w:val="00A530C7"/>
    <w:rsid w:val="00A55F5B"/>
    <w:rsid w:val="00A60185"/>
    <w:rsid w:val="00A62292"/>
    <w:rsid w:val="00A661EA"/>
    <w:rsid w:val="00A830E5"/>
    <w:rsid w:val="00A87135"/>
    <w:rsid w:val="00A91657"/>
    <w:rsid w:val="00A93280"/>
    <w:rsid w:val="00A951EA"/>
    <w:rsid w:val="00AA2548"/>
    <w:rsid w:val="00AA58C4"/>
    <w:rsid w:val="00AA7003"/>
    <w:rsid w:val="00AB11C8"/>
    <w:rsid w:val="00AC08A8"/>
    <w:rsid w:val="00AD1E27"/>
    <w:rsid w:val="00AD44D7"/>
    <w:rsid w:val="00AD56C8"/>
    <w:rsid w:val="00AD58F2"/>
    <w:rsid w:val="00B0512A"/>
    <w:rsid w:val="00B0529F"/>
    <w:rsid w:val="00B1418B"/>
    <w:rsid w:val="00B150DE"/>
    <w:rsid w:val="00B21195"/>
    <w:rsid w:val="00B24B22"/>
    <w:rsid w:val="00B25310"/>
    <w:rsid w:val="00B32F8F"/>
    <w:rsid w:val="00B3492A"/>
    <w:rsid w:val="00B54DE9"/>
    <w:rsid w:val="00B553EC"/>
    <w:rsid w:val="00B55E3F"/>
    <w:rsid w:val="00B70066"/>
    <w:rsid w:val="00B93DD0"/>
    <w:rsid w:val="00B97732"/>
    <w:rsid w:val="00BA65A8"/>
    <w:rsid w:val="00BA6D19"/>
    <w:rsid w:val="00BA7461"/>
    <w:rsid w:val="00BA7DA9"/>
    <w:rsid w:val="00BC4215"/>
    <w:rsid w:val="00BD1A6F"/>
    <w:rsid w:val="00BE2BC9"/>
    <w:rsid w:val="00BE6D3C"/>
    <w:rsid w:val="00BE7852"/>
    <w:rsid w:val="00BF7CEE"/>
    <w:rsid w:val="00C03880"/>
    <w:rsid w:val="00C1325B"/>
    <w:rsid w:val="00C135CF"/>
    <w:rsid w:val="00C2683F"/>
    <w:rsid w:val="00C3184D"/>
    <w:rsid w:val="00C4714E"/>
    <w:rsid w:val="00C51CCA"/>
    <w:rsid w:val="00C5504F"/>
    <w:rsid w:val="00C57B55"/>
    <w:rsid w:val="00C63376"/>
    <w:rsid w:val="00C64410"/>
    <w:rsid w:val="00C74F97"/>
    <w:rsid w:val="00C8276E"/>
    <w:rsid w:val="00C842AC"/>
    <w:rsid w:val="00C96688"/>
    <w:rsid w:val="00CA0723"/>
    <w:rsid w:val="00CA32AE"/>
    <w:rsid w:val="00CB1690"/>
    <w:rsid w:val="00CB2ED0"/>
    <w:rsid w:val="00CC4365"/>
    <w:rsid w:val="00CD04DF"/>
    <w:rsid w:val="00CD11B0"/>
    <w:rsid w:val="00CE71C2"/>
    <w:rsid w:val="00CF42D5"/>
    <w:rsid w:val="00CF4EDA"/>
    <w:rsid w:val="00D021CB"/>
    <w:rsid w:val="00D10F1A"/>
    <w:rsid w:val="00D116F8"/>
    <w:rsid w:val="00D17596"/>
    <w:rsid w:val="00D22640"/>
    <w:rsid w:val="00D26D3A"/>
    <w:rsid w:val="00D45EE3"/>
    <w:rsid w:val="00D50618"/>
    <w:rsid w:val="00D509E9"/>
    <w:rsid w:val="00D53B1C"/>
    <w:rsid w:val="00D72A62"/>
    <w:rsid w:val="00DA1B12"/>
    <w:rsid w:val="00DA54C9"/>
    <w:rsid w:val="00DA6739"/>
    <w:rsid w:val="00DA6CAE"/>
    <w:rsid w:val="00DB1A9E"/>
    <w:rsid w:val="00DB31D6"/>
    <w:rsid w:val="00DB4005"/>
    <w:rsid w:val="00DC1C15"/>
    <w:rsid w:val="00DC34EB"/>
    <w:rsid w:val="00DD2E6F"/>
    <w:rsid w:val="00DF1E5B"/>
    <w:rsid w:val="00DF2275"/>
    <w:rsid w:val="00DF3F5E"/>
    <w:rsid w:val="00DF5653"/>
    <w:rsid w:val="00E0596E"/>
    <w:rsid w:val="00E06F66"/>
    <w:rsid w:val="00E20CFF"/>
    <w:rsid w:val="00E356E5"/>
    <w:rsid w:val="00E36F81"/>
    <w:rsid w:val="00E44970"/>
    <w:rsid w:val="00E45765"/>
    <w:rsid w:val="00E5098C"/>
    <w:rsid w:val="00E60213"/>
    <w:rsid w:val="00E661B2"/>
    <w:rsid w:val="00E74D29"/>
    <w:rsid w:val="00E83C74"/>
    <w:rsid w:val="00E83CEE"/>
    <w:rsid w:val="00E91F18"/>
    <w:rsid w:val="00E9226D"/>
    <w:rsid w:val="00EA416C"/>
    <w:rsid w:val="00EA5941"/>
    <w:rsid w:val="00EB60CE"/>
    <w:rsid w:val="00EB7D53"/>
    <w:rsid w:val="00EE3146"/>
    <w:rsid w:val="00EF2D98"/>
    <w:rsid w:val="00EF50BB"/>
    <w:rsid w:val="00EF53FF"/>
    <w:rsid w:val="00F00192"/>
    <w:rsid w:val="00F01DF6"/>
    <w:rsid w:val="00F0340D"/>
    <w:rsid w:val="00F059A6"/>
    <w:rsid w:val="00F23756"/>
    <w:rsid w:val="00F2523A"/>
    <w:rsid w:val="00F2531D"/>
    <w:rsid w:val="00F25FFA"/>
    <w:rsid w:val="00F310D2"/>
    <w:rsid w:val="00F33006"/>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Tablebody">
    <w:name w:val="Table body"/>
    <w:basedOn w:val="Normal"/>
    <w:link w:val="TablebodyChar1"/>
    <w:rsid w:val="0026141E"/>
    <w:pPr>
      <w:tabs>
        <w:tab w:val="left" w:pos="720"/>
      </w:tabs>
      <w:spacing w:before="40" w:after="40" w:line="240" w:lineRule="auto"/>
    </w:pPr>
    <w:rPr>
      <w:rFonts w:eastAsia="Times New Roman" w:cs="Arial"/>
      <w:sz w:val="20"/>
      <w:szCs w:val="20"/>
    </w:rPr>
  </w:style>
  <w:style w:type="character" w:customStyle="1" w:styleId="TablebodyChar1">
    <w:name w:val="Table body Char1"/>
    <w:basedOn w:val="DefaultParagraphFont"/>
    <w:link w:val="Tablebody"/>
    <w:locked/>
    <w:rsid w:val="0026141E"/>
    <w:rPr>
      <w:rFonts w:eastAsia="Times New Roman" w:cs="Arial"/>
      <w:lang w:eastAsia="en-US"/>
    </w:rPr>
  </w:style>
  <w:style w:type="character" w:styleId="Hyperlink">
    <w:name w:val="Hyperlink"/>
    <w:basedOn w:val="DefaultParagraphFont"/>
    <w:uiPriority w:val="99"/>
    <w:unhideWhenUsed/>
    <w:rsid w:val="0026141E"/>
    <w:rPr>
      <w:strike w:val="0"/>
      <w:dstrike w:val="0"/>
      <w:color w:val="0062A0"/>
      <w:sz w:val="24"/>
      <w:szCs w:val="24"/>
      <w:u w:val="single"/>
      <w:effect w:val="none"/>
      <w:bdr w:val="none" w:sz="0" w:space="0" w:color="auto" w:frame="1"/>
      <w:vertAlign w:val="baseline"/>
    </w:rPr>
  </w:style>
  <w:style w:type="character" w:styleId="CommentReference">
    <w:name w:val="annotation reference"/>
    <w:basedOn w:val="DefaultParagraphFont"/>
    <w:uiPriority w:val="99"/>
    <w:semiHidden/>
    <w:unhideWhenUsed/>
    <w:rsid w:val="0026141E"/>
    <w:rPr>
      <w:sz w:val="16"/>
      <w:szCs w:val="16"/>
    </w:rPr>
  </w:style>
  <w:style w:type="paragraph" w:styleId="CommentText">
    <w:name w:val="annotation text"/>
    <w:basedOn w:val="Normal"/>
    <w:link w:val="CommentTextChar"/>
    <w:uiPriority w:val="99"/>
    <w:semiHidden/>
    <w:unhideWhenUsed/>
    <w:rsid w:val="0026141E"/>
    <w:pPr>
      <w:spacing w:line="240" w:lineRule="auto"/>
    </w:pPr>
    <w:rPr>
      <w:sz w:val="20"/>
      <w:szCs w:val="20"/>
    </w:rPr>
  </w:style>
  <w:style w:type="character" w:customStyle="1" w:styleId="CommentTextChar">
    <w:name w:val="Comment Text Char"/>
    <w:basedOn w:val="DefaultParagraphFont"/>
    <w:link w:val="CommentText"/>
    <w:uiPriority w:val="99"/>
    <w:semiHidden/>
    <w:rsid w:val="0026141E"/>
    <w:rPr>
      <w:lang w:eastAsia="en-US"/>
    </w:rPr>
  </w:style>
  <w:style w:type="paragraph" w:styleId="CommentSubject">
    <w:name w:val="annotation subject"/>
    <w:basedOn w:val="CommentText"/>
    <w:next w:val="CommentText"/>
    <w:link w:val="CommentSubjectChar"/>
    <w:uiPriority w:val="99"/>
    <w:semiHidden/>
    <w:unhideWhenUsed/>
    <w:rsid w:val="0026141E"/>
    <w:rPr>
      <w:b/>
      <w:bCs/>
    </w:rPr>
  </w:style>
  <w:style w:type="character" w:customStyle="1" w:styleId="CommentSubjectChar">
    <w:name w:val="Comment Subject Char"/>
    <w:basedOn w:val="CommentTextChar"/>
    <w:link w:val="CommentSubject"/>
    <w:uiPriority w:val="99"/>
    <w:semiHidden/>
    <w:rsid w:val="0026141E"/>
    <w:rPr>
      <w:b/>
      <w:bCs/>
      <w:lang w:eastAsia="en-US"/>
    </w:rPr>
  </w:style>
  <w:style w:type="paragraph" w:customStyle="1" w:styleId="TableTopRow">
    <w:name w:val="Table Top Row"/>
    <w:basedOn w:val="Normal"/>
    <w:link w:val="TableTopRowChar1"/>
    <w:rsid w:val="0026141E"/>
    <w:pPr>
      <w:tabs>
        <w:tab w:val="left" w:pos="720"/>
      </w:tabs>
      <w:spacing w:before="40" w:after="40" w:line="240" w:lineRule="auto"/>
      <w:jc w:val="center"/>
    </w:pPr>
    <w:rPr>
      <w:rFonts w:eastAsia="Times New Roman" w:cs="Arial"/>
      <w:b/>
      <w:sz w:val="20"/>
      <w:szCs w:val="20"/>
    </w:rPr>
  </w:style>
  <w:style w:type="character" w:customStyle="1" w:styleId="TableTopRowChar1">
    <w:name w:val="Table Top Row Char1"/>
    <w:basedOn w:val="DefaultParagraphFont"/>
    <w:link w:val="TableTopRow"/>
    <w:locked/>
    <w:rsid w:val="0026141E"/>
    <w:rPr>
      <w:rFonts w:eastAsia="Times New Roman" w:cs="Arial"/>
      <w:b/>
      <w:lang w:eastAsia="en-US"/>
    </w:rPr>
  </w:style>
  <w:style w:type="paragraph" w:customStyle="1" w:styleId="Style2">
    <w:name w:val="Style2"/>
    <w:basedOn w:val="Heading1"/>
    <w:link w:val="Style2Char"/>
    <w:autoRedefine/>
    <w:qFormat/>
    <w:rsid w:val="00A62292"/>
    <w:pPr>
      <w:spacing w:before="160" w:after="120"/>
    </w:pPr>
    <w:rPr>
      <w:rFonts w:eastAsia="Times New Roman"/>
      <w:caps w:val="0"/>
      <w:color w:val="17365D" w:themeColor="text2" w:themeShade="BF"/>
      <w:kern w:val="20"/>
    </w:rPr>
  </w:style>
  <w:style w:type="character" w:customStyle="1" w:styleId="Style2Char">
    <w:name w:val="Style2 Char"/>
    <w:basedOn w:val="Heading1Char"/>
    <w:link w:val="Style2"/>
    <w:locked/>
    <w:rsid w:val="00A62292"/>
    <w:rPr>
      <w:rFonts w:eastAsia="Times New Roman" w:cs="Arial"/>
      <w:b/>
      <w:caps w:val="0"/>
      <w:color w:val="17365D" w:themeColor="text2" w:themeShade="BF"/>
      <w:kern w:val="20"/>
      <w:sz w:val="22"/>
      <w:szCs w:val="22"/>
      <w:lang w:eastAsia="en-US"/>
    </w:rPr>
  </w:style>
  <w:style w:type="paragraph" w:styleId="NormalWeb">
    <w:name w:val="Normal (Web)"/>
    <w:basedOn w:val="Normal"/>
    <w:uiPriority w:val="99"/>
    <w:unhideWhenUsed/>
    <w:rsid w:val="00A3738C"/>
    <w:pPr>
      <w:spacing w:after="240" w:line="240" w:lineRule="auto"/>
      <w:textAlignment w:val="baseline"/>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nature.org.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MSecurityReview@environment.gov.au" TargetMode="External"/><Relationship Id="rId4" Type="http://schemas.openxmlformats.org/officeDocument/2006/relationships/settings" Target="settings.xml"/><Relationship Id="rId9" Type="http://schemas.openxmlformats.org/officeDocument/2006/relationships/hyperlink" Target="http://www.environment.gov.au/privacy-policy"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stri.org.au/wp-content/uploads/2014/11/ASTRI_Annual_Report_2015-v5-20160428.pdf" TargetMode="External"/><Relationship Id="rId2" Type="http://schemas.openxmlformats.org/officeDocument/2006/relationships/hyperlink" Target="http://reneweconomy.com.au/wivenhoe-pumped-hydro-big-little-plant-didnt-30606/" TargetMode="External"/><Relationship Id="rId1" Type="http://schemas.openxmlformats.org/officeDocument/2006/relationships/hyperlink" Target="http://www.iea.org/publications/freepublications/publication/ECCE2016.pdf" TargetMode="External"/><Relationship Id="rId4" Type="http://schemas.openxmlformats.org/officeDocument/2006/relationships/hyperlink" Target="http://d3n8a8pro7vhmx.cloudfront.net/caha/legacy_url/53/Climate-and-Health-Alliance_Report_Layout_PRINTv2.pdf?14399381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A522-727D-47BB-BEAC-AA60C80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Independent Review into the Future Security of the National Electricity Market - Cover sheet for submissions</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into the Future Security of the National Electricity Market - Cover sheet for submissions</dc:title>
  <dc:subject/>
  <dc:creator/>
  <cp:keywords/>
  <cp:lastModifiedBy/>
  <cp:revision>1</cp:revision>
  <dcterms:created xsi:type="dcterms:W3CDTF">2017-03-03T05:54:00Z</dcterms:created>
  <dcterms:modified xsi:type="dcterms:W3CDTF">2017-03-03T05:58:00Z</dcterms:modified>
</cp:coreProperties>
</file>