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4A0" w:firstRow="1" w:lastRow="0" w:firstColumn="1" w:lastColumn="0" w:noHBand="0" w:noVBand="1"/>
      </w:tblPr>
      <w:tblGrid>
        <w:gridCol w:w="1135"/>
        <w:gridCol w:w="1593"/>
        <w:gridCol w:w="4454"/>
        <w:gridCol w:w="290"/>
        <w:gridCol w:w="2451"/>
      </w:tblGrid>
      <w:tr w:rsidR="00E005FE" w14:paraId="2B35F5D8" w14:textId="77777777" w:rsidTr="00077976">
        <w:tc>
          <w:tcPr>
            <w:tcW w:w="2728" w:type="dxa"/>
            <w:gridSpan w:val="2"/>
          </w:tcPr>
          <w:p w14:paraId="713C07CC" w14:textId="77777777" w:rsidR="00E005FE" w:rsidRDefault="00E005FE" w:rsidP="00077976">
            <w:r>
              <w:rPr>
                <w:noProof/>
                <w:sz w:val="20"/>
                <w:szCs w:val="20"/>
                <w:lang w:eastAsia="en-GB"/>
              </w:rPr>
              <w:drawing>
                <wp:inline distT="0" distB="0" distL="0" distR="0" wp14:anchorId="19891BC8" wp14:editId="3BFB7DAE">
                  <wp:extent cx="1212215" cy="999490"/>
                  <wp:effectExtent l="0" t="0" r="6985" b="0"/>
                  <wp:docPr id="1" name="Picture 1" descr="P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999490"/>
                          </a:xfrm>
                          <a:prstGeom prst="rect">
                            <a:avLst/>
                          </a:prstGeom>
                          <a:noFill/>
                          <a:ln>
                            <a:noFill/>
                          </a:ln>
                        </pic:spPr>
                      </pic:pic>
                    </a:graphicData>
                  </a:graphic>
                </wp:inline>
              </w:drawing>
            </w:r>
          </w:p>
        </w:tc>
        <w:tc>
          <w:tcPr>
            <w:tcW w:w="7195" w:type="dxa"/>
            <w:gridSpan w:val="3"/>
          </w:tcPr>
          <w:p w14:paraId="270409E8" w14:textId="77777777" w:rsidR="00E005FE" w:rsidRPr="00FF71D0" w:rsidRDefault="00E005FE" w:rsidP="00077976">
            <w:pPr>
              <w:rPr>
                <w:b/>
                <w:color w:val="000080"/>
                <w:sz w:val="16"/>
                <w:szCs w:val="16"/>
              </w:rPr>
            </w:pPr>
            <w:r w:rsidRPr="00FF71D0">
              <w:rPr>
                <w:b/>
                <w:color w:val="000080"/>
                <w:sz w:val="32"/>
                <w:szCs w:val="32"/>
              </w:rPr>
              <w:t>PERSONAL INJURIES BAR ASSOCIATION</w:t>
            </w:r>
          </w:p>
          <w:p w14:paraId="60FCD93A" w14:textId="77777777" w:rsidR="00E005FE" w:rsidRPr="00FF71D0" w:rsidRDefault="00E005FE" w:rsidP="00077976">
            <w:pPr>
              <w:rPr>
                <w:sz w:val="16"/>
                <w:szCs w:val="16"/>
              </w:rPr>
            </w:pPr>
          </w:p>
          <w:p w14:paraId="5F267F01" w14:textId="77777777" w:rsidR="00E005FE" w:rsidRPr="00E005FE" w:rsidRDefault="00E005FE" w:rsidP="00077976">
            <w:pPr>
              <w:ind w:left="1735" w:hanging="1735"/>
              <w:rPr>
                <w:sz w:val="16"/>
                <w:szCs w:val="16"/>
              </w:rPr>
            </w:pPr>
            <w:r>
              <w:rPr>
                <w:sz w:val="16"/>
                <w:szCs w:val="16"/>
              </w:rPr>
              <w:t xml:space="preserve">Honorary President: </w:t>
            </w:r>
            <w:r>
              <w:rPr>
                <w:sz w:val="16"/>
                <w:szCs w:val="16"/>
              </w:rPr>
              <w:tab/>
            </w:r>
            <w:r>
              <w:rPr>
                <w:sz w:val="16"/>
                <w:szCs w:val="16"/>
              </w:rPr>
              <w:tab/>
            </w:r>
            <w:r w:rsidRPr="00E005FE">
              <w:rPr>
                <w:sz w:val="16"/>
                <w:szCs w:val="16"/>
              </w:rPr>
              <w:t>The Right Honourable Lord Justice Irwin</w:t>
            </w:r>
          </w:p>
          <w:p w14:paraId="62E329A5" w14:textId="77777777" w:rsidR="00E005FE" w:rsidRPr="00E005FE" w:rsidRDefault="00E005FE" w:rsidP="00077976">
            <w:pPr>
              <w:rPr>
                <w:sz w:val="16"/>
                <w:szCs w:val="16"/>
              </w:rPr>
            </w:pPr>
            <w:r w:rsidRPr="00E005FE">
              <w:rPr>
                <w:sz w:val="16"/>
                <w:szCs w:val="16"/>
              </w:rPr>
              <w:t>Honorary Vice Presidents:</w:t>
            </w:r>
            <w:r w:rsidRPr="00E005FE">
              <w:rPr>
                <w:sz w:val="16"/>
                <w:szCs w:val="16"/>
              </w:rPr>
              <w:tab/>
              <w:t xml:space="preserve">The </w:t>
            </w:r>
            <w:proofErr w:type="spellStart"/>
            <w:r w:rsidRPr="00E005FE">
              <w:rPr>
                <w:sz w:val="16"/>
                <w:szCs w:val="16"/>
              </w:rPr>
              <w:t>Rt</w:t>
            </w:r>
            <w:proofErr w:type="spellEnd"/>
            <w:r w:rsidRPr="00E005FE">
              <w:rPr>
                <w:sz w:val="16"/>
                <w:szCs w:val="16"/>
              </w:rPr>
              <w:t xml:space="preserve"> Hon Dame Janet Smith, DBE</w:t>
            </w:r>
          </w:p>
          <w:p w14:paraId="3FC18871" w14:textId="77777777" w:rsidR="00E005FE" w:rsidRDefault="00E005FE" w:rsidP="00077976">
            <w:pPr>
              <w:ind w:left="1440" w:firstLine="720"/>
              <w:rPr>
                <w:sz w:val="16"/>
                <w:szCs w:val="16"/>
              </w:rPr>
            </w:pPr>
            <w:r w:rsidRPr="00E005FE">
              <w:rPr>
                <w:sz w:val="16"/>
                <w:szCs w:val="16"/>
              </w:rPr>
              <w:t>The Hon Mr Justice Langstaff</w:t>
            </w:r>
            <w:r>
              <w:rPr>
                <w:sz w:val="16"/>
                <w:szCs w:val="16"/>
              </w:rPr>
              <w:t xml:space="preserve"> </w:t>
            </w:r>
          </w:p>
          <w:p w14:paraId="7E9C274C" w14:textId="77777777" w:rsidR="00E005FE" w:rsidRDefault="00E005FE" w:rsidP="00077976">
            <w:pPr>
              <w:ind w:left="1440" w:firstLine="720"/>
              <w:rPr>
                <w:sz w:val="16"/>
                <w:szCs w:val="16"/>
              </w:rPr>
            </w:pPr>
            <w:bookmarkStart w:id="0" w:name="_GoBack"/>
            <w:bookmarkEnd w:id="0"/>
            <w:r>
              <w:rPr>
                <w:sz w:val="16"/>
                <w:szCs w:val="16"/>
              </w:rPr>
              <w:t xml:space="preserve">The </w:t>
            </w:r>
            <w:proofErr w:type="spellStart"/>
            <w:r>
              <w:rPr>
                <w:sz w:val="16"/>
                <w:szCs w:val="16"/>
              </w:rPr>
              <w:t>Rt</w:t>
            </w:r>
            <w:proofErr w:type="spellEnd"/>
            <w:r>
              <w:rPr>
                <w:sz w:val="16"/>
                <w:szCs w:val="16"/>
              </w:rPr>
              <w:t xml:space="preserve"> Hon Sir Philip </w:t>
            </w:r>
            <w:proofErr w:type="spellStart"/>
            <w:r>
              <w:rPr>
                <w:sz w:val="16"/>
                <w:szCs w:val="16"/>
              </w:rPr>
              <w:t>Otton</w:t>
            </w:r>
            <w:proofErr w:type="spellEnd"/>
          </w:p>
          <w:p w14:paraId="479C7D0E" w14:textId="77777777" w:rsidR="00E005FE" w:rsidRDefault="00E005FE" w:rsidP="00077976">
            <w:pPr>
              <w:ind w:left="2160"/>
              <w:rPr>
                <w:sz w:val="16"/>
                <w:szCs w:val="16"/>
              </w:rPr>
            </w:pPr>
            <w:r>
              <w:rPr>
                <w:sz w:val="16"/>
                <w:szCs w:val="16"/>
              </w:rPr>
              <w:t xml:space="preserve">The </w:t>
            </w:r>
            <w:proofErr w:type="spellStart"/>
            <w:r>
              <w:rPr>
                <w:sz w:val="16"/>
                <w:szCs w:val="16"/>
              </w:rPr>
              <w:t>Rt</w:t>
            </w:r>
            <w:proofErr w:type="spellEnd"/>
            <w:r>
              <w:rPr>
                <w:sz w:val="16"/>
                <w:szCs w:val="16"/>
              </w:rPr>
              <w:t xml:space="preserve"> Hon</w:t>
            </w:r>
            <w:r w:rsidRPr="00FF71D0">
              <w:rPr>
                <w:sz w:val="16"/>
                <w:szCs w:val="16"/>
              </w:rPr>
              <w:t xml:space="preserve"> Sir Roy Beldam</w:t>
            </w:r>
          </w:p>
          <w:p w14:paraId="59765208" w14:textId="77777777" w:rsidR="00E005FE" w:rsidRPr="00FF71D0" w:rsidRDefault="00E005FE" w:rsidP="00077976">
            <w:pPr>
              <w:ind w:left="2160"/>
              <w:rPr>
                <w:sz w:val="16"/>
                <w:szCs w:val="16"/>
              </w:rPr>
            </w:pPr>
            <w:r>
              <w:rPr>
                <w:sz w:val="16"/>
                <w:szCs w:val="16"/>
              </w:rPr>
              <w:t xml:space="preserve">The Hon </w:t>
            </w:r>
            <w:r w:rsidRPr="00FF71D0">
              <w:rPr>
                <w:sz w:val="16"/>
                <w:szCs w:val="16"/>
              </w:rPr>
              <w:t>Sir Robert Nelson</w:t>
            </w:r>
          </w:p>
        </w:tc>
      </w:tr>
      <w:tr w:rsidR="00E005FE" w14:paraId="6ECC9BC3" w14:textId="77777777" w:rsidTr="00077976">
        <w:tc>
          <w:tcPr>
            <w:tcW w:w="2728" w:type="dxa"/>
            <w:gridSpan w:val="2"/>
          </w:tcPr>
          <w:p w14:paraId="50251963" w14:textId="77777777" w:rsidR="00E005FE" w:rsidRPr="00FF71D0" w:rsidRDefault="00E005FE" w:rsidP="00077976">
            <w:pPr>
              <w:rPr>
                <w:sz w:val="20"/>
                <w:szCs w:val="20"/>
              </w:rPr>
            </w:pPr>
          </w:p>
        </w:tc>
        <w:tc>
          <w:tcPr>
            <w:tcW w:w="4744" w:type="dxa"/>
            <w:gridSpan w:val="2"/>
          </w:tcPr>
          <w:p w14:paraId="3A4BD477" w14:textId="77777777" w:rsidR="00E005FE" w:rsidRPr="00FF71D0" w:rsidRDefault="00E005FE" w:rsidP="00077976">
            <w:pPr>
              <w:rPr>
                <w:sz w:val="20"/>
                <w:szCs w:val="20"/>
              </w:rPr>
            </w:pPr>
          </w:p>
        </w:tc>
        <w:tc>
          <w:tcPr>
            <w:tcW w:w="2451" w:type="dxa"/>
          </w:tcPr>
          <w:p w14:paraId="0A22A97B" w14:textId="77777777" w:rsidR="00E005FE" w:rsidRPr="00FF71D0" w:rsidRDefault="00E005FE" w:rsidP="00077976">
            <w:pPr>
              <w:jc w:val="right"/>
              <w:rPr>
                <w:sz w:val="20"/>
                <w:szCs w:val="20"/>
              </w:rPr>
            </w:pPr>
          </w:p>
        </w:tc>
      </w:tr>
      <w:tr w:rsidR="00E005FE" w14:paraId="3E5DEA89" w14:textId="77777777" w:rsidTr="00077976">
        <w:tc>
          <w:tcPr>
            <w:tcW w:w="1135" w:type="dxa"/>
          </w:tcPr>
          <w:p w14:paraId="3A807E01" w14:textId="77777777" w:rsidR="00E005FE" w:rsidRPr="00A45060" w:rsidRDefault="00E005FE" w:rsidP="00077976">
            <w:pPr>
              <w:rPr>
                <w:sz w:val="18"/>
                <w:szCs w:val="18"/>
              </w:rPr>
            </w:pPr>
            <w:r w:rsidRPr="00A45060">
              <w:rPr>
                <w:sz w:val="18"/>
                <w:szCs w:val="18"/>
              </w:rPr>
              <w:t>Chair:</w:t>
            </w:r>
          </w:p>
        </w:tc>
        <w:tc>
          <w:tcPr>
            <w:tcW w:w="6047" w:type="dxa"/>
            <w:gridSpan w:val="2"/>
          </w:tcPr>
          <w:p w14:paraId="6E6EB112" w14:textId="77777777" w:rsidR="00E005FE" w:rsidRPr="00A45060" w:rsidRDefault="00E005FE" w:rsidP="00077976">
            <w:pPr>
              <w:rPr>
                <w:sz w:val="18"/>
                <w:szCs w:val="18"/>
              </w:rPr>
            </w:pPr>
            <w:r>
              <w:rPr>
                <w:sz w:val="18"/>
                <w:szCs w:val="18"/>
              </w:rPr>
              <w:t xml:space="preserve">Darryl Allen QC, </w:t>
            </w:r>
            <w:proofErr w:type="spellStart"/>
            <w:r>
              <w:rPr>
                <w:sz w:val="18"/>
                <w:szCs w:val="18"/>
              </w:rPr>
              <w:t>Byrom</w:t>
            </w:r>
            <w:proofErr w:type="spellEnd"/>
            <w:r>
              <w:rPr>
                <w:sz w:val="18"/>
                <w:szCs w:val="18"/>
              </w:rPr>
              <w:t xml:space="preserve"> Street Chambers, DX 718156 Manchester 3</w:t>
            </w:r>
          </w:p>
        </w:tc>
        <w:tc>
          <w:tcPr>
            <w:tcW w:w="2741" w:type="dxa"/>
            <w:gridSpan w:val="2"/>
          </w:tcPr>
          <w:p w14:paraId="278BEF09" w14:textId="77777777" w:rsidR="00E005FE" w:rsidRPr="00A45060" w:rsidRDefault="00E005FE" w:rsidP="00077976">
            <w:pPr>
              <w:jc w:val="right"/>
              <w:rPr>
                <w:sz w:val="18"/>
                <w:szCs w:val="18"/>
              </w:rPr>
            </w:pPr>
            <w:r>
              <w:rPr>
                <w:sz w:val="18"/>
                <w:szCs w:val="18"/>
              </w:rPr>
              <w:t>darryl.allen@byromstreet.com</w:t>
            </w:r>
          </w:p>
        </w:tc>
      </w:tr>
      <w:tr w:rsidR="00E005FE" w14:paraId="49D6F7C4" w14:textId="77777777" w:rsidTr="00077976">
        <w:trPr>
          <w:trHeight w:val="234"/>
        </w:trPr>
        <w:tc>
          <w:tcPr>
            <w:tcW w:w="1135" w:type="dxa"/>
          </w:tcPr>
          <w:p w14:paraId="33FB6170" w14:textId="77777777" w:rsidR="00E005FE" w:rsidRPr="00A45060" w:rsidRDefault="00E005FE" w:rsidP="00077976">
            <w:pPr>
              <w:rPr>
                <w:sz w:val="18"/>
                <w:szCs w:val="18"/>
              </w:rPr>
            </w:pPr>
          </w:p>
        </w:tc>
        <w:tc>
          <w:tcPr>
            <w:tcW w:w="6047" w:type="dxa"/>
            <w:gridSpan w:val="2"/>
          </w:tcPr>
          <w:p w14:paraId="4DD5CD18" w14:textId="77777777" w:rsidR="00E005FE" w:rsidRPr="00A45060" w:rsidRDefault="00E005FE" w:rsidP="00077976">
            <w:pPr>
              <w:rPr>
                <w:sz w:val="18"/>
                <w:szCs w:val="18"/>
              </w:rPr>
            </w:pPr>
          </w:p>
        </w:tc>
        <w:tc>
          <w:tcPr>
            <w:tcW w:w="2741" w:type="dxa"/>
            <w:gridSpan w:val="2"/>
          </w:tcPr>
          <w:p w14:paraId="1E29EF88" w14:textId="77777777" w:rsidR="00E005FE" w:rsidRPr="00A45060" w:rsidRDefault="00E005FE" w:rsidP="00077976">
            <w:pPr>
              <w:jc w:val="right"/>
              <w:rPr>
                <w:sz w:val="18"/>
                <w:szCs w:val="18"/>
              </w:rPr>
            </w:pPr>
          </w:p>
        </w:tc>
      </w:tr>
      <w:tr w:rsidR="00E005FE" w14:paraId="7A85E66E" w14:textId="77777777" w:rsidTr="00077976">
        <w:tc>
          <w:tcPr>
            <w:tcW w:w="1135" w:type="dxa"/>
          </w:tcPr>
          <w:p w14:paraId="56EBFF5B" w14:textId="77777777" w:rsidR="00E005FE" w:rsidRPr="00A45060" w:rsidRDefault="00E005FE" w:rsidP="00077976">
            <w:pPr>
              <w:rPr>
                <w:sz w:val="18"/>
                <w:szCs w:val="18"/>
              </w:rPr>
            </w:pPr>
            <w:r>
              <w:rPr>
                <w:sz w:val="18"/>
                <w:szCs w:val="18"/>
              </w:rPr>
              <w:t>Vice-chair:</w:t>
            </w:r>
          </w:p>
        </w:tc>
        <w:tc>
          <w:tcPr>
            <w:tcW w:w="6047" w:type="dxa"/>
            <w:gridSpan w:val="2"/>
          </w:tcPr>
          <w:p w14:paraId="36B02824" w14:textId="77777777" w:rsidR="00E005FE" w:rsidRPr="00A45060" w:rsidRDefault="00E005FE" w:rsidP="00077976">
            <w:pPr>
              <w:rPr>
                <w:sz w:val="18"/>
                <w:szCs w:val="18"/>
              </w:rPr>
            </w:pPr>
            <w:r>
              <w:rPr>
                <w:sz w:val="18"/>
                <w:szCs w:val="18"/>
              </w:rPr>
              <w:t>Steven Snowden QC, 12 King’s Bench Walk, DX 1037 London Chancery Lane</w:t>
            </w:r>
          </w:p>
        </w:tc>
        <w:tc>
          <w:tcPr>
            <w:tcW w:w="2741" w:type="dxa"/>
            <w:gridSpan w:val="2"/>
          </w:tcPr>
          <w:p w14:paraId="1F00BE01" w14:textId="77777777" w:rsidR="00E005FE" w:rsidRPr="00A45060" w:rsidRDefault="00E005FE" w:rsidP="00077976">
            <w:pPr>
              <w:jc w:val="right"/>
              <w:rPr>
                <w:sz w:val="18"/>
                <w:szCs w:val="18"/>
              </w:rPr>
            </w:pPr>
            <w:r>
              <w:rPr>
                <w:sz w:val="18"/>
                <w:szCs w:val="18"/>
              </w:rPr>
              <w:t>snowden@12kbw.co.uk</w:t>
            </w:r>
          </w:p>
        </w:tc>
      </w:tr>
      <w:tr w:rsidR="00E005FE" w14:paraId="36E94A6D" w14:textId="77777777" w:rsidTr="00077976">
        <w:tc>
          <w:tcPr>
            <w:tcW w:w="1135" w:type="dxa"/>
          </w:tcPr>
          <w:p w14:paraId="7DE60165" w14:textId="77777777" w:rsidR="00E005FE" w:rsidRDefault="00E005FE" w:rsidP="00077976">
            <w:pPr>
              <w:rPr>
                <w:sz w:val="18"/>
                <w:szCs w:val="18"/>
              </w:rPr>
            </w:pPr>
          </w:p>
        </w:tc>
        <w:tc>
          <w:tcPr>
            <w:tcW w:w="6047" w:type="dxa"/>
            <w:gridSpan w:val="2"/>
          </w:tcPr>
          <w:p w14:paraId="7BD06E35" w14:textId="77777777" w:rsidR="00E005FE" w:rsidRDefault="00E005FE" w:rsidP="00077976">
            <w:pPr>
              <w:rPr>
                <w:sz w:val="18"/>
                <w:szCs w:val="18"/>
              </w:rPr>
            </w:pPr>
          </w:p>
        </w:tc>
        <w:tc>
          <w:tcPr>
            <w:tcW w:w="2741" w:type="dxa"/>
            <w:gridSpan w:val="2"/>
          </w:tcPr>
          <w:p w14:paraId="0620E477" w14:textId="77777777" w:rsidR="00E005FE" w:rsidRPr="00A45060" w:rsidRDefault="00E005FE" w:rsidP="00077976">
            <w:pPr>
              <w:jc w:val="right"/>
              <w:rPr>
                <w:sz w:val="18"/>
                <w:szCs w:val="18"/>
              </w:rPr>
            </w:pPr>
          </w:p>
        </w:tc>
      </w:tr>
      <w:tr w:rsidR="00E005FE" w14:paraId="70F88B6E" w14:textId="77777777" w:rsidTr="00077976">
        <w:trPr>
          <w:trHeight w:val="171"/>
        </w:trPr>
        <w:tc>
          <w:tcPr>
            <w:tcW w:w="1135" w:type="dxa"/>
          </w:tcPr>
          <w:p w14:paraId="2ED8FCFC" w14:textId="77777777" w:rsidR="00E005FE" w:rsidRDefault="00E005FE" w:rsidP="00077976">
            <w:pPr>
              <w:rPr>
                <w:sz w:val="18"/>
                <w:szCs w:val="18"/>
              </w:rPr>
            </w:pPr>
            <w:r>
              <w:rPr>
                <w:sz w:val="18"/>
                <w:szCs w:val="18"/>
              </w:rPr>
              <w:t>Secretary:</w:t>
            </w:r>
          </w:p>
        </w:tc>
        <w:tc>
          <w:tcPr>
            <w:tcW w:w="6047" w:type="dxa"/>
            <w:gridSpan w:val="2"/>
          </w:tcPr>
          <w:p w14:paraId="556E0AAA" w14:textId="77777777" w:rsidR="00E005FE" w:rsidRDefault="00E005FE" w:rsidP="00077976">
            <w:pPr>
              <w:rPr>
                <w:sz w:val="18"/>
                <w:szCs w:val="18"/>
              </w:rPr>
            </w:pPr>
            <w:r>
              <w:rPr>
                <w:sz w:val="18"/>
                <w:szCs w:val="18"/>
              </w:rPr>
              <w:t>Richard Wilkinson, Temple Garden Chambers, DX 382 London Chancery Lane</w:t>
            </w:r>
          </w:p>
        </w:tc>
        <w:tc>
          <w:tcPr>
            <w:tcW w:w="2741" w:type="dxa"/>
            <w:gridSpan w:val="2"/>
          </w:tcPr>
          <w:p w14:paraId="799C01A8" w14:textId="77777777" w:rsidR="00E005FE" w:rsidRPr="00A45060" w:rsidRDefault="00E005FE" w:rsidP="00077976">
            <w:pPr>
              <w:jc w:val="right"/>
              <w:rPr>
                <w:sz w:val="18"/>
                <w:szCs w:val="18"/>
              </w:rPr>
            </w:pPr>
            <w:r>
              <w:rPr>
                <w:sz w:val="18"/>
                <w:szCs w:val="18"/>
              </w:rPr>
              <w:t>rwilkinson@tgchambers.com</w:t>
            </w:r>
          </w:p>
        </w:tc>
      </w:tr>
    </w:tbl>
    <w:p w14:paraId="0A09EF7A" w14:textId="77777777" w:rsidR="00E005FE" w:rsidRDefault="00E005FE" w:rsidP="00E005FE"/>
    <w:p w14:paraId="3A34E02E" w14:textId="77777777" w:rsidR="00E005FE" w:rsidRDefault="00E005FE" w:rsidP="00E005FE"/>
    <w:p w14:paraId="27DC1DFD" w14:textId="141226E6" w:rsidR="00E005FE" w:rsidRPr="00E005FE" w:rsidRDefault="00E005FE" w:rsidP="00E005FE">
      <w:pPr>
        <w:spacing w:before="120" w:after="120" w:line="360" w:lineRule="auto"/>
        <w:jc w:val="right"/>
      </w:pPr>
      <w:r>
        <w:t>29</w:t>
      </w:r>
      <w:r>
        <w:rPr>
          <w:vertAlign w:val="superscript"/>
        </w:rPr>
        <w:t xml:space="preserve">th </w:t>
      </w:r>
      <w:r>
        <w:t>August 2018</w:t>
      </w:r>
    </w:p>
    <w:p w14:paraId="42772E67" w14:textId="77777777" w:rsidR="00E005FE" w:rsidRDefault="00E005FE" w:rsidP="00CC4075">
      <w:pPr>
        <w:spacing w:before="120" w:after="120" w:line="360" w:lineRule="auto"/>
        <w:jc w:val="center"/>
        <w:rPr>
          <w:b/>
          <w:u w:val="single"/>
        </w:rPr>
      </w:pPr>
    </w:p>
    <w:p w14:paraId="04E4ED76" w14:textId="2EB5336E" w:rsidR="00044170" w:rsidRPr="00757E94" w:rsidRDefault="0043124C" w:rsidP="00CC4075">
      <w:pPr>
        <w:spacing w:before="120" w:after="120" w:line="360" w:lineRule="auto"/>
        <w:jc w:val="center"/>
        <w:rPr>
          <w:b/>
          <w:u w:val="single"/>
        </w:rPr>
      </w:pPr>
      <w:r w:rsidRPr="00757E94">
        <w:rPr>
          <w:b/>
          <w:u w:val="single"/>
        </w:rPr>
        <w:t>PIBA Comments on the</w:t>
      </w:r>
      <w:r w:rsidR="00214137">
        <w:rPr>
          <w:b/>
          <w:u w:val="single"/>
        </w:rPr>
        <w:t xml:space="preserve"> BSB’s</w:t>
      </w:r>
      <w:r w:rsidRPr="00757E94">
        <w:rPr>
          <w:b/>
          <w:u w:val="single"/>
        </w:rPr>
        <w:t xml:space="preserve"> draft Annex for personal injury claims and example</w:t>
      </w:r>
      <w:r w:rsidR="00214137">
        <w:rPr>
          <w:b/>
          <w:u w:val="single"/>
        </w:rPr>
        <w:t xml:space="preserve"> for the application of the “</w:t>
      </w:r>
      <w:r w:rsidR="00214137" w:rsidRPr="00214137">
        <w:rPr>
          <w:b/>
          <w:i/>
          <w:u w:val="single"/>
        </w:rPr>
        <w:t>transparency rules</w:t>
      </w:r>
      <w:r w:rsidR="00214137">
        <w:rPr>
          <w:b/>
          <w:u w:val="single"/>
        </w:rPr>
        <w:t>”</w:t>
      </w:r>
    </w:p>
    <w:p w14:paraId="5D767546" w14:textId="77777777" w:rsidR="0043124C" w:rsidRPr="00757E94" w:rsidRDefault="0043124C" w:rsidP="00757E94">
      <w:pPr>
        <w:spacing w:before="120" w:after="120" w:line="360" w:lineRule="auto"/>
        <w:jc w:val="both"/>
        <w:rPr>
          <w:b/>
          <w:u w:val="single"/>
        </w:rPr>
      </w:pPr>
    </w:p>
    <w:p w14:paraId="247DDB1E" w14:textId="252062ED" w:rsidR="00D36C21" w:rsidRPr="00757E94" w:rsidRDefault="00214137" w:rsidP="00757E94">
      <w:pPr>
        <w:autoSpaceDE w:val="0"/>
        <w:autoSpaceDN w:val="0"/>
        <w:adjustRightInd w:val="0"/>
        <w:spacing w:before="120" w:after="120" w:line="360" w:lineRule="auto"/>
        <w:jc w:val="both"/>
        <w:rPr>
          <w:rFonts w:cs="Times"/>
          <w:b/>
          <w:u w:val="single"/>
          <w:lang w:val="en-US"/>
        </w:rPr>
      </w:pPr>
      <w:r>
        <w:rPr>
          <w:rFonts w:cs="Times"/>
          <w:b/>
          <w:u w:val="single"/>
          <w:lang w:val="en-US"/>
        </w:rPr>
        <w:t>Preliminary observations</w:t>
      </w:r>
    </w:p>
    <w:p w14:paraId="0B38A9B2" w14:textId="6933435B" w:rsidR="00214137" w:rsidRDefault="00214137" w:rsidP="00214137">
      <w:pPr>
        <w:pStyle w:val="ListParagraph"/>
        <w:numPr>
          <w:ilvl w:val="0"/>
          <w:numId w:val="1"/>
        </w:numPr>
        <w:autoSpaceDE w:val="0"/>
        <w:autoSpaceDN w:val="0"/>
        <w:adjustRightInd w:val="0"/>
        <w:spacing w:before="120" w:after="120" w:line="360" w:lineRule="auto"/>
        <w:jc w:val="both"/>
        <w:rPr>
          <w:rFonts w:cs="Times"/>
          <w:lang w:val="en-US"/>
        </w:rPr>
      </w:pPr>
      <w:r>
        <w:rPr>
          <w:rFonts w:cs="Times"/>
          <w:lang w:val="en-US"/>
        </w:rPr>
        <w:t xml:space="preserve">The </w:t>
      </w:r>
      <w:r w:rsidR="00313521">
        <w:rPr>
          <w:rFonts w:cs="Times"/>
          <w:lang w:val="en-US"/>
        </w:rPr>
        <w:t xml:space="preserve">BSB’s </w:t>
      </w:r>
      <w:r>
        <w:rPr>
          <w:rFonts w:cs="Times"/>
          <w:lang w:val="en-US"/>
        </w:rPr>
        <w:t>draft text and example have been considered by members of the PIBA Executive Committee.  None have any experience of acting on a Public Access basis.  The comments which follow are to be seen in that context; they are intended to assist the BSB in understanding practice in personal injuries litigation, as opposed to practice as a Public Access barrister.</w:t>
      </w:r>
    </w:p>
    <w:p w14:paraId="6EABEBCC" w14:textId="2D54292D" w:rsidR="00FE644D" w:rsidRDefault="00FE644D" w:rsidP="00FE644D">
      <w:pPr>
        <w:autoSpaceDE w:val="0"/>
        <w:autoSpaceDN w:val="0"/>
        <w:adjustRightInd w:val="0"/>
        <w:spacing w:before="120" w:after="120" w:line="360" w:lineRule="auto"/>
        <w:jc w:val="both"/>
        <w:rPr>
          <w:rFonts w:cs="Times"/>
          <w:lang w:val="en-US"/>
        </w:rPr>
      </w:pPr>
    </w:p>
    <w:p w14:paraId="10BC67E9" w14:textId="37F024B1" w:rsidR="00FE644D" w:rsidRPr="00FE644D" w:rsidRDefault="00FE644D" w:rsidP="00FE644D">
      <w:pPr>
        <w:autoSpaceDE w:val="0"/>
        <w:autoSpaceDN w:val="0"/>
        <w:adjustRightInd w:val="0"/>
        <w:spacing w:before="120" w:after="120" w:line="360" w:lineRule="auto"/>
        <w:jc w:val="both"/>
        <w:rPr>
          <w:rFonts w:cs="Times"/>
          <w:b/>
          <w:u w:val="single"/>
          <w:lang w:val="en-US"/>
        </w:rPr>
      </w:pPr>
      <w:r w:rsidRPr="00FE644D">
        <w:rPr>
          <w:rFonts w:cs="Times"/>
          <w:b/>
          <w:u w:val="single"/>
          <w:lang w:val="en-US"/>
        </w:rPr>
        <w:t>Recovery of costs</w:t>
      </w:r>
    </w:p>
    <w:p w14:paraId="1191D39D" w14:textId="77777777" w:rsidR="00D22A1F" w:rsidRDefault="00FE644D" w:rsidP="00214137">
      <w:pPr>
        <w:pStyle w:val="ListParagraph"/>
        <w:numPr>
          <w:ilvl w:val="0"/>
          <w:numId w:val="1"/>
        </w:numPr>
        <w:autoSpaceDE w:val="0"/>
        <w:autoSpaceDN w:val="0"/>
        <w:adjustRightInd w:val="0"/>
        <w:spacing w:before="120" w:after="120" w:line="360" w:lineRule="auto"/>
        <w:jc w:val="both"/>
        <w:rPr>
          <w:rFonts w:cs="Times"/>
          <w:lang w:val="en-US"/>
        </w:rPr>
      </w:pPr>
      <w:r>
        <w:rPr>
          <w:rFonts w:cs="Times"/>
          <w:lang w:val="en-US"/>
        </w:rPr>
        <w:t xml:space="preserve">We are concerned as to the accuracy/content of the advice in the example as to the recovery of </w:t>
      </w:r>
      <w:r w:rsidR="00D22A1F">
        <w:rPr>
          <w:rFonts w:cs="Times"/>
          <w:lang w:val="en-US"/>
        </w:rPr>
        <w:t>“</w:t>
      </w:r>
      <w:r w:rsidRPr="00D22A1F">
        <w:rPr>
          <w:rFonts w:cs="Times"/>
          <w:i/>
          <w:lang w:val="en-US"/>
        </w:rPr>
        <w:t>expenses</w:t>
      </w:r>
      <w:r w:rsidR="00D22A1F">
        <w:rPr>
          <w:rFonts w:cs="Times"/>
          <w:lang w:val="en-US"/>
        </w:rPr>
        <w:t>”</w:t>
      </w:r>
      <w:r>
        <w:rPr>
          <w:rFonts w:cs="Times"/>
          <w:lang w:val="en-US"/>
        </w:rPr>
        <w:t xml:space="preserve"> from “</w:t>
      </w:r>
      <w:r w:rsidRPr="00FE644D">
        <w:rPr>
          <w:rFonts w:cs="Times"/>
          <w:i/>
          <w:lang w:val="en-US"/>
        </w:rPr>
        <w:t>the other side</w:t>
      </w:r>
      <w:r>
        <w:rPr>
          <w:rFonts w:cs="Times"/>
          <w:lang w:val="en-US"/>
        </w:rPr>
        <w:t xml:space="preserve">” in the event that the claim is successful.  </w:t>
      </w:r>
    </w:p>
    <w:p w14:paraId="3A676209" w14:textId="2B2D86BB" w:rsidR="00D22A1F" w:rsidRDefault="00D22A1F" w:rsidP="00214137">
      <w:pPr>
        <w:pStyle w:val="ListParagraph"/>
        <w:numPr>
          <w:ilvl w:val="0"/>
          <w:numId w:val="1"/>
        </w:numPr>
        <w:autoSpaceDE w:val="0"/>
        <w:autoSpaceDN w:val="0"/>
        <w:adjustRightInd w:val="0"/>
        <w:spacing w:before="120" w:after="120" w:line="360" w:lineRule="auto"/>
        <w:jc w:val="both"/>
        <w:rPr>
          <w:rFonts w:cs="Times"/>
          <w:lang w:val="en-US"/>
        </w:rPr>
      </w:pPr>
      <w:r>
        <w:rPr>
          <w:rFonts w:cs="Times"/>
          <w:lang w:val="en-US"/>
        </w:rPr>
        <w:t>We anticipate that a client will wish/need to know if he/she will be able recover the cost of the work done by the barrister under the Public Access arrangement.</w:t>
      </w:r>
      <w:r w:rsidR="003C5D78">
        <w:rPr>
          <w:rFonts w:cs="Times"/>
          <w:lang w:val="en-US"/>
        </w:rPr>
        <w:t xml:space="preserve">  The reference to recovering “</w:t>
      </w:r>
      <w:r w:rsidR="003C5D78" w:rsidRPr="003C5D78">
        <w:rPr>
          <w:rFonts w:cs="Times"/>
          <w:i/>
          <w:lang w:val="en-US"/>
        </w:rPr>
        <w:t>expenses</w:t>
      </w:r>
      <w:r w:rsidR="003C5D78">
        <w:rPr>
          <w:rFonts w:cs="Times"/>
          <w:lang w:val="en-US"/>
        </w:rPr>
        <w:t>” from the “</w:t>
      </w:r>
      <w:r w:rsidR="003C5D78" w:rsidRPr="003C5D78">
        <w:rPr>
          <w:rFonts w:cs="Times"/>
          <w:i/>
          <w:lang w:val="en-US"/>
        </w:rPr>
        <w:t>other side</w:t>
      </w:r>
      <w:r w:rsidR="003C5D78">
        <w:rPr>
          <w:rFonts w:cs="Times"/>
          <w:lang w:val="en-US"/>
        </w:rPr>
        <w:t>” does not clearly address this issue.</w:t>
      </w:r>
    </w:p>
    <w:p w14:paraId="7EB370E9" w14:textId="023AAB1D" w:rsidR="00850810" w:rsidRPr="00850810" w:rsidRDefault="003C5D78" w:rsidP="00214137">
      <w:pPr>
        <w:pStyle w:val="ListParagraph"/>
        <w:numPr>
          <w:ilvl w:val="0"/>
          <w:numId w:val="1"/>
        </w:numPr>
        <w:autoSpaceDE w:val="0"/>
        <w:autoSpaceDN w:val="0"/>
        <w:adjustRightInd w:val="0"/>
        <w:spacing w:before="120" w:after="120" w:line="360" w:lineRule="auto"/>
        <w:jc w:val="both"/>
        <w:rPr>
          <w:rFonts w:cs="Times"/>
          <w:lang w:val="en-US"/>
        </w:rPr>
      </w:pPr>
      <w:r>
        <w:rPr>
          <w:rFonts w:cs="Times"/>
          <w:lang w:val="en-US"/>
        </w:rPr>
        <w:t>T</w:t>
      </w:r>
      <w:r w:rsidR="00FE644D">
        <w:rPr>
          <w:rFonts w:cs="Times"/>
          <w:lang w:val="en-US"/>
        </w:rPr>
        <w:t xml:space="preserve">he template CFA suggested </w:t>
      </w:r>
      <w:r w:rsidR="00D22A1F">
        <w:rPr>
          <w:rFonts w:cs="Times"/>
          <w:lang w:val="en-US"/>
        </w:rPr>
        <w:t xml:space="preserve">by the Bar Council </w:t>
      </w:r>
      <w:r w:rsidR="00FE644D">
        <w:rPr>
          <w:rFonts w:cs="Times"/>
          <w:lang w:val="en-US"/>
        </w:rPr>
        <w:t>for use in Public Access cases [</w:t>
      </w:r>
      <w:r w:rsidR="00D22A1F">
        <w:rPr>
          <w:rFonts w:cs="Times"/>
          <w:lang w:val="en-US"/>
        </w:rPr>
        <w:t xml:space="preserve">copy </w:t>
      </w:r>
      <w:r w:rsidR="00FE644D">
        <w:rPr>
          <w:rFonts w:cs="Times"/>
          <w:lang w:val="en-US"/>
        </w:rPr>
        <w:t>attached to the Bar Council July 2018 note, “</w:t>
      </w:r>
      <w:r w:rsidR="00FE644D" w:rsidRPr="00486357">
        <w:rPr>
          <w:rFonts w:cs="Arial"/>
          <w:i/>
          <w:lang w:val="en-US"/>
        </w:rPr>
        <w:t>CFAs and DBAs in Public Access Cases</w:t>
      </w:r>
      <w:r w:rsidR="00FE644D">
        <w:rPr>
          <w:rFonts w:cs="Arial"/>
          <w:lang w:val="en-US"/>
        </w:rPr>
        <w:t>”</w:t>
      </w:r>
      <w:r w:rsidR="00D22A1F">
        <w:rPr>
          <w:rFonts w:cs="Arial"/>
          <w:lang w:val="en-US"/>
        </w:rPr>
        <w:t>]</w:t>
      </w:r>
      <w:r w:rsidR="00FE644D">
        <w:rPr>
          <w:rFonts w:cs="Arial"/>
          <w:lang w:val="en-US"/>
        </w:rPr>
        <w:t xml:space="preserve"> makes it clear that the client is acting as a litigant in person.  If so, then it would appear that the client, if successful, would only be entitled to recover costs under Rule 46.5 for pre-trial work done by a barrister as a disbursement on a detailed or summary assessment of costs [see CPR 46.5(1)].  However, in the vast majority of personal injury claims allocated to the Fast-Track, costs are limited to fixed costs payable </w:t>
      </w:r>
      <w:r w:rsidR="001B0ED4">
        <w:rPr>
          <w:rFonts w:cs="Arial"/>
          <w:lang w:val="en-US"/>
        </w:rPr>
        <w:t xml:space="preserve">and calculated </w:t>
      </w:r>
      <w:r w:rsidR="00FE644D">
        <w:rPr>
          <w:rFonts w:cs="Arial"/>
          <w:lang w:val="en-US"/>
        </w:rPr>
        <w:t>under Section IIIA of CPR 45.</w:t>
      </w:r>
      <w:r w:rsidR="001B0ED4">
        <w:rPr>
          <w:rFonts w:cs="Arial"/>
          <w:lang w:val="en-US"/>
        </w:rPr>
        <w:t xml:space="preserve">  Those fixed costs do not provide for assessment of counsel’s fees </w:t>
      </w:r>
      <w:r w:rsidR="00850810">
        <w:rPr>
          <w:rFonts w:cs="Arial"/>
          <w:lang w:val="en-US"/>
        </w:rPr>
        <w:t xml:space="preserve">for pre-trial work </w:t>
      </w:r>
      <w:r w:rsidR="001B0ED4">
        <w:rPr>
          <w:rFonts w:cs="Arial"/>
          <w:lang w:val="en-US"/>
        </w:rPr>
        <w:t>on a disbursement basis.</w:t>
      </w:r>
      <w:r w:rsidR="00850810">
        <w:rPr>
          <w:rFonts w:cs="Arial"/>
          <w:lang w:val="en-US"/>
        </w:rPr>
        <w:t xml:space="preserve">  </w:t>
      </w:r>
    </w:p>
    <w:p w14:paraId="47C0DFA5" w14:textId="3C9EBB82" w:rsidR="00FE644D" w:rsidRPr="003C5D78" w:rsidRDefault="00850810" w:rsidP="00214137">
      <w:pPr>
        <w:pStyle w:val="ListParagraph"/>
        <w:numPr>
          <w:ilvl w:val="0"/>
          <w:numId w:val="1"/>
        </w:numPr>
        <w:autoSpaceDE w:val="0"/>
        <w:autoSpaceDN w:val="0"/>
        <w:adjustRightInd w:val="0"/>
        <w:spacing w:before="120" w:after="120" w:line="360" w:lineRule="auto"/>
        <w:jc w:val="both"/>
        <w:rPr>
          <w:rFonts w:cs="Times"/>
          <w:lang w:val="en-US"/>
        </w:rPr>
      </w:pPr>
      <w:r>
        <w:rPr>
          <w:rFonts w:cs="Arial"/>
          <w:lang w:val="en-US"/>
        </w:rPr>
        <w:lastRenderedPageBreak/>
        <w:t>The BSB may wish to obtain advice from specialist costs counsel as to (a) the basis upon which a Public Access client may recover the costs of pre-trial work</w:t>
      </w:r>
      <w:r w:rsidR="00BF1779">
        <w:rPr>
          <w:rStyle w:val="FootnoteReference"/>
          <w:rFonts w:cs="Arial"/>
          <w:lang w:val="en-US"/>
        </w:rPr>
        <w:footnoteReference w:id="1"/>
      </w:r>
      <w:r>
        <w:rPr>
          <w:rFonts w:cs="Arial"/>
          <w:lang w:val="en-US"/>
        </w:rPr>
        <w:t xml:space="preserve"> done by a barrister, and (b) the limit, if any, on the amount that may be recovered for such work.</w:t>
      </w:r>
    </w:p>
    <w:p w14:paraId="537D64B5" w14:textId="77777777" w:rsidR="00214137" w:rsidRDefault="00214137" w:rsidP="00214137">
      <w:pPr>
        <w:autoSpaceDE w:val="0"/>
        <w:autoSpaceDN w:val="0"/>
        <w:adjustRightInd w:val="0"/>
        <w:spacing w:before="120" w:after="120" w:line="360" w:lineRule="auto"/>
        <w:jc w:val="both"/>
        <w:rPr>
          <w:rFonts w:cs="Times"/>
          <w:b/>
          <w:u w:val="single"/>
          <w:lang w:val="en-US"/>
        </w:rPr>
      </w:pPr>
    </w:p>
    <w:p w14:paraId="0B3DEF20" w14:textId="667FE4E7" w:rsidR="00214137" w:rsidRPr="00214137" w:rsidRDefault="00214137" w:rsidP="00214137">
      <w:pPr>
        <w:autoSpaceDE w:val="0"/>
        <w:autoSpaceDN w:val="0"/>
        <w:adjustRightInd w:val="0"/>
        <w:spacing w:before="120" w:after="120" w:line="360" w:lineRule="auto"/>
        <w:jc w:val="both"/>
        <w:rPr>
          <w:rFonts w:cs="Times"/>
          <w:lang w:val="en-US"/>
        </w:rPr>
      </w:pPr>
      <w:r w:rsidRPr="00757E94">
        <w:rPr>
          <w:rFonts w:cs="Times"/>
          <w:b/>
          <w:u w:val="single"/>
          <w:lang w:val="en-US"/>
        </w:rPr>
        <w:t>Introductory paragraphs</w:t>
      </w:r>
    </w:p>
    <w:p w14:paraId="0B4BDBD4" w14:textId="17D2C0DF" w:rsidR="007E2F9F" w:rsidRPr="00757E94" w:rsidRDefault="0043124C"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t>Paragraph 1 states, “</w:t>
      </w:r>
      <w:r w:rsidRPr="00757E94">
        <w:rPr>
          <w:rFonts w:cs="Arial"/>
          <w:i/>
          <w:lang w:val="en-US"/>
        </w:rPr>
        <w:t>If you are, on a Public Access basis, providing advice and representation to clients in relation to personal injury claims (claims for physical injuries, diseases or illnesses, or psychological injuries or illnesses), …</w:t>
      </w:r>
      <w:r w:rsidRPr="00757E94">
        <w:rPr>
          <w:rFonts w:cs="Arial"/>
          <w:lang w:val="en-US"/>
        </w:rPr>
        <w:t>”  In almost all other contexts, the phrase “</w:t>
      </w:r>
      <w:r w:rsidRPr="00757E94">
        <w:rPr>
          <w:rFonts w:cs="Arial"/>
          <w:i/>
          <w:lang w:val="en-US"/>
        </w:rPr>
        <w:t>personal injury claims</w:t>
      </w:r>
      <w:r w:rsidRPr="00757E94">
        <w:rPr>
          <w:rFonts w:cs="Arial"/>
          <w:lang w:val="en-US"/>
        </w:rPr>
        <w:t>” includes claims arising out of death</w:t>
      </w:r>
      <w:r w:rsidR="00CC4075">
        <w:rPr>
          <w:rStyle w:val="FootnoteReference"/>
          <w:rFonts w:cs="Arial"/>
          <w:lang w:val="en-US"/>
        </w:rPr>
        <w:footnoteReference w:id="2"/>
      </w:r>
      <w:r w:rsidRPr="00757E94">
        <w:rPr>
          <w:rFonts w:cs="Arial"/>
          <w:lang w:val="en-US"/>
        </w:rPr>
        <w:t>.  A claim on behalf of (</w:t>
      </w:r>
      <w:proofErr w:type="spellStart"/>
      <w:r w:rsidRPr="00757E94">
        <w:rPr>
          <w:rFonts w:cs="Arial"/>
          <w:lang w:val="en-US"/>
        </w:rPr>
        <w:t>i</w:t>
      </w:r>
      <w:proofErr w:type="spellEnd"/>
      <w:r w:rsidRPr="00757E94">
        <w:rPr>
          <w:rFonts w:cs="Arial"/>
          <w:lang w:val="en-US"/>
        </w:rPr>
        <w:t>) the estate of a deceased person</w:t>
      </w:r>
      <w:r w:rsidRPr="00757E94">
        <w:rPr>
          <w:rStyle w:val="FootnoteReference"/>
          <w:rFonts w:cs="Arial"/>
          <w:lang w:val="en-US"/>
        </w:rPr>
        <w:footnoteReference w:id="3"/>
      </w:r>
      <w:r w:rsidRPr="00757E94">
        <w:rPr>
          <w:rFonts w:cs="Arial"/>
          <w:lang w:val="en-US"/>
        </w:rPr>
        <w:t xml:space="preserve">, or (ii) on behalf of the </w:t>
      </w:r>
      <w:proofErr w:type="spellStart"/>
      <w:r w:rsidRPr="00757E94">
        <w:rPr>
          <w:rFonts w:cs="Arial"/>
          <w:lang w:val="en-US"/>
        </w:rPr>
        <w:t>dependants</w:t>
      </w:r>
      <w:proofErr w:type="spellEnd"/>
      <w:r w:rsidR="007E2F9F" w:rsidRPr="00757E94">
        <w:rPr>
          <w:rStyle w:val="FootnoteReference"/>
          <w:rFonts w:cs="Arial"/>
          <w:lang w:val="en-US"/>
        </w:rPr>
        <w:footnoteReference w:id="4"/>
      </w:r>
      <w:r w:rsidRPr="00757E94">
        <w:rPr>
          <w:rFonts w:cs="Arial"/>
          <w:lang w:val="en-US"/>
        </w:rPr>
        <w:t xml:space="preserve"> of a very old or very young person</w:t>
      </w:r>
      <w:r w:rsidR="00CC4075">
        <w:rPr>
          <w:rFonts w:cs="Arial"/>
          <w:lang w:val="en-US"/>
        </w:rPr>
        <w:t>,</w:t>
      </w:r>
      <w:r w:rsidRPr="00757E94">
        <w:rPr>
          <w:rFonts w:cs="Arial"/>
          <w:lang w:val="en-US"/>
        </w:rPr>
        <w:t xml:space="preserve"> may not exceed £25,000.  The definition of personal injury claims in the current draft, on its face, would not </w:t>
      </w:r>
      <w:r w:rsidR="00CC4075">
        <w:rPr>
          <w:rFonts w:cs="Arial"/>
          <w:lang w:val="en-US"/>
        </w:rPr>
        <w:t xml:space="preserve">appear to </w:t>
      </w:r>
      <w:r w:rsidRPr="00757E94">
        <w:rPr>
          <w:rFonts w:cs="Arial"/>
          <w:lang w:val="en-US"/>
        </w:rPr>
        <w:t>include claims arising out of death.  If that is the intention</w:t>
      </w:r>
      <w:r w:rsidR="00CC4075">
        <w:rPr>
          <w:rFonts w:cs="Arial"/>
          <w:lang w:val="en-US"/>
        </w:rPr>
        <w:t>,</w:t>
      </w:r>
      <w:r w:rsidRPr="00757E94">
        <w:rPr>
          <w:rFonts w:cs="Arial"/>
          <w:lang w:val="en-US"/>
        </w:rPr>
        <w:t xml:space="preserve"> then the current wording is perfectly acceptable.  If it is intended to include </w:t>
      </w:r>
      <w:r w:rsidR="00CC4075">
        <w:rPr>
          <w:rFonts w:cs="Arial"/>
          <w:lang w:val="en-US"/>
        </w:rPr>
        <w:t xml:space="preserve">claims arising out of death, </w:t>
      </w:r>
      <w:r w:rsidRPr="00757E94">
        <w:rPr>
          <w:rFonts w:cs="Arial"/>
          <w:lang w:val="en-US"/>
        </w:rPr>
        <w:t>then the wording requires amendment.</w:t>
      </w:r>
    </w:p>
    <w:p w14:paraId="783D03E4" w14:textId="411AFFF0" w:rsidR="00D36C21" w:rsidRPr="006260B8" w:rsidRDefault="007E2F9F"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t>Paragraph 2 states, “</w:t>
      </w:r>
      <w:r w:rsidRPr="00757E94">
        <w:rPr>
          <w:rFonts w:cs="Arial"/>
          <w:i/>
          <w:lang w:val="en-US"/>
        </w:rPr>
        <w:t>Note that additional price transparency rules only apply in relation to claims which are allocated to the fast track (claims which are not worth more than £25,000).</w:t>
      </w:r>
      <w:r w:rsidRPr="00757E94">
        <w:rPr>
          <w:rFonts w:cs="Arial"/>
          <w:lang w:val="en-US"/>
        </w:rPr>
        <w:t xml:space="preserve">”  A case which is worth less than £25,000 </w:t>
      </w:r>
      <w:r w:rsidRPr="00CC4075">
        <w:rPr>
          <w:rFonts w:cs="Arial"/>
          <w:i/>
          <w:lang w:val="en-US"/>
        </w:rPr>
        <w:t>may</w:t>
      </w:r>
      <w:r w:rsidRPr="00757E94">
        <w:rPr>
          <w:rFonts w:cs="Arial"/>
          <w:lang w:val="en-US"/>
        </w:rPr>
        <w:t xml:space="preserve"> be allocated to the multi-track due to the co</w:t>
      </w:r>
      <w:r w:rsidR="00133F27" w:rsidRPr="00757E94">
        <w:rPr>
          <w:rFonts w:cs="Arial"/>
          <w:lang w:val="en-US"/>
        </w:rPr>
        <w:t xml:space="preserve">mplexity of the issues involved.  Equally, a case worth more than £25,000 </w:t>
      </w:r>
      <w:r w:rsidR="00133F27" w:rsidRPr="00CC4075">
        <w:rPr>
          <w:rFonts w:cs="Arial"/>
          <w:i/>
          <w:lang w:val="en-US"/>
        </w:rPr>
        <w:t>may</w:t>
      </w:r>
      <w:r w:rsidR="00133F27" w:rsidRPr="00757E94">
        <w:rPr>
          <w:rFonts w:cs="Arial"/>
          <w:lang w:val="en-US"/>
        </w:rPr>
        <w:t xml:space="preserve"> be allocated to the fast track.  As currently drafted it is unclear whether the trigger for the</w:t>
      </w:r>
      <w:r w:rsidR="00CC4075">
        <w:rPr>
          <w:rFonts w:cs="Arial"/>
          <w:lang w:val="en-US"/>
        </w:rPr>
        <w:t xml:space="preserve"> application of the</w:t>
      </w:r>
      <w:r w:rsidR="00133F27" w:rsidRPr="00757E94">
        <w:rPr>
          <w:rFonts w:cs="Arial"/>
          <w:lang w:val="en-US"/>
        </w:rPr>
        <w:t xml:space="preserve"> transparency rules is (a) allocation to the fast track, or (b) allocation to the fast track and a value less than £25,000, or (c) simply a value of less than £25,000</w:t>
      </w:r>
      <w:r w:rsidR="00CC4075">
        <w:rPr>
          <w:rFonts w:cs="Arial"/>
          <w:lang w:val="en-US"/>
        </w:rPr>
        <w:t xml:space="preserve"> irrespective of</w:t>
      </w:r>
      <w:r w:rsidR="00133F27" w:rsidRPr="00757E94">
        <w:rPr>
          <w:rFonts w:cs="Arial"/>
          <w:lang w:val="en-US"/>
        </w:rPr>
        <w:t xml:space="preserve"> whether it is allocated to the fast track or the multi-track.</w:t>
      </w:r>
      <w:r w:rsidR="00CC4075">
        <w:rPr>
          <w:rFonts w:cs="Arial"/>
          <w:lang w:val="en-US"/>
        </w:rPr>
        <w:t xml:space="preserve">  Fees for a complex claim worth less than £25,000 but allocated to the multi-track will be more than the fees for a straightforward claim allocated to the fast track.  The text in the example refers to claims “</w:t>
      </w:r>
      <w:r w:rsidR="00CC4075" w:rsidRPr="00CC4075">
        <w:rPr>
          <w:rFonts w:cs="Arial"/>
          <w:i/>
          <w:lang w:val="en-US"/>
        </w:rPr>
        <w:t>up to £25,000</w:t>
      </w:r>
      <w:r w:rsidR="00CC4075">
        <w:rPr>
          <w:rFonts w:cs="Arial"/>
          <w:lang w:val="en-US"/>
        </w:rPr>
        <w:t>” irrespective of which track it is allocated to.</w:t>
      </w:r>
    </w:p>
    <w:p w14:paraId="43D97094" w14:textId="72EFF2CB" w:rsidR="006260B8" w:rsidRPr="00EB5424" w:rsidRDefault="006D183F" w:rsidP="00214137">
      <w:pPr>
        <w:pStyle w:val="ListParagraph"/>
        <w:numPr>
          <w:ilvl w:val="0"/>
          <w:numId w:val="1"/>
        </w:numPr>
        <w:autoSpaceDE w:val="0"/>
        <w:autoSpaceDN w:val="0"/>
        <w:adjustRightInd w:val="0"/>
        <w:spacing w:before="120" w:after="120" w:line="360" w:lineRule="auto"/>
        <w:jc w:val="both"/>
        <w:rPr>
          <w:rFonts w:cs="Times"/>
          <w:lang w:val="en-US"/>
        </w:rPr>
      </w:pPr>
      <w:r>
        <w:rPr>
          <w:rFonts w:cs="Arial"/>
          <w:lang w:val="en-US"/>
        </w:rPr>
        <w:t>A</w:t>
      </w:r>
      <w:r w:rsidR="006260B8">
        <w:rPr>
          <w:rFonts w:cs="Arial"/>
          <w:lang w:val="en-US"/>
        </w:rPr>
        <w:t xml:space="preserve">t the outset of a case when instructions are first taken, the </w:t>
      </w:r>
      <w:r w:rsidR="00171ED9">
        <w:rPr>
          <w:rFonts w:cs="Arial"/>
          <w:lang w:val="en-US"/>
        </w:rPr>
        <w:t xml:space="preserve">ultimate </w:t>
      </w:r>
      <w:r w:rsidR="006260B8">
        <w:rPr>
          <w:rFonts w:cs="Arial"/>
          <w:lang w:val="en-US"/>
        </w:rPr>
        <w:t>value of the claim will very often be unknown.  By way of example, a soft tissue “</w:t>
      </w:r>
      <w:r w:rsidR="006260B8" w:rsidRPr="00ED0FD9">
        <w:rPr>
          <w:rFonts w:cs="Arial"/>
          <w:i/>
          <w:lang w:val="en-US"/>
        </w:rPr>
        <w:t>whiplash</w:t>
      </w:r>
      <w:r w:rsidR="006260B8">
        <w:rPr>
          <w:rFonts w:cs="Arial"/>
          <w:lang w:val="en-US"/>
        </w:rPr>
        <w:t>” neck injury will usually be expected to recover within two years with</w:t>
      </w:r>
      <w:r w:rsidR="00ED0FD9">
        <w:rPr>
          <w:rFonts w:cs="Arial"/>
          <w:lang w:val="en-US"/>
        </w:rPr>
        <w:t xml:space="preserve"> a</w:t>
      </w:r>
      <w:r w:rsidR="006260B8">
        <w:rPr>
          <w:rFonts w:cs="Arial"/>
          <w:lang w:val="en-US"/>
        </w:rPr>
        <w:t xml:space="preserve"> full recovery </w:t>
      </w:r>
      <w:r w:rsidR="00ED0FD9">
        <w:rPr>
          <w:rFonts w:cs="Arial"/>
          <w:lang w:val="en-US"/>
        </w:rPr>
        <w:t xml:space="preserve">to normal function </w:t>
      </w:r>
      <w:r w:rsidR="006260B8">
        <w:rPr>
          <w:rFonts w:cs="Arial"/>
          <w:lang w:val="en-US"/>
        </w:rPr>
        <w:t>and a valuation less than £25,000.  However, where somebody does not recover within that timescale and goes on to have chronic symptoms then damages will often far exceed £25,000 and the case would not be allocated to the fast-track.  What might seem like a straightforward case worth less than £25,000 at the outset may prove to be more complex and of greater value at its conclusion.</w:t>
      </w:r>
      <w:r w:rsidR="00ED0FD9">
        <w:rPr>
          <w:rFonts w:cs="Arial"/>
          <w:lang w:val="en-US"/>
        </w:rPr>
        <w:t xml:space="preserve">  This may need to be reflected more clearly so that consumers understand that the value, complexity and level of fees may change as the case progresses.</w:t>
      </w:r>
    </w:p>
    <w:p w14:paraId="04ABB123" w14:textId="56B5C0C4" w:rsidR="00EB5424" w:rsidRPr="00FE644D" w:rsidRDefault="00EB5424" w:rsidP="00214137">
      <w:pPr>
        <w:pStyle w:val="ListParagraph"/>
        <w:numPr>
          <w:ilvl w:val="0"/>
          <w:numId w:val="1"/>
        </w:numPr>
        <w:autoSpaceDE w:val="0"/>
        <w:autoSpaceDN w:val="0"/>
        <w:adjustRightInd w:val="0"/>
        <w:spacing w:before="120" w:after="120" w:line="360" w:lineRule="auto"/>
        <w:jc w:val="both"/>
        <w:rPr>
          <w:rFonts w:cs="Times"/>
          <w:lang w:val="en-US"/>
        </w:rPr>
      </w:pPr>
      <w:r>
        <w:rPr>
          <w:rFonts w:cs="Arial"/>
          <w:lang w:val="en-US"/>
        </w:rPr>
        <w:t xml:space="preserve">It is also perhaps worth emphasizing that a claim might be valued at well over £25,000 </w:t>
      </w:r>
      <w:r w:rsidRPr="00171ED9">
        <w:rPr>
          <w:rFonts w:cs="Arial"/>
          <w:b/>
          <w:lang w:val="en-US"/>
        </w:rPr>
        <w:t>at full value</w:t>
      </w:r>
      <w:r>
        <w:rPr>
          <w:rFonts w:cs="Arial"/>
          <w:lang w:val="en-US"/>
        </w:rPr>
        <w:t xml:space="preserve"> and may be allocated to the multi-track, but the claimant may still recover damages less than £25,000 as a result of a reduction for contributory negligence.  The BSB may wish to give thought to clarifying that the reference to the £25,000 limit is a reference to the </w:t>
      </w:r>
      <w:r w:rsidRPr="00171ED9">
        <w:rPr>
          <w:rFonts w:cs="Arial"/>
          <w:b/>
          <w:lang w:val="en-US"/>
        </w:rPr>
        <w:t>full value</w:t>
      </w:r>
      <w:r>
        <w:rPr>
          <w:rFonts w:cs="Arial"/>
          <w:lang w:val="en-US"/>
        </w:rPr>
        <w:t xml:space="preserve"> of the claim without reduction for contributory negligence.  </w:t>
      </w:r>
    </w:p>
    <w:p w14:paraId="57CB44A7" w14:textId="15F1E0C5" w:rsidR="00CC4075" w:rsidRDefault="00CC4075" w:rsidP="00214137">
      <w:pPr>
        <w:spacing w:before="120" w:after="120" w:line="360" w:lineRule="auto"/>
        <w:jc w:val="both"/>
        <w:rPr>
          <w:b/>
          <w:u w:val="single"/>
        </w:rPr>
      </w:pPr>
    </w:p>
    <w:p w14:paraId="2C159A34" w14:textId="77777777" w:rsidR="00D36C21" w:rsidRPr="00757E94" w:rsidRDefault="00D36C21" w:rsidP="00214137">
      <w:pPr>
        <w:spacing w:before="120" w:after="120" w:line="360" w:lineRule="auto"/>
        <w:jc w:val="both"/>
        <w:rPr>
          <w:b/>
          <w:u w:val="single"/>
        </w:rPr>
      </w:pPr>
      <w:r w:rsidRPr="00757E94">
        <w:rPr>
          <w:b/>
          <w:u w:val="single"/>
        </w:rPr>
        <w:t>The “Orchard Chambers” example</w:t>
      </w:r>
    </w:p>
    <w:p w14:paraId="53C98712" w14:textId="5684BF14" w:rsidR="00D36C21" w:rsidRPr="00757E94" w:rsidRDefault="00D36C21"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t>“</w:t>
      </w:r>
      <w:r w:rsidRPr="00757E94">
        <w:rPr>
          <w:rFonts w:cs="Arial"/>
          <w:i/>
          <w:lang w:val="en-US"/>
        </w:rPr>
        <w:t>However, more straightforward cases will ideally settle four to nine months after a claim is made. If a trial is required, as a guide the courts tend to have a hearing date nine to twelve months after a claim is made.</w:t>
      </w:r>
      <w:r w:rsidRPr="00757E94">
        <w:rPr>
          <w:rFonts w:cs="Arial"/>
          <w:lang w:val="en-US"/>
        </w:rPr>
        <w:t xml:space="preserve">”– </w:t>
      </w:r>
      <w:r w:rsidR="00352C48" w:rsidRPr="00757E94">
        <w:rPr>
          <w:rFonts w:cs="Arial"/>
          <w:lang w:val="en-US"/>
        </w:rPr>
        <w:t>The reference to “</w:t>
      </w:r>
      <w:r w:rsidR="00352C48" w:rsidRPr="00757E94">
        <w:rPr>
          <w:rFonts w:cs="Arial"/>
          <w:i/>
          <w:lang w:val="en-US"/>
        </w:rPr>
        <w:t>after a claim</w:t>
      </w:r>
      <w:r w:rsidR="00352C48" w:rsidRPr="00757E94">
        <w:rPr>
          <w:rFonts w:cs="Arial"/>
          <w:lang w:val="en-US"/>
        </w:rPr>
        <w:t xml:space="preserve">” is made may be confusing.  Almost all low value [up to £25,000] road traffic, </w:t>
      </w:r>
      <w:proofErr w:type="gramStart"/>
      <w:r w:rsidR="00352C48" w:rsidRPr="00757E94">
        <w:rPr>
          <w:rFonts w:cs="Arial"/>
          <w:lang w:val="en-US"/>
        </w:rPr>
        <w:t>employers</w:t>
      </w:r>
      <w:proofErr w:type="gramEnd"/>
      <w:r w:rsidR="00352C48" w:rsidRPr="00757E94">
        <w:rPr>
          <w:rFonts w:cs="Arial"/>
          <w:lang w:val="en-US"/>
        </w:rPr>
        <w:t xml:space="preserve"> liability and public liability personal injury</w:t>
      </w:r>
      <w:r w:rsidR="004F7949">
        <w:rPr>
          <w:rFonts w:cs="Arial"/>
          <w:lang w:val="en-US"/>
        </w:rPr>
        <w:t xml:space="preserve"> claims</w:t>
      </w:r>
      <w:r w:rsidR="00352C48" w:rsidRPr="00757E94">
        <w:rPr>
          <w:rFonts w:cs="Arial"/>
          <w:lang w:val="en-US"/>
        </w:rPr>
        <w:t xml:space="preserve"> are submitted via the online Claims Portal.  We would expect “</w:t>
      </w:r>
      <w:r w:rsidR="00352C48" w:rsidRPr="00757E94">
        <w:rPr>
          <w:rFonts w:cs="Arial"/>
          <w:i/>
          <w:lang w:val="en-US"/>
        </w:rPr>
        <w:t>straightforward</w:t>
      </w:r>
      <w:r w:rsidR="00352C48" w:rsidRPr="00757E94">
        <w:rPr>
          <w:rFonts w:cs="Arial"/>
          <w:lang w:val="en-US"/>
        </w:rPr>
        <w:t xml:space="preserve">” claims submitted under the </w:t>
      </w:r>
      <w:r w:rsidR="00DE5204">
        <w:rPr>
          <w:rFonts w:cs="Arial"/>
          <w:lang w:val="en-US"/>
        </w:rPr>
        <w:t>Portal to settle within six</w:t>
      </w:r>
      <w:r w:rsidR="00352C48" w:rsidRPr="00757E94">
        <w:rPr>
          <w:rFonts w:cs="Arial"/>
          <w:lang w:val="en-US"/>
        </w:rPr>
        <w:t xml:space="preserve"> months of the claim being submitted</w:t>
      </w:r>
      <w:r w:rsidR="0099523D">
        <w:rPr>
          <w:rFonts w:cs="Arial"/>
          <w:lang w:val="en-US"/>
        </w:rPr>
        <w:t xml:space="preserve"> to the Portal</w:t>
      </w:r>
      <w:r w:rsidR="00352C48" w:rsidRPr="00757E94">
        <w:rPr>
          <w:rFonts w:cs="Arial"/>
          <w:lang w:val="en-US"/>
        </w:rPr>
        <w:t xml:space="preserve">.  If the case did not settle and a trial was required, then we would expect the trial to take place within approximately </w:t>
      </w:r>
      <w:r w:rsidR="00DE5204">
        <w:rPr>
          <w:rFonts w:cs="Arial"/>
          <w:lang w:val="en-US"/>
        </w:rPr>
        <w:t>two years of the cla</w:t>
      </w:r>
      <w:r w:rsidR="0099523D">
        <w:rPr>
          <w:rFonts w:cs="Arial"/>
          <w:lang w:val="en-US"/>
        </w:rPr>
        <w:t>im entering the P</w:t>
      </w:r>
      <w:r w:rsidR="00DE5204">
        <w:rPr>
          <w:rFonts w:cs="Arial"/>
          <w:lang w:val="en-US"/>
        </w:rPr>
        <w:t>ortal</w:t>
      </w:r>
      <w:r w:rsidR="00540F4F" w:rsidRPr="00757E94">
        <w:rPr>
          <w:rFonts w:cs="Arial"/>
          <w:lang w:val="en-US"/>
        </w:rPr>
        <w:t xml:space="preserve">.  </w:t>
      </w:r>
      <w:r w:rsidR="004F7949">
        <w:rPr>
          <w:rFonts w:cs="Arial"/>
          <w:lang w:val="en-US"/>
        </w:rPr>
        <w:t>Medical negligence claims [which we consider later] are not submitted via the Portal and take far longer to reach a conclusion, whether via settlement or determination at trial.</w:t>
      </w:r>
    </w:p>
    <w:p w14:paraId="754F90A2" w14:textId="120E21EF" w:rsidR="00757E94" w:rsidRPr="00757E94" w:rsidRDefault="003C5D78"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rPr>
          <w:rFonts w:cs="Arial"/>
          <w:lang w:val="en-US"/>
        </w:rPr>
        <w:t xml:space="preserve"> </w:t>
      </w:r>
      <w:r w:rsidR="00540F4F" w:rsidRPr="00757E94">
        <w:rPr>
          <w:rFonts w:cs="Arial"/>
          <w:lang w:val="en-US"/>
        </w:rPr>
        <w:t>“</w:t>
      </w:r>
      <w:r w:rsidR="00540F4F" w:rsidRPr="00757E94">
        <w:rPr>
          <w:rFonts w:cs="Arial"/>
          <w:i/>
          <w:lang w:val="en-US"/>
        </w:rPr>
        <w:t>However, your barrister’s fees will not be more than 25% of the compensation you receive.</w:t>
      </w:r>
      <w:r w:rsidR="00540F4F" w:rsidRPr="00757E94">
        <w:rPr>
          <w:rFonts w:cs="Arial"/>
          <w:lang w:val="en-US"/>
        </w:rPr>
        <w:t xml:space="preserve">” – We are unsure as to what this is based upon.  Under a conditional fee agreement, the </w:t>
      </w:r>
      <w:r w:rsidR="00540F4F" w:rsidRPr="00757E94">
        <w:rPr>
          <w:rFonts w:cs="Arial"/>
          <w:b/>
          <w:lang w:val="en-US"/>
        </w:rPr>
        <w:t>success fee</w:t>
      </w:r>
      <w:r w:rsidR="00540F4F" w:rsidRPr="00757E94">
        <w:rPr>
          <w:rFonts w:cs="Arial"/>
          <w:lang w:val="en-US"/>
        </w:rPr>
        <w:t xml:space="preserve"> cannot exceed 25% of the compensation awarded for (a) general damages for pain, suffering and loss o</w:t>
      </w:r>
      <w:r w:rsidR="00171ED9">
        <w:rPr>
          <w:rFonts w:cs="Arial"/>
          <w:lang w:val="en-US"/>
        </w:rPr>
        <w:t xml:space="preserve">f amenity, and (b) past losses.  </w:t>
      </w:r>
      <w:r w:rsidR="00171ED9" w:rsidRPr="00171ED9">
        <w:rPr>
          <w:rFonts w:cs="Arial"/>
          <w:b/>
          <w:lang w:val="en-US"/>
        </w:rPr>
        <w:t>B</w:t>
      </w:r>
      <w:r w:rsidR="00540F4F" w:rsidRPr="00757E94">
        <w:rPr>
          <w:rFonts w:cs="Arial"/>
          <w:b/>
          <w:lang w:val="en-US"/>
        </w:rPr>
        <w:t>ase fees</w:t>
      </w:r>
      <w:r w:rsidR="00540F4F" w:rsidRPr="00757E94">
        <w:rPr>
          <w:rFonts w:cs="Arial"/>
          <w:lang w:val="en-US"/>
        </w:rPr>
        <w:t xml:space="preserve">, i.e. the estimated fees set out in table, are </w:t>
      </w:r>
      <w:r w:rsidR="00540F4F" w:rsidRPr="004F7949">
        <w:rPr>
          <w:rFonts w:cs="Arial"/>
          <w:b/>
          <w:u w:val="single"/>
          <w:lang w:val="en-US"/>
        </w:rPr>
        <w:t>not</w:t>
      </w:r>
      <w:r w:rsidR="00540F4F" w:rsidRPr="00757E94">
        <w:rPr>
          <w:rFonts w:cs="Arial"/>
          <w:lang w:val="en-US"/>
        </w:rPr>
        <w:t xml:space="preserve"> capped or limited to 25% of damages, or 25% of any element of the damages.</w:t>
      </w:r>
      <w:r w:rsidR="00486357">
        <w:rPr>
          <w:rFonts w:cs="Arial"/>
          <w:lang w:val="en-US"/>
        </w:rPr>
        <w:t xml:space="preserve">  </w:t>
      </w:r>
      <w:r w:rsidR="00ED0FD9">
        <w:rPr>
          <w:rFonts w:cs="Arial"/>
          <w:lang w:val="en-US"/>
        </w:rPr>
        <w:t xml:space="preserve">Further, </w:t>
      </w:r>
      <w:r w:rsidR="00171ED9">
        <w:rPr>
          <w:rFonts w:cs="Arial"/>
          <w:lang w:val="en-US"/>
        </w:rPr>
        <w:t>the</w:t>
      </w:r>
      <w:r w:rsidR="00ED0FD9">
        <w:rPr>
          <w:rFonts w:cs="Arial"/>
          <w:lang w:val="en-US"/>
        </w:rPr>
        <w:t xml:space="preserve"> success fee can be, subject to the 25% cap on PSLA and pas</w:t>
      </w:r>
      <w:r w:rsidR="00171ED9">
        <w:rPr>
          <w:rFonts w:cs="Arial"/>
          <w:lang w:val="en-US"/>
        </w:rPr>
        <w:t>t losses,</w:t>
      </w:r>
      <w:r w:rsidR="00ED0FD9">
        <w:rPr>
          <w:rFonts w:cs="Arial"/>
          <w:lang w:val="en-US"/>
        </w:rPr>
        <w:t xml:space="preserve"> up to 100% of the base fees.  </w:t>
      </w:r>
      <w:r w:rsidR="00486357">
        <w:rPr>
          <w:rFonts w:cs="Arial"/>
          <w:lang w:val="en-US"/>
        </w:rPr>
        <w:t>This is made clear in the Bar Council note in relation to “</w:t>
      </w:r>
      <w:r w:rsidR="00486357" w:rsidRPr="00486357">
        <w:rPr>
          <w:rFonts w:cs="Arial"/>
          <w:i/>
          <w:lang w:val="en-US"/>
        </w:rPr>
        <w:t>CFAs and DBAs in Public Access Cases</w:t>
      </w:r>
      <w:r w:rsidR="00486357">
        <w:rPr>
          <w:rFonts w:cs="Arial"/>
          <w:lang w:val="en-US"/>
        </w:rPr>
        <w:t>” [copy attached].</w:t>
      </w:r>
    </w:p>
    <w:p w14:paraId="05E6D2C0" w14:textId="77777777" w:rsidR="0099523D" w:rsidRPr="0099523D" w:rsidRDefault="00540F4F"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rPr>
          <w:rFonts w:cs="Arial"/>
          <w:lang w:val="en-US"/>
        </w:rPr>
        <w:t>“</w:t>
      </w:r>
      <w:r w:rsidRPr="00757E94">
        <w:rPr>
          <w:rFonts w:cs="Arial"/>
          <w:i/>
          <w:lang w:val="en-US"/>
        </w:rPr>
        <w:t>The other side will also normally reimburse our expenses (for example, the cost of obtaining a medical report).</w:t>
      </w:r>
      <w:r w:rsidRPr="00757E94">
        <w:rPr>
          <w:rFonts w:cs="Arial"/>
          <w:lang w:val="en-US"/>
        </w:rPr>
        <w:t xml:space="preserve">” – </w:t>
      </w:r>
    </w:p>
    <w:p w14:paraId="3987F204" w14:textId="2F5C604A" w:rsidR="0099523D" w:rsidRPr="0099523D" w:rsidRDefault="00540F4F" w:rsidP="00214137">
      <w:pPr>
        <w:pStyle w:val="ListParagraph"/>
        <w:numPr>
          <w:ilvl w:val="1"/>
          <w:numId w:val="1"/>
        </w:numPr>
        <w:autoSpaceDE w:val="0"/>
        <w:autoSpaceDN w:val="0"/>
        <w:adjustRightInd w:val="0"/>
        <w:spacing w:before="120" w:after="120" w:line="360" w:lineRule="auto"/>
        <w:jc w:val="both"/>
        <w:rPr>
          <w:rFonts w:cs="Times"/>
          <w:lang w:val="en-US"/>
        </w:rPr>
      </w:pPr>
      <w:r w:rsidRPr="00757E94">
        <w:rPr>
          <w:rFonts w:cs="Arial"/>
          <w:lang w:val="en-US"/>
        </w:rPr>
        <w:t>The reference to “</w:t>
      </w:r>
      <w:r w:rsidRPr="00757E94">
        <w:rPr>
          <w:rFonts w:cs="Arial"/>
          <w:i/>
          <w:lang w:val="en-US"/>
        </w:rPr>
        <w:t>our expenses</w:t>
      </w:r>
      <w:r w:rsidRPr="00757E94">
        <w:rPr>
          <w:rFonts w:cs="Arial"/>
          <w:lang w:val="en-US"/>
        </w:rPr>
        <w:t xml:space="preserve">” may be misleading.  Our understanding is that a barrister acting under a public access arrangement cannot </w:t>
      </w:r>
      <w:r w:rsidR="004F7949">
        <w:rPr>
          <w:rFonts w:cs="Arial"/>
          <w:lang w:val="en-US"/>
        </w:rPr>
        <w:t xml:space="preserve">instruct a medical expert [unless authorized to conduct litigation] and cannot </w:t>
      </w:r>
      <w:r w:rsidRPr="00757E94">
        <w:rPr>
          <w:rFonts w:cs="Arial"/>
          <w:lang w:val="en-US"/>
        </w:rPr>
        <w:t>fund medical reports.  The reference to “</w:t>
      </w:r>
      <w:r w:rsidRPr="00757E94">
        <w:rPr>
          <w:rFonts w:cs="Arial"/>
          <w:i/>
          <w:lang w:val="en-US"/>
        </w:rPr>
        <w:t>our expenses</w:t>
      </w:r>
      <w:r w:rsidRPr="00757E94">
        <w:rPr>
          <w:rFonts w:cs="Arial"/>
          <w:lang w:val="en-US"/>
        </w:rPr>
        <w:t>” may be misleading as the expenses should be the client’s; therefore “</w:t>
      </w:r>
      <w:r w:rsidRPr="00757E94">
        <w:rPr>
          <w:rFonts w:cs="Arial"/>
          <w:i/>
          <w:lang w:val="en-US"/>
        </w:rPr>
        <w:t>your expenses</w:t>
      </w:r>
      <w:r w:rsidRPr="00757E94">
        <w:rPr>
          <w:rFonts w:cs="Arial"/>
          <w:lang w:val="en-US"/>
        </w:rPr>
        <w:t>” might be a better description.</w:t>
      </w:r>
      <w:r w:rsidR="00486357">
        <w:rPr>
          <w:rFonts w:cs="Arial"/>
          <w:lang w:val="en-US"/>
        </w:rPr>
        <w:t xml:space="preserve">  </w:t>
      </w:r>
    </w:p>
    <w:p w14:paraId="086C818E" w14:textId="5C44E570" w:rsidR="00540F4F" w:rsidRPr="00FE644D" w:rsidRDefault="0099523D" w:rsidP="00214137">
      <w:pPr>
        <w:pStyle w:val="ListParagraph"/>
        <w:numPr>
          <w:ilvl w:val="1"/>
          <w:numId w:val="1"/>
        </w:numPr>
        <w:autoSpaceDE w:val="0"/>
        <w:autoSpaceDN w:val="0"/>
        <w:adjustRightInd w:val="0"/>
        <w:spacing w:before="120" w:after="120" w:line="360" w:lineRule="auto"/>
        <w:jc w:val="both"/>
        <w:rPr>
          <w:rFonts w:cs="Times"/>
          <w:lang w:val="en-US"/>
        </w:rPr>
      </w:pPr>
      <w:r>
        <w:rPr>
          <w:rFonts w:cs="Arial"/>
          <w:b/>
          <w:u w:val="single"/>
          <w:lang w:val="en-US"/>
        </w:rPr>
        <w:t>More significantly</w:t>
      </w:r>
      <w:r w:rsidR="00486357" w:rsidRPr="001E769B">
        <w:rPr>
          <w:rFonts w:cs="Arial"/>
          <w:b/>
          <w:u w:val="single"/>
          <w:lang w:val="en-US"/>
        </w:rPr>
        <w:t xml:space="preserve">, the </w:t>
      </w:r>
      <w:r w:rsidR="001E769B" w:rsidRPr="001E769B">
        <w:rPr>
          <w:rFonts w:cs="Arial"/>
          <w:b/>
          <w:u w:val="single"/>
          <w:lang w:val="en-US"/>
        </w:rPr>
        <w:t>“</w:t>
      </w:r>
      <w:r w:rsidR="001E769B" w:rsidRPr="001E769B">
        <w:rPr>
          <w:rFonts w:cs="Arial"/>
          <w:b/>
          <w:i/>
          <w:u w:val="single"/>
          <w:lang w:val="en-US"/>
        </w:rPr>
        <w:t>other side</w:t>
      </w:r>
      <w:r w:rsidR="001E769B" w:rsidRPr="001E769B">
        <w:rPr>
          <w:rFonts w:cs="Arial"/>
          <w:b/>
          <w:u w:val="single"/>
          <w:lang w:val="en-US"/>
        </w:rPr>
        <w:t>” will not be liabl</w:t>
      </w:r>
      <w:r w:rsidR="00171ED9">
        <w:rPr>
          <w:rFonts w:cs="Arial"/>
          <w:b/>
          <w:u w:val="single"/>
          <w:lang w:val="en-US"/>
        </w:rPr>
        <w:t>e to pay any of the success fee:</w:t>
      </w:r>
      <w:r w:rsidR="001E769B" w:rsidRPr="001E769B">
        <w:rPr>
          <w:rFonts w:cs="Arial"/>
          <w:b/>
          <w:u w:val="single"/>
          <w:lang w:val="en-US"/>
        </w:rPr>
        <w:t xml:space="preserve"> success fees are not recoverable from the paying </w:t>
      </w:r>
      <w:r w:rsidRPr="001E769B">
        <w:rPr>
          <w:rFonts w:cs="Arial"/>
          <w:b/>
          <w:u w:val="single"/>
          <w:lang w:val="en-US"/>
        </w:rPr>
        <w:t>party</w:t>
      </w:r>
      <w:r>
        <w:rPr>
          <w:rFonts w:cs="Arial"/>
          <w:b/>
          <w:u w:val="single"/>
          <w:lang w:val="en-US"/>
        </w:rPr>
        <w:t xml:space="preserve"> [save for a small number of exceptions including diffuse mesothelioma claims] </w:t>
      </w:r>
      <w:r w:rsidR="001E769B" w:rsidRPr="001E769B">
        <w:rPr>
          <w:rFonts w:cs="Arial"/>
          <w:b/>
          <w:u w:val="single"/>
          <w:lang w:val="en-US"/>
        </w:rPr>
        <w:t>and will therefore have to come out of the client’s damages</w:t>
      </w:r>
      <w:r w:rsidRPr="0099523D">
        <w:rPr>
          <w:rFonts w:cs="Arial"/>
          <w:lang w:val="en-US"/>
        </w:rPr>
        <w:t xml:space="preserve"> [</w:t>
      </w:r>
      <w:r w:rsidR="002A2678">
        <w:rPr>
          <w:rFonts w:cs="Arial"/>
          <w:lang w:val="en-US"/>
        </w:rPr>
        <w:t>see ss.58 and 58A of the Cour</w:t>
      </w:r>
      <w:r w:rsidR="006D183F">
        <w:rPr>
          <w:rFonts w:cs="Arial"/>
          <w:lang w:val="en-US"/>
        </w:rPr>
        <w:t xml:space="preserve">ts and Legal services Act 1990, </w:t>
      </w:r>
      <w:r w:rsidR="002A2678">
        <w:rPr>
          <w:rFonts w:cs="Arial"/>
          <w:lang w:val="en-US"/>
        </w:rPr>
        <w:t>as amended]</w:t>
      </w:r>
      <w:r>
        <w:rPr>
          <w:rFonts w:cs="Arial"/>
          <w:lang w:val="en-US"/>
        </w:rPr>
        <w:t xml:space="preserve"> </w:t>
      </w:r>
      <w:r w:rsidR="001E769B">
        <w:rPr>
          <w:rFonts w:cs="Arial"/>
          <w:lang w:val="en-US"/>
        </w:rPr>
        <w:t xml:space="preserve">.  As currently drafted, a prospective client may not appreciate that (a) there is a success fee under a CFA which can be </w:t>
      </w:r>
      <w:r w:rsidR="002A2678">
        <w:rPr>
          <w:rFonts w:cs="Arial"/>
          <w:lang w:val="en-US"/>
        </w:rPr>
        <w:t xml:space="preserve">up to </w:t>
      </w:r>
      <w:r w:rsidR="001E769B">
        <w:rPr>
          <w:rFonts w:cs="Arial"/>
          <w:lang w:val="en-US"/>
        </w:rPr>
        <w:t xml:space="preserve">100% of the base of the fees, and/or (b) that the success fee is payable by the client out of his/her damages subject to </w:t>
      </w:r>
      <w:r w:rsidR="00676589">
        <w:rPr>
          <w:rFonts w:cs="Arial"/>
          <w:lang w:val="en-US"/>
        </w:rPr>
        <w:t>the 25% cap [see §11</w:t>
      </w:r>
      <w:r w:rsidR="001E769B">
        <w:rPr>
          <w:rFonts w:cs="Arial"/>
          <w:lang w:val="en-US"/>
        </w:rPr>
        <w:t xml:space="preserve"> above].</w:t>
      </w:r>
    </w:p>
    <w:p w14:paraId="45B2CAE0" w14:textId="46FCBEDF" w:rsidR="00757E94" w:rsidRPr="00757E94" w:rsidRDefault="00FE644D" w:rsidP="00214137">
      <w:pPr>
        <w:pStyle w:val="ListParagraph"/>
        <w:numPr>
          <w:ilvl w:val="0"/>
          <w:numId w:val="1"/>
        </w:numPr>
        <w:autoSpaceDE w:val="0"/>
        <w:autoSpaceDN w:val="0"/>
        <w:adjustRightInd w:val="0"/>
        <w:spacing w:before="120" w:after="120" w:line="360" w:lineRule="auto"/>
        <w:jc w:val="both"/>
        <w:rPr>
          <w:rFonts w:cs="Times"/>
          <w:lang w:val="en-US"/>
        </w:rPr>
      </w:pPr>
      <w:r w:rsidRPr="00757E94">
        <w:rPr>
          <w:rFonts w:cs="Arial"/>
          <w:lang w:val="en-US"/>
        </w:rPr>
        <w:t xml:space="preserve"> </w:t>
      </w:r>
      <w:r w:rsidR="00757E94" w:rsidRPr="00757E94">
        <w:rPr>
          <w:rFonts w:cs="Arial"/>
          <w:lang w:val="en-US"/>
        </w:rPr>
        <w:t>“</w:t>
      </w:r>
      <w:r w:rsidR="00757E94" w:rsidRPr="00757E94">
        <w:rPr>
          <w:rFonts w:cs="Arial"/>
          <w:i/>
          <w:lang w:val="en-US"/>
        </w:rPr>
        <w:t>If your claim is unsuccessful, you will not pay your barrister’s fees, or the other side’s legal fees or expenses.</w:t>
      </w:r>
      <w:r w:rsidR="00757E94" w:rsidRPr="00757E94">
        <w:rPr>
          <w:rFonts w:cs="Arial"/>
          <w:lang w:val="en-US"/>
        </w:rPr>
        <w:t>” – A number of points arise:</w:t>
      </w:r>
    </w:p>
    <w:p w14:paraId="771DC63E" w14:textId="77777777" w:rsidR="00757E94" w:rsidRPr="00757E94" w:rsidRDefault="00757E94" w:rsidP="00214137">
      <w:pPr>
        <w:pStyle w:val="ListParagraph"/>
        <w:numPr>
          <w:ilvl w:val="1"/>
          <w:numId w:val="1"/>
        </w:numPr>
        <w:autoSpaceDE w:val="0"/>
        <w:autoSpaceDN w:val="0"/>
        <w:adjustRightInd w:val="0"/>
        <w:spacing w:before="120" w:after="120" w:line="360" w:lineRule="auto"/>
        <w:jc w:val="both"/>
        <w:rPr>
          <w:rFonts w:cs="Times"/>
          <w:lang w:val="en-US"/>
        </w:rPr>
      </w:pPr>
      <w:r w:rsidRPr="00757E94">
        <w:rPr>
          <w:rFonts w:cs="Arial"/>
          <w:lang w:val="en-US"/>
        </w:rPr>
        <w:t>Under a conditional fee agreement, a barrister is entitled to terminate the agreement in certain circumstances.  In those circumstances he/she may be entitled to payment of his/her base fees.  It would be wrong to say “</w:t>
      </w:r>
      <w:r w:rsidRPr="00757E94">
        <w:rPr>
          <w:rFonts w:cs="Arial"/>
          <w:i/>
          <w:lang w:val="en-US"/>
        </w:rPr>
        <w:t>you will not pay your barrister’s fees</w:t>
      </w:r>
      <w:r w:rsidRPr="00757E94">
        <w:rPr>
          <w:rFonts w:cs="Arial"/>
          <w:lang w:val="en-US"/>
        </w:rPr>
        <w:t xml:space="preserve">” in those circumstances.  </w:t>
      </w:r>
    </w:p>
    <w:p w14:paraId="4C4B34AE" w14:textId="77777777" w:rsidR="00757E94" w:rsidRPr="00757E94" w:rsidRDefault="00757E94" w:rsidP="00214137">
      <w:pPr>
        <w:pStyle w:val="ListParagraph"/>
        <w:numPr>
          <w:ilvl w:val="1"/>
          <w:numId w:val="1"/>
        </w:numPr>
        <w:autoSpaceDE w:val="0"/>
        <w:autoSpaceDN w:val="0"/>
        <w:adjustRightInd w:val="0"/>
        <w:spacing w:before="120" w:after="120" w:line="360" w:lineRule="auto"/>
        <w:jc w:val="both"/>
        <w:rPr>
          <w:rFonts w:cs="Times"/>
          <w:lang w:val="en-US"/>
        </w:rPr>
      </w:pPr>
      <w:r w:rsidRPr="00757E94">
        <w:rPr>
          <w:rFonts w:cs="Arial"/>
          <w:lang w:val="en-US"/>
        </w:rPr>
        <w:t xml:space="preserve">Similarly, if a barrister advises the claimant to accept an offer of settlement, in particular a Part 36 Offer, but the claimant rejects that advice and fails to beat the offer, the barrister will be entitled to </w:t>
      </w:r>
      <w:r w:rsidR="00343D57">
        <w:rPr>
          <w:rFonts w:cs="Arial"/>
          <w:lang w:val="en-US"/>
        </w:rPr>
        <w:t>h</w:t>
      </w:r>
      <w:r w:rsidRPr="00757E94">
        <w:rPr>
          <w:rFonts w:cs="Arial"/>
          <w:lang w:val="en-US"/>
        </w:rPr>
        <w:t>is/her base fees</w:t>
      </w:r>
      <w:r w:rsidR="00343D57">
        <w:rPr>
          <w:rFonts w:cs="Arial"/>
          <w:lang w:val="en-US"/>
        </w:rPr>
        <w:t xml:space="preserve"> and success fee up to the date of the offer and his/her base fees thereafter</w:t>
      </w:r>
      <w:r w:rsidRPr="00757E94">
        <w:rPr>
          <w:rFonts w:cs="Arial"/>
          <w:lang w:val="en-US"/>
        </w:rPr>
        <w:t>.  Again, it would be wrong to say “</w:t>
      </w:r>
      <w:r w:rsidRPr="00757E94">
        <w:rPr>
          <w:rFonts w:cs="Arial"/>
          <w:i/>
          <w:lang w:val="en-US"/>
        </w:rPr>
        <w:t>you will not pay your barrister’s fees</w:t>
      </w:r>
      <w:r w:rsidRPr="00757E94">
        <w:rPr>
          <w:rFonts w:cs="Arial"/>
          <w:lang w:val="en-US"/>
        </w:rPr>
        <w:t>” in those circumstances.</w:t>
      </w:r>
    </w:p>
    <w:p w14:paraId="7C30D04C" w14:textId="77777777" w:rsidR="00757E94" w:rsidRPr="00757E94" w:rsidRDefault="00757E94" w:rsidP="00214137">
      <w:pPr>
        <w:pStyle w:val="ListParagraph"/>
        <w:numPr>
          <w:ilvl w:val="1"/>
          <w:numId w:val="1"/>
        </w:numPr>
        <w:autoSpaceDE w:val="0"/>
        <w:autoSpaceDN w:val="0"/>
        <w:adjustRightInd w:val="0"/>
        <w:spacing w:before="120" w:after="120" w:line="360" w:lineRule="auto"/>
        <w:jc w:val="both"/>
        <w:rPr>
          <w:rFonts w:cs="Times"/>
          <w:lang w:val="en-US"/>
        </w:rPr>
      </w:pPr>
      <w:r w:rsidRPr="00757E94">
        <w:rPr>
          <w:rFonts w:cs="Arial"/>
          <w:lang w:val="en-US"/>
        </w:rPr>
        <w:t>As for payment of “</w:t>
      </w:r>
      <w:r w:rsidRPr="00343D57">
        <w:rPr>
          <w:rFonts w:cs="Arial"/>
          <w:i/>
          <w:lang w:val="en-US"/>
        </w:rPr>
        <w:t>the other side’s legal fees or expenses</w:t>
      </w:r>
      <w:r w:rsidRPr="00757E94">
        <w:rPr>
          <w:rFonts w:cs="Arial"/>
          <w:lang w:val="en-US"/>
        </w:rPr>
        <w:t>”, if a claimant is found to be guilty of fundamental dishonesty then he/she is likely to be ordered to pay the other sides legal fees and expenses.  The statement that you will not have to pay the other side’s legal costs if the claim is unsuccessful, without qualification, overstates the position.</w:t>
      </w:r>
    </w:p>
    <w:p w14:paraId="17CD3A23" w14:textId="73EDA361" w:rsidR="001E769B" w:rsidRDefault="00757E94" w:rsidP="00214137">
      <w:pPr>
        <w:pStyle w:val="ListParagraph"/>
        <w:numPr>
          <w:ilvl w:val="1"/>
          <w:numId w:val="1"/>
        </w:numPr>
        <w:spacing w:before="120" w:after="120" w:line="360" w:lineRule="auto"/>
        <w:jc w:val="both"/>
      </w:pPr>
      <w:r w:rsidRPr="00757E94">
        <w:rPr>
          <w:rFonts w:cs="Arial"/>
          <w:lang w:val="en-US"/>
        </w:rPr>
        <w:t>It might be better to state, “</w:t>
      </w:r>
      <w:r w:rsidRPr="00757E94">
        <w:rPr>
          <w:rFonts w:cs="Arial"/>
          <w:i/>
          <w:lang w:val="en-US"/>
        </w:rPr>
        <w:t>As a general rule, if your claim is unsuccessful ….</w:t>
      </w:r>
      <w:r w:rsidRPr="00757E94">
        <w:rPr>
          <w:rFonts w:cs="Arial"/>
          <w:lang w:val="en-US"/>
        </w:rPr>
        <w:t>”</w:t>
      </w:r>
    </w:p>
    <w:p w14:paraId="3049E296" w14:textId="777BA8E2" w:rsidR="001E769B" w:rsidRDefault="001E769B" w:rsidP="00214137">
      <w:pPr>
        <w:pStyle w:val="ListParagraph"/>
        <w:numPr>
          <w:ilvl w:val="0"/>
          <w:numId w:val="1"/>
        </w:numPr>
        <w:spacing w:before="120" w:after="120" w:line="360" w:lineRule="auto"/>
        <w:jc w:val="both"/>
      </w:pPr>
      <w:r w:rsidRPr="001E769B">
        <w:t>“</w:t>
      </w:r>
      <w:r w:rsidRPr="001E769B">
        <w:rPr>
          <w:i/>
        </w:rPr>
        <w:t>However, you will may still need to reimburse our expenses.</w:t>
      </w:r>
      <w:r w:rsidRPr="001E769B">
        <w:t>”</w:t>
      </w:r>
      <w:r>
        <w:t xml:space="preserve"> – Two points:</w:t>
      </w:r>
    </w:p>
    <w:p w14:paraId="5E0ACDA7" w14:textId="04E10815" w:rsidR="001E769B" w:rsidRDefault="006D183F" w:rsidP="00214137">
      <w:pPr>
        <w:pStyle w:val="ListParagraph"/>
        <w:numPr>
          <w:ilvl w:val="1"/>
          <w:numId w:val="1"/>
        </w:numPr>
        <w:spacing w:before="120" w:after="120" w:line="360" w:lineRule="auto"/>
        <w:jc w:val="both"/>
      </w:pPr>
      <w:r>
        <w:t>“</w:t>
      </w:r>
      <w:r w:rsidRPr="006D183F">
        <w:rPr>
          <w:i/>
        </w:rPr>
        <w:t>w</w:t>
      </w:r>
      <w:r w:rsidR="001E769B" w:rsidRPr="006D183F">
        <w:rPr>
          <w:i/>
        </w:rPr>
        <w:t>ill</w:t>
      </w:r>
      <w:r>
        <w:t>”</w:t>
      </w:r>
      <w:r w:rsidR="001E769B">
        <w:t xml:space="preserve"> or </w:t>
      </w:r>
      <w:r>
        <w:t>“</w:t>
      </w:r>
      <w:r w:rsidR="001E769B" w:rsidRPr="006D183F">
        <w:rPr>
          <w:i/>
        </w:rPr>
        <w:t>may</w:t>
      </w:r>
      <w:r>
        <w:t>”</w:t>
      </w:r>
      <w:r w:rsidR="001E769B">
        <w:t>?</w:t>
      </w:r>
    </w:p>
    <w:p w14:paraId="0CC02DE7" w14:textId="2965A3AB" w:rsidR="001E769B" w:rsidRPr="001E769B" w:rsidRDefault="001E769B" w:rsidP="00214137">
      <w:pPr>
        <w:pStyle w:val="ListParagraph"/>
        <w:numPr>
          <w:ilvl w:val="1"/>
          <w:numId w:val="1"/>
        </w:numPr>
        <w:spacing w:before="120" w:after="120" w:line="360" w:lineRule="auto"/>
        <w:jc w:val="both"/>
      </w:pPr>
      <w:r>
        <w:t>What expenses?</w:t>
      </w:r>
    </w:p>
    <w:p w14:paraId="02625460" w14:textId="1ECE9383" w:rsidR="009F6AD1" w:rsidRPr="009F6AD1" w:rsidRDefault="009F6AD1" w:rsidP="00214137">
      <w:pPr>
        <w:pStyle w:val="ListParagraph"/>
        <w:numPr>
          <w:ilvl w:val="0"/>
          <w:numId w:val="1"/>
        </w:numPr>
        <w:spacing w:before="120" w:after="120" w:line="360" w:lineRule="auto"/>
        <w:jc w:val="both"/>
      </w:pPr>
      <w:r>
        <w:t>The table includes a suggested fee for “</w:t>
      </w:r>
      <w:r w:rsidRPr="009F6AD1">
        <w:rPr>
          <w:i/>
        </w:rPr>
        <w:t>Assistance with drafting of claim form</w:t>
      </w:r>
      <w:r>
        <w:t xml:space="preserve">” – It would exceptional for a barrister to assist with the drafting of the Claim Form.  If such assistance was given it would be minimal.  </w:t>
      </w:r>
      <w:r w:rsidR="009331E4">
        <w:t>A f</w:t>
      </w:r>
      <w:r>
        <w:t xml:space="preserve">ar more relevant </w:t>
      </w:r>
      <w:r w:rsidR="009331E4">
        <w:t>[</w:t>
      </w:r>
      <w:r>
        <w:t>and costly</w:t>
      </w:r>
      <w:r w:rsidR="009331E4">
        <w:t>]</w:t>
      </w:r>
      <w:r>
        <w:t xml:space="preserve"> </w:t>
      </w:r>
      <w:r w:rsidR="009331E4">
        <w:t>exercise would be</w:t>
      </w:r>
      <w:r>
        <w:t xml:space="preserve"> “</w:t>
      </w:r>
      <w:r w:rsidRPr="009331E4">
        <w:rPr>
          <w:i/>
        </w:rPr>
        <w:t>Drafting a statement of case</w:t>
      </w:r>
      <w:r>
        <w:t>” such as the Particulars of Claim.  We therefore suggest that the table of costs includes “</w:t>
      </w:r>
      <w:r w:rsidRPr="009F6AD1">
        <w:rPr>
          <w:i/>
        </w:rPr>
        <w:t>Drafting a statement of case</w:t>
      </w:r>
      <w:r>
        <w:t>” instead of “</w:t>
      </w:r>
      <w:r w:rsidRPr="009F6AD1">
        <w:rPr>
          <w:i/>
        </w:rPr>
        <w:t>Assistance with drafting of claim form</w:t>
      </w:r>
      <w:r>
        <w:t>”.</w:t>
      </w:r>
    </w:p>
    <w:p w14:paraId="4D72262C" w14:textId="194B8CB9" w:rsidR="00CC4075" w:rsidRPr="006D183F" w:rsidRDefault="00CC4075" w:rsidP="00214137">
      <w:pPr>
        <w:pStyle w:val="ListParagraph"/>
        <w:numPr>
          <w:ilvl w:val="0"/>
          <w:numId w:val="1"/>
        </w:numPr>
        <w:spacing w:before="120" w:after="120" w:line="360" w:lineRule="auto"/>
        <w:jc w:val="both"/>
      </w:pPr>
      <w:r>
        <w:rPr>
          <w:rFonts w:cs="Arial"/>
          <w:lang w:val="en-US"/>
        </w:rPr>
        <w:t>The current example does not draw any distinction between conventional personal injury claims [road traffic accident, employers</w:t>
      </w:r>
      <w:r w:rsidR="00343D57">
        <w:rPr>
          <w:rFonts w:cs="Arial"/>
          <w:lang w:val="en-US"/>
        </w:rPr>
        <w:t>’</w:t>
      </w:r>
      <w:r>
        <w:rPr>
          <w:rFonts w:cs="Arial"/>
          <w:lang w:val="en-US"/>
        </w:rPr>
        <w:t xml:space="preserve"> liabili</w:t>
      </w:r>
      <w:r w:rsidR="00C917AA">
        <w:rPr>
          <w:rFonts w:cs="Arial"/>
          <w:lang w:val="en-US"/>
        </w:rPr>
        <w:t>ty or public liability] and med</w:t>
      </w:r>
      <w:r>
        <w:rPr>
          <w:rFonts w:cs="Arial"/>
          <w:lang w:val="en-US"/>
        </w:rPr>
        <w:t>ic</w:t>
      </w:r>
      <w:r w:rsidR="00343D57">
        <w:rPr>
          <w:rFonts w:cs="Arial"/>
          <w:lang w:val="en-US"/>
        </w:rPr>
        <w:t>al negligence claims.  Many med</w:t>
      </w:r>
      <w:r>
        <w:rPr>
          <w:rFonts w:cs="Arial"/>
          <w:lang w:val="en-US"/>
        </w:rPr>
        <w:t xml:space="preserve">ical negligence claims are worth less than £25,000 but the fees charged by barristers are far greater than those charged for conventional personal injury claims.  Further, very few </w:t>
      </w:r>
      <w:r w:rsidR="00343D57">
        <w:rPr>
          <w:rFonts w:cs="Arial"/>
          <w:lang w:val="en-US"/>
        </w:rPr>
        <w:t>med</w:t>
      </w:r>
      <w:r>
        <w:rPr>
          <w:rFonts w:cs="Arial"/>
          <w:lang w:val="en-US"/>
        </w:rPr>
        <w:t xml:space="preserve">ical negligence claims valued at less than £25,000 are allocated to the fast track.  This is due to (a) complexity, (b) number of experts, and (c) likely length of hearing.   A fees matrix based upon fees in conventional personal injury claims would not provide a meaningful </w:t>
      </w:r>
      <w:r w:rsidR="00343D57">
        <w:rPr>
          <w:rFonts w:cs="Arial"/>
          <w:lang w:val="en-US"/>
        </w:rPr>
        <w:t>estimate of fees for a med</w:t>
      </w:r>
      <w:r w:rsidR="00C917AA">
        <w:rPr>
          <w:rFonts w:cs="Arial"/>
          <w:lang w:val="en-US"/>
        </w:rPr>
        <w:t>ical negligence claim.  The BSB may wish to give consideration to identifying the types of claims included within the definition of “</w:t>
      </w:r>
      <w:r w:rsidR="00C917AA" w:rsidRPr="00343D57">
        <w:rPr>
          <w:rFonts w:cs="Arial"/>
          <w:i/>
          <w:lang w:val="en-US"/>
        </w:rPr>
        <w:t>Personal Injury Claims</w:t>
      </w:r>
      <w:r w:rsidR="00C917AA">
        <w:rPr>
          <w:rFonts w:cs="Arial"/>
          <w:lang w:val="en-US"/>
        </w:rPr>
        <w:t>” in the text of the example.  An alternative would be to make clear that it does not apply to medical negligence claims.</w:t>
      </w:r>
    </w:p>
    <w:p w14:paraId="28D971B3" w14:textId="1F0D059C" w:rsidR="006D183F" w:rsidRDefault="006D183F" w:rsidP="006D183F">
      <w:pPr>
        <w:spacing w:before="120" w:after="120" w:line="360" w:lineRule="auto"/>
        <w:jc w:val="both"/>
      </w:pPr>
    </w:p>
    <w:p w14:paraId="003A7B71" w14:textId="0286E934" w:rsidR="006D183F" w:rsidRPr="00B147B6" w:rsidRDefault="00B147B6" w:rsidP="00B147B6">
      <w:pPr>
        <w:spacing w:before="120" w:after="120" w:line="360" w:lineRule="auto"/>
        <w:jc w:val="right"/>
        <w:rPr>
          <w:b/>
        </w:rPr>
      </w:pPr>
      <w:r w:rsidRPr="00B147B6">
        <w:rPr>
          <w:b/>
        </w:rPr>
        <w:t>DARRYL ALLEN QC</w:t>
      </w:r>
    </w:p>
    <w:p w14:paraId="0CAD3308" w14:textId="365097C3" w:rsidR="00B147B6" w:rsidRPr="00B147B6" w:rsidRDefault="00B147B6" w:rsidP="00B147B6">
      <w:pPr>
        <w:spacing w:before="120" w:after="120" w:line="360" w:lineRule="auto"/>
        <w:jc w:val="right"/>
        <w:rPr>
          <w:b/>
        </w:rPr>
      </w:pPr>
      <w:r w:rsidRPr="00B147B6">
        <w:rPr>
          <w:b/>
        </w:rPr>
        <w:t>Chair of the Personal Injuries Bar Association</w:t>
      </w:r>
    </w:p>
    <w:p w14:paraId="4CDAEAD5" w14:textId="58AB2837" w:rsidR="00B147B6" w:rsidRPr="00B147B6" w:rsidRDefault="00B147B6" w:rsidP="00B147B6">
      <w:pPr>
        <w:spacing w:before="120" w:after="120" w:line="360" w:lineRule="auto"/>
        <w:jc w:val="right"/>
        <w:rPr>
          <w:b/>
        </w:rPr>
      </w:pPr>
      <w:r w:rsidRPr="00B147B6">
        <w:rPr>
          <w:b/>
        </w:rPr>
        <w:t>29</w:t>
      </w:r>
      <w:r w:rsidRPr="00B147B6">
        <w:rPr>
          <w:b/>
          <w:vertAlign w:val="superscript"/>
        </w:rPr>
        <w:t>th</w:t>
      </w:r>
      <w:r w:rsidRPr="00B147B6">
        <w:rPr>
          <w:b/>
        </w:rPr>
        <w:t xml:space="preserve"> August 2018</w:t>
      </w:r>
    </w:p>
    <w:p w14:paraId="3B60664E" w14:textId="77777777" w:rsidR="006D183F" w:rsidRPr="00757E94" w:rsidRDefault="006D183F" w:rsidP="006D183F">
      <w:pPr>
        <w:spacing w:before="120" w:after="120" w:line="360" w:lineRule="auto"/>
        <w:jc w:val="both"/>
      </w:pPr>
    </w:p>
    <w:sectPr w:rsidR="006D183F" w:rsidRPr="00757E94" w:rsidSect="00347B0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AF19C" w14:textId="77777777" w:rsidR="00AA49E6" w:rsidRDefault="00AA49E6" w:rsidP="0043124C">
      <w:r>
        <w:separator/>
      </w:r>
    </w:p>
  </w:endnote>
  <w:endnote w:type="continuationSeparator" w:id="0">
    <w:p w14:paraId="40063681" w14:textId="77777777" w:rsidR="00AA49E6" w:rsidRDefault="00AA49E6" w:rsidP="0043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0308454"/>
      <w:docPartObj>
        <w:docPartGallery w:val="Page Numbers (Bottom of Page)"/>
        <w:docPartUnique/>
      </w:docPartObj>
    </w:sdtPr>
    <w:sdtEndPr>
      <w:rPr>
        <w:rStyle w:val="PageNumber"/>
      </w:rPr>
    </w:sdtEndPr>
    <w:sdtContent>
      <w:p w14:paraId="01D8C922" w14:textId="77777777" w:rsidR="004F7949" w:rsidRDefault="004F7949" w:rsidP="00633D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8D745" w14:textId="77777777" w:rsidR="004F7949" w:rsidRDefault="004F7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2855465"/>
      <w:docPartObj>
        <w:docPartGallery w:val="Page Numbers (Bottom of Page)"/>
        <w:docPartUnique/>
      </w:docPartObj>
    </w:sdtPr>
    <w:sdtEndPr>
      <w:rPr>
        <w:rStyle w:val="PageNumber"/>
      </w:rPr>
    </w:sdtEndPr>
    <w:sdtContent>
      <w:p w14:paraId="0E60B101" w14:textId="77777777" w:rsidR="004F7949" w:rsidRDefault="004F7949" w:rsidP="00633D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05FE">
          <w:rPr>
            <w:rStyle w:val="PageNumber"/>
            <w:noProof/>
          </w:rPr>
          <w:t>2</w:t>
        </w:r>
        <w:r>
          <w:rPr>
            <w:rStyle w:val="PageNumber"/>
          </w:rPr>
          <w:fldChar w:fldCharType="end"/>
        </w:r>
      </w:p>
    </w:sdtContent>
  </w:sdt>
  <w:p w14:paraId="2E733959" w14:textId="77777777" w:rsidR="004F7949" w:rsidRDefault="004F7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707D" w14:textId="77777777" w:rsidR="00AA49E6" w:rsidRDefault="00AA49E6" w:rsidP="0043124C">
      <w:r>
        <w:separator/>
      </w:r>
    </w:p>
  </w:footnote>
  <w:footnote w:type="continuationSeparator" w:id="0">
    <w:p w14:paraId="1C36BB29" w14:textId="77777777" w:rsidR="00AA49E6" w:rsidRDefault="00AA49E6" w:rsidP="0043124C">
      <w:r>
        <w:continuationSeparator/>
      </w:r>
    </w:p>
  </w:footnote>
  <w:footnote w:id="1">
    <w:p w14:paraId="308C4EEE" w14:textId="4A77A7EC" w:rsidR="00BF1779" w:rsidRDefault="00BF1779">
      <w:pPr>
        <w:pStyle w:val="FootnoteText"/>
      </w:pPr>
      <w:r>
        <w:rPr>
          <w:rStyle w:val="FootnoteReference"/>
        </w:rPr>
        <w:footnoteRef/>
      </w:r>
      <w:r>
        <w:t xml:space="preserve"> </w:t>
      </w:r>
      <w:r>
        <w:tab/>
        <w:t>The advocate’s fees for Fast-Track Trial costs are dealt with separately and are fixed by the Civil Procedure Rules.</w:t>
      </w:r>
    </w:p>
  </w:footnote>
  <w:footnote w:id="2">
    <w:p w14:paraId="7A9B57E1" w14:textId="77777777" w:rsidR="00CC4075" w:rsidRDefault="00CC4075">
      <w:pPr>
        <w:pStyle w:val="FootnoteText"/>
      </w:pPr>
      <w:r>
        <w:rPr>
          <w:rStyle w:val="FootnoteReference"/>
        </w:rPr>
        <w:footnoteRef/>
      </w:r>
      <w:r>
        <w:t xml:space="preserve"> </w:t>
      </w:r>
      <w:r>
        <w:tab/>
        <w:t>For example see the Civil Procedure Rules and the Limitation Act 1980.</w:t>
      </w:r>
    </w:p>
  </w:footnote>
  <w:footnote w:id="3">
    <w:p w14:paraId="3487515E" w14:textId="77777777" w:rsidR="0043124C" w:rsidRDefault="0043124C">
      <w:pPr>
        <w:pStyle w:val="FootnoteText"/>
      </w:pPr>
      <w:r>
        <w:rPr>
          <w:rStyle w:val="FootnoteReference"/>
        </w:rPr>
        <w:footnoteRef/>
      </w:r>
      <w:r>
        <w:t xml:space="preserve"> </w:t>
      </w:r>
      <w:r>
        <w:tab/>
        <w:t>Under the Law Reform (Miscellaneous Provisions) Act 1934</w:t>
      </w:r>
    </w:p>
  </w:footnote>
  <w:footnote w:id="4">
    <w:p w14:paraId="46495C17" w14:textId="77777777" w:rsidR="007E2F9F" w:rsidRDefault="007E2F9F">
      <w:pPr>
        <w:pStyle w:val="FootnoteText"/>
      </w:pPr>
      <w:r>
        <w:rPr>
          <w:rStyle w:val="FootnoteReference"/>
        </w:rPr>
        <w:footnoteRef/>
      </w:r>
      <w:r>
        <w:t xml:space="preserve"> </w:t>
      </w:r>
      <w:r>
        <w:tab/>
        <w:t>Under the Fatal Accidents Act 1976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EFD"/>
    <w:multiLevelType w:val="multilevel"/>
    <w:tmpl w:val="C6BCC3F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FA27868"/>
    <w:multiLevelType w:val="multilevel"/>
    <w:tmpl w:val="B3A8C518"/>
    <w:lvl w:ilvl="0">
      <w:start w:val="1"/>
      <w:numFmt w:val="decimal"/>
      <w:lvlText w:val="%1."/>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4C"/>
    <w:rsid w:val="00133F27"/>
    <w:rsid w:val="00171ED9"/>
    <w:rsid w:val="001B0ED4"/>
    <w:rsid w:val="001E769B"/>
    <w:rsid w:val="00214137"/>
    <w:rsid w:val="002A2678"/>
    <w:rsid w:val="0030694D"/>
    <w:rsid w:val="00313521"/>
    <w:rsid w:val="00343D57"/>
    <w:rsid w:val="00347B07"/>
    <w:rsid w:val="00352C48"/>
    <w:rsid w:val="003C5D78"/>
    <w:rsid w:val="0043124C"/>
    <w:rsid w:val="00486357"/>
    <w:rsid w:val="004F7949"/>
    <w:rsid w:val="00540F4F"/>
    <w:rsid w:val="0060423D"/>
    <w:rsid w:val="00613899"/>
    <w:rsid w:val="006260B8"/>
    <w:rsid w:val="00636BBC"/>
    <w:rsid w:val="00636CF8"/>
    <w:rsid w:val="00676589"/>
    <w:rsid w:val="006D183F"/>
    <w:rsid w:val="00757E94"/>
    <w:rsid w:val="007E2F9F"/>
    <w:rsid w:val="008268D7"/>
    <w:rsid w:val="00850810"/>
    <w:rsid w:val="009331E4"/>
    <w:rsid w:val="0099523D"/>
    <w:rsid w:val="009F6AD1"/>
    <w:rsid w:val="00AA49E6"/>
    <w:rsid w:val="00B147B6"/>
    <w:rsid w:val="00BF1779"/>
    <w:rsid w:val="00C90279"/>
    <w:rsid w:val="00C917AA"/>
    <w:rsid w:val="00CC4075"/>
    <w:rsid w:val="00CF7718"/>
    <w:rsid w:val="00D22A1F"/>
    <w:rsid w:val="00D36C21"/>
    <w:rsid w:val="00DE5204"/>
    <w:rsid w:val="00E005FE"/>
    <w:rsid w:val="00EB4BED"/>
    <w:rsid w:val="00EB5424"/>
    <w:rsid w:val="00ED0FD9"/>
    <w:rsid w:val="00EF55F7"/>
    <w:rsid w:val="00FE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4C"/>
    <w:pPr>
      <w:ind w:left="720"/>
      <w:contextualSpacing/>
    </w:pPr>
  </w:style>
  <w:style w:type="paragraph" w:styleId="FootnoteText">
    <w:name w:val="footnote text"/>
    <w:basedOn w:val="Normal"/>
    <w:link w:val="FootnoteTextChar"/>
    <w:uiPriority w:val="99"/>
    <w:semiHidden/>
    <w:unhideWhenUsed/>
    <w:rsid w:val="0043124C"/>
    <w:rPr>
      <w:sz w:val="20"/>
      <w:szCs w:val="20"/>
    </w:rPr>
  </w:style>
  <w:style w:type="character" w:customStyle="1" w:styleId="FootnoteTextChar">
    <w:name w:val="Footnote Text Char"/>
    <w:basedOn w:val="DefaultParagraphFont"/>
    <w:link w:val="FootnoteText"/>
    <w:uiPriority w:val="99"/>
    <w:semiHidden/>
    <w:rsid w:val="0043124C"/>
    <w:rPr>
      <w:sz w:val="20"/>
      <w:szCs w:val="20"/>
    </w:rPr>
  </w:style>
  <w:style w:type="character" w:styleId="FootnoteReference">
    <w:name w:val="footnote reference"/>
    <w:basedOn w:val="DefaultParagraphFont"/>
    <w:uiPriority w:val="99"/>
    <w:semiHidden/>
    <w:unhideWhenUsed/>
    <w:rsid w:val="0043124C"/>
    <w:rPr>
      <w:vertAlign w:val="superscript"/>
    </w:rPr>
  </w:style>
  <w:style w:type="paragraph" w:styleId="Footer">
    <w:name w:val="footer"/>
    <w:basedOn w:val="Normal"/>
    <w:link w:val="FooterChar"/>
    <w:uiPriority w:val="99"/>
    <w:unhideWhenUsed/>
    <w:rsid w:val="004F7949"/>
    <w:pPr>
      <w:tabs>
        <w:tab w:val="center" w:pos="4680"/>
        <w:tab w:val="right" w:pos="9360"/>
      </w:tabs>
    </w:pPr>
  </w:style>
  <w:style w:type="character" w:customStyle="1" w:styleId="FooterChar">
    <w:name w:val="Footer Char"/>
    <w:basedOn w:val="DefaultParagraphFont"/>
    <w:link w:val="Footer"/>
    <w:uiPriority w:val="99"/>
    <w:rsid w:val="004F7949"/>
  </w:style>
  <w:style w:type="character" w:styleId="PageNumber">
    <w:name w:val="page number"/>
    <w:basedOn w:val="DefaultParagraphFont"/>
    <w:uiPriority w:val="99"/>
    <w:semiHidden/>
    <w:unhideWhenUsed/>
    <w:rsid w:val="004F7949"/>
  </w:style>
  <w:style w:type="paragraph" w:styleId="Header">
    <w:name w:val="header"/>
    <w:basedOn w:val="Normal"/>
    <w:link w:val="HeaderChar"/>
    <w:uiPriority w:val="99"/>
    <w:unhideWhenUsed/>
    <w:rsid w:val="004F7949"/>
    <w:pPr>
      <w:tabs>
        <w:tab w:val="center" w:pos="4680"/>
        <w:tab w:val="right" w:pos="9360"/>
      </w:tabs>
    </w:pPr>
  </w:style>
  <w:style w:type="character" w:customStyle="1" w:styleId="HeaderChar">
    <w:name w:val="Header Char"/>
    <w:basedOn w:val="DefaultParagraphFont"/>
    <w:link w:val="Header"/>
    <w:uiPriority w:val="99"/>
    <w:rsid w:val="004F7949"/>
  </w:style>
  <w:style w:type="paragraph" w:styleId="NormalWeb">
    <w:name w:val="Normal (Web)"/>
    <w:basedOn w:val="Normal"/>
    <w:uiPriority w:val="99"/>
    <w:semiHidden/>
    <w:unhideWhenUsed/>
    <w:rsid w:val="001E769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05FE"/>
    <w:rPr>
      <w:rFonts w:ascii="Tahoma" w:hAnsi="Tahoma" w:cs="Tahoma"/>
      <w:sz w:val="16"/>
      <w:szCs w:val="16"/>
    </w:rPr>
  </w:style>
  <w:style w:type="character" w:customStyle="1" w:styleId="BalloonTextChar">
    <w:name w:val="Balloon Text Char"/>
    <w:basedOn w:val="DefaultParagraphFont"/>
    <w:link w:val="BalloonText"/>
    <w:uiPriority w:val="99"/>
    <w:semiHidden/>
    <w:rsid w:val="00E0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Body 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4C"/>
    <w:pPr>
      <w:ind w:left="720"/>
      <w:contextualSpacing/>
    </w:pPr>
  </w:style>
  <w:style w:type="paragraph" w:styleId="FootnoteText">
    <w:name w:val="footnote text"/>
    <w:basedOn w:val="Normal"/>
    <w:link w:val="FootnoteTextChar"/>
    <w:uiPriority w:val="99"/>
    <w:semiHidden/>
    <w:unhideWhenUsed/>
    <w:rsid w:val="0043124C"/>
    <w:rPr>
      <w:sz w:val="20"/>
      <w:szCs w:val="20"/>
    </w:rPr>
  </w:style>
  <w:style w:type="character" w:customStyle="1" w:styleId="FootnoteTextChar">
    <w:name w:val="Footnote Text Char"/>
    <w:basedOn w:val="DefaultParagraphFont"/>
    <w:link w:val="FootnoteText"/>
    <w:uiPriority w:val="99"/>
    <w:semiHidden/>
    <w:rsid w:val="0043124C"/>
    <w:rPr>
      <w:sz w:val="20"/>
      <w:szCs w:val="20"/>
    </w:rPr>
  </w:style>
  <w:style w:type="character" w:styleId="FootnoteReference">
    <w:name w:val="footnote reference"/>
    <w:basedOn w:val="DefaultParagraphFont"/>
    <w:uiPriority w:val="99"/>
    <w:semiHidden/>
    <w:unhideWhenUsed/>
    <w:rsid w:val="0043124C"/>
    <w:rPr>
      <w:vertAlign w:val="superscript"/>
    </w:rPr>
  </w:style>
  <w:style w:type="paragraph" w:styleId="Footer">
    <w:name w:val="footer"/>
    <w:basedOn w:val="Normal"/>
    <w:link w:val="FooterChar"/>
    <w:uiPriority w:val="99"/>
    <w:unhideWhenUsed/>
    <w:rsid w:val="004F7949"/>
    <w:pPr>
      <w:tabs>
        <w:tab w:val="center" w:pos="4680"/>
        <w:tab w:val="right" w:pos="9360"/>
      </w:tabs>
    </w:pPr>
  </w:style>
  <w:style w:type="character" w:customStyle="1" w:styleId="FooterChar">
    <w:name w:val="Footer Char"/>
    <w:basedOn w:val="DefaultParagraphFont"/>
    <w:link w:val="Footer"/>
    <w:uiPriority w:val="99"/>
    <w:rsid w:val="004F7949"/>
  </w:style>
  <w:style w:type="character" w:styleId="PageNumber">
    <w:name w:val="page number"/>
    <w:basedOn w:val="DefaultParagraphFont"/>
    <w:uiPriority w:val="99"/>
    <w:semiHidden/>
    <w:unhideWhenUsed/>
    <w:rsid w:val="004F7949"/>
  </w:style>
  <w:style w:type="paragraph" w:styleId="Header">
    <w:name w:val="header"/>
    <w:basedOn w:val="Normal"/>
    <w:link w:val="HeaderChar"/>
    <w:uiPriority w:val="99"/>
    <w:unhideWhenUsed/>
    <w:rsid w:val="004F7949"/>
    <w:pPr>
      <w:tabs>
        <w:tab w:val="center" w:pos="4680"/>
        <w:tab w:val="right" w:pos="9360"/>
      </w:tabs>
    </w:pPr>
  </w:style>
  <w:style w:type="character" w:customStyle="1" w:styleId="HeaderChar">
    <w:name w:val="Header Char"/>
    <w:basedOn w:val="DefaultParagraphFont"/>
    <w:link w:val="Header"/>
    <w:uiPriority w:val="99"/>
    <w:rsid w:val="004F7949"/>
  </w:style>
  <w:style w:type="paragraph" w:styleId="NormalWeb">
    <w:name w:val="Normal (Web)"/>
    <w:basedOn w:val="Normal"/>
    <w:uiPriority w:val="99"/>
    <w:semiHidden/>
    <w:unhideWhenUsed/>
    <w:rsid w:val="001E769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05FE"/>
    <w:rPr>
      <w:rFonts w:ascii="Tahoma" w:hAnsi="Tahoma" w:cs="Tahoma"/>
      <w:sz w:val="16"/>
      <w:szCs w:val="16"/>
    </w:rPr>
  </w:style>
  <w:style w:type="character" w:customStyle="1" w:styleId="BalloonTextChar">
    <w:name w:val="Balloon Text Char"/>
    <w:basedOn w:val="DefaultParagraphFont"/>
    <w:link w:val="BalloonText"/>
    <w:uiPriority w:val="99"/>
    <w:semiHidden/>
    <w:rsid w:val="00E0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52563">
      <w:bodyDiv w:val="1"/>
      <w:marLeft w:val="0"/>
      <w:marRight w:val="0"/>
      <w:marTop w:val="0"/>
      <w:marBottom w:val="0"/>
      <w:divBdr>
        <w:top w:val="none" w:sz="0" w:space="0" w:color="auto"/>
        <w:left w:val="none" w:sz="0" w:space="0" w:color="auto"/>
        <w:bottom w:val="none" w:sz="0" w:space="0" w:color="auto"/>
        <w:right w:val="none" w:sz="0" w:space="0" w:color="auto"/>
      </w:divBdr>
      <w:divsChild>
        <w:div w:id="1353022869">
          <w:marLeft w:val="0"/>
          <w:marRight w:val="0"/>
          <w:marTop w:val="0"/>
          <w:marBottom w:val="0"/>
          <w:divBdr>
            <w:top w:val="none" w:sz="0" w:space="0" w:color="auto"/>
            <w:left w:val="none" w:sz="0" w:space="0" w:color="auto"/>
            <w:bottom w:val="none" w:sz="0" w:space="0" w:color="auto"/>
            <w:right w:val="none" w:sz="0" w:space="0" w:color="auto"/>
          </w:divBdr>
          <w:divsChild>
            <w:div w:id="776680070">
              <w:marLeft w:val="0"/>
              <w:marRight w:val="0"/>
              <w:marTop w:val="0"/>
              <w:marBottom w:val="0"/>
              <w:divBdr>
                <w:top w:val="none" w:sz="0" w:space="0" w:color="auto"/>
                <w:left w:val="none" w:sz="0" w:space="0" w:color="auto"/>
                <w:bottom w:val="none" w:sz="0" w:space="0" w:color="auto"/>
                <w:right w:val="none" w:sz="0" w:space="0" w:color="auto"/>
              </w:divBdr>
              <w:divsChild>
                <w:div w:id="51733849">
                  <w:marLeft w:val="0"/>
                  <w:marRight w:val="0"/>
                  <w:marTop w:val="0"/>
                  <w:marBottom w:val="0"/>
                  <w:divBdr>
                    <w:top w:val="none" w:sz="0" w:space="0" w:color="auto"/>
                    <w:left w:val="none" w:sz="0" w:space="0" w:color="auto"/>
                    <w:bottom w:val="none" w:sz="0" w:space="0" w:color="auto"/>
                    <w:right w:val="none" w:sz="0" w:space="0" w:color="auto"/>
                  </w:divBdr>
                  <w:divsChild>
                    <w:div w:id="18923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Allen QC</dc:creator>
  <cp:lastModifiedBy>Richard Wilkinson</cp:lastModifiedBy>
  <cp:revision>2</cp:revision>
  <dcterms:created xsi:type="dcterms:W3CDTF">2018-08-30T07:53:00Z</dcterms:created>
  <dcterms:modified xsi:type="dcterms:W3CDTF">2018-08-30T07:53:00Z</dcterms:modified>
</cp:coreProperties>
</file>