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6CF5" w:rsidRPr="00E56CF5" w:rsidRDefault="00E56CF5" w:rsidP="00E56CF5">
      <w:pPr>
        <w:jc w:val="center"/>
        <w:rPr>
          <w:rFonts w:eastAsia="Times New Roman" w:cstheme="minorHAnsi"/>
          <w:sz w:val="21"/>
          <w:szCs w:val="21"/>
          <w:lang w:eastAsia="it-IT"/>
        </w:rPr>
      </w:pPr>
      <w:r w:rsidRPr="00E56CF5">
        <w:rPr>
          <w:rFonts w:eastAsia="Times New Roman" w:cstheme="minorHAnsi"/>
          <w:b/>
          <w:bCs/>
          <w:sz w:val="21"/>
          <w:szCs w:val="21"/>
          <w:lang w:eastAsia="it-IT"/>
        </w:rPr>
        <w:t>PROPOSTA DI DELIBERAZIONE</w:t>
      </w:r>
    </w:p>
    <w:p w:rsidR="00E56CF5" w:rsidRPr="00E56CF5" w:rsidRDefault="00E56CF5" w:rsidP="00E56CF5">
      <w:pPr>
        <w:jc w:val="center"/>
        <w:rPr>
          <w:rFonts w:eastAsia="Times New Roman" w:cstheme="minorHAnsi"/>
          <w:sz w:val="21"/>
          <w:szCs w:val="21"/>
          <w:lang w:eastAsia="it-IT"/>
        </w:rPr>
      </w:pPr>
      <w:r w:rsidRPr="00E56CF5">
        <w:rPr>
          <w:rFonts w:eastAsia="Times New Roman" w:cstheme="minorHAnsi"/>
          <w:b/>
          <w:bCs/>
          <w:sz w:val="21"/>
          <w:szCs w:val="21"/>
          <w:highlight w:val="yellow"/>
          <w:lang w:eastAsia="it-IT"/>
        </w:rPr>
        <w:t>DI GIUNTA O CONSIGLIO COMUNALE O REGIONALE</w:t>
      </w:r>
    </w:p>
    <w:p w:rsidR="00E56CF5" w:rsidRPr="00E56CF5" w:rsidRDefault="00E56CF5" w:rsidP="00E56CF5">
      <w:pPr>
        <w:jc w:val="center"/>
        <w:rPr>
          <w:rFonts w:eastAsia="Times New Roman" w:cstheme="minorHAnsi"/>
          <w:sz w:val="21"/>
          <w:szCs w:val="21"/>
          <w:lang w:eastAsia="it-IT"/>
        </w:rPr>
      </w:pPr>
      <w:r w:rsidRPr="00E56CF5">
        <w:rPr>
          <w:rFonts w:eastAsia="Times New Roman" w:cstheme="minorHAnsi"/>
          <w:sz w:val="21"/>
          <w:szCs w:val="21"/>
          <w:lang w:eastAsia="it-IT"/>
        </w:rPr>
        <w:t>-OGGETTO-</w:t>
      </w:r>
    </w:p>
    <w:p w:rsidR="00E56CF5" w:rsidRPr="00E56CF5" w:rsidRDefault="00E56CF5" w:rsidP="00E56CF5">
      <w:pPr>
        <w:rPr>
          <w:rFonts w:eastAsia="Times New Roman" w:cstheme="minorHAnsi"/>
          <w:sz w:val="20"/>
          <w:szCs w:val="20"/>
          <w:lang w:eastAsia="it-IT"/>
        </w:rPr>
      </w:pPr>
      <w:r w:rsidRPr="00E56CF5">
        <w:rPr>
          <w:rFonts w:eastAsia="Times New Roman" w:cstheme="minorHAnsi"/>
          <w:sz w:val="20"/>
          <w:szCs w:val="20"/>
          <w:lang w:eastAsia="it-IT"/>
        </w:rPr>
        <w:t> </w:t>
      </w:r>
    </w:p>
    <w:p w:rsidR="00E56CF5" w:rsidRPr="00E56CF5" w:rsidRDefault="00E56CF5" w:rsidP="00E56CF5">
      <w:pPr>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Appello affinché l’Italia si renda promotrice di una devoluzione di funzioni che comporti l’attribuzione all'Unione europea di adeguati ed effettivi poteri di governo delle emergenze sanitarie transnazionali.</w:t>
      </w:r>
    </w:p>
    <w:p w:rsidR="00E56CF5" w:rsidRPr="00E56CF5" w:rsidRDefault="00E56CF5" w:rsidP="00E56CF5">
      <w:pPr>
        <w:jc w:val="center"/>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jc w:val="center"/>
        <w:rPr>
          <w:rFonts w:eastAsia="Times New Roman" w:cstheme="minorHAnsi"/>
          <w:sz w:val="20"/>
          <w:szCs w:val="20"/>
          <w:lang w:eastAsia="it-IT"/>
        </w:rPr>
      </w:pPr>
      <w:r w:rsidRPr="00E56CF5">
        <w:rPr>
          <w:rFonts w:eastAsia="Times New Roman" w:cstheme="minorHAnsi"/>
          <w:sz w:val="20"/>
          <w:szCs w:val="20"/>
          <w:highlight w:val="yellow"/>
          <w:lang w:eastAsia="it-IT"/>
        </w:rPr>
        <w:t>LA GIUNTA COMUNALE/IL CONSIGLIO COMUNALE/IL CONSIGLIO REGIONALE</w:t>
      </w:r>
    </w:p>
    <w:p w:rsidR="00E56CF5" w:rsidRPr="00E56CF5" w:rsidRDefault="00E56CF5" w:rsidP="00E56CF5">
      <w:pPr>
        <w:jc w:val="center"/>
        <w:rPr>
          <w:rFonts w:eastAsia="Times New Roman" w:cstheme="minorHAnsi"/>
          <w:sz w:val="20"/>
          <w:szCs w:val="20"/>
          <w:lang w:eastAsia="it-IT"/>
        </w:rPr>
      </w:pPr>
      <w:r w:rsidRPr="00E56CF5">
        <w:rPr>
          <w:rFonts w:eastAsia="Times New Roman" w:cstheme="minorHAnsi"/>
          <w:sz w:val="20"/>
          <w:szCs w:val="20"/>
          <w:lang w:eastAsia="it-IT"/>
        </w:rPr>
        <w:t> </w:t>
      </w:r>
    </w:p>
    <w:p w:rsidR="00E56CF5" w:rsidRPr="00E56CF5" w:rsidRDefault="00E56CF5" w:rsidP="00E56CF5">
      <w:pPr>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Premesso che: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numPr>
          <w:ilvl w:val="0"/>
          <w:numId w:val="1"/>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la violenta crisi pandemica in atto ha evidenziato l’insufficienza di risposte essenzialmente nazionali, regionali o locali a problemi transnazionali e globali;</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numPr>
          <w:ilvl w:val="0"/>
          <w:numId w:val="2"/>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lang w:eastAsia="it-IT"/>
        </w:rPr>
        <w:t>l’inadeguatezza odierna di Stati nazione e loro articolazioni regionali nell'affrontare l’emergenza in Europa è determinata da una sostanziale insufficienza di coordinamento e di misure, protocolli e metodologie omogenei e coerenti di contenimento della diffusione del contagio e di raccolta di informazioni, fatto salvo il necessario differimento dei tempi nell'applicazione delle misure nelle diverse aree, in considerazione della diversità di coinvolgimento;</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numPr>
          <w:ilvl w:val="0"/>
          <w:numId w:val="3"/>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lang w:eastAsia="it-IT"/>
        </w:rPr>
        <w:t>l’Unione europea oggi può solo svolgere un’azione che «</w:t>
      </w:r>
      <w:r w:rsidRPr="00E56CF5">
        <w:rPr>
          <w:rFonts w:eastAsia="Times New Roman" w:cstheme="minorHAnsi"/>
          <w:i/>
          <w:iCs/>
          <w:sz w:val="20"/>
          <w:szCs w:val="20"/>
          <w:lang w:eastAsia="it-IT"/>
        </w:rPr>
        <w:t>completa</w:t>
      </w:r>
      <w:r w:rsidRPr="00E56CF5">
        <w:rPr>
          <w:rFonts w:eastAsia="Times New Roman" w:cstheme="minorHAnsi"/>
          <w:sz w:val="20"/>
          <w:szCs w:val="20"/>
          <w:lang w:eastAsia="it-IT"/>
        </w:rPr>
        <w:t>» o «</w:t>
      </w:r>
      <w:r w:rsidRPr="00E56CF5">
        <w:rPr>
          <w:rFonts w:eastAsia="Times New Roman" w:cstheme="minorHAnsi"/>
          <w:i/>
          <w:iCs/>
          <w:sz w:val="20"/>
          <w:szCs w:val="20"/>
          <w:lang w:eastAsia="it-IT"/>
        </w:rPr>
        <w:t>sostiene</w:t>
      </w:r>
      <w:r w:rsidRPr="00E56CF5">
        <w:rPr>
          <w:rFonts w:eastAsia="Times New Roman" w:cstheme="minorHAnsi"/>
          <w:sz w:val="20"/>
          <w:szCs w:val="20"/>
          <w:lang w:eastAsia="it-IT"/>
        </w:rPr>
        <w:t>» o «</w:t>
      </w:r>
      <w:r w:rsidRPr="00E56CF5">
        <w:rPr>
          <w:rFonts w:eastAsia="Times New Roman" w:cstheme="minorHAnsi"/>
          <w:i/>
          <w:iCs/>
          <w:sz w:val="20"/>
          <w:szCs w:val="20"/>
          <w:lang w:eastAsia="it-IT"/>
        </w:rPr>
        <w:t>incentiva</w:t>
      </w:r>
      <w:r w:rsidRPr="00E56CF5">
        <w:rPr>
          <w:rFonts w:eastAsia="Times New Roman" w:cstheme="minorHAnsi"/>
          <w:sz w:val="20"/>
          <w:szCs w:val="20"/>
          <w:lang w:eastAsia="it-IT"/>
        </w:rPr>
        <w:t>» politiche che restano essenzialmente nazionali quando riguardano «</w:t>
      </w:r>
      <w:r w:rsidRPr="00E56CF5">
        <w:rPr>
          <w:rFonts w:eastAsia="Times New Roman" w:cstheme="minorHAnsi"/>
          <w:i/>
          <w:iCs/>
          <w:sz w:val="20"/>
          <w:szCs w:val="20"/>
          <w:lang w:eastAsia="it-IT"/>
        </w:rPr>
        <w:t>la sorveglianza, l’allarme e la lotta contro gravi minacce per la salute a carattere transfrontaliero</w:t>
      </w:r>
      <w:r w:rsidRPr="00E56CF5">
        <w:rPr>
          <w:rFonts w:eastAsia="Times New Roman" w:cstheme="minorHAnsi"/>
          <w:sz w:val="20"/>
          <w:szCs w:val="20"/>
          <w:lang w:eastAsia="it-IT"/>
        </w:rPr>
        <w:t>» (articolo 168 del Trattato sul Funzionamento dell’Unione europea);</w:t>
      </w:r>
    </w:p>
    <w:p w:rsidR="00E56CF5" w:rsidRPr="00E56CF5" w:rsidRDefault="00E56CF5" w:rsidP="00E56CF5">
      <w:pPr>
        <w:ind w:left="720"/>
        <w:rPr>
          <w:rFonts w:eastAsia="Times New Roman" w:cstheme="minorHAnsi"/>
          <w:sz w:val="20"/>
          <w:szCs w:val="20"/>
          <w:lang w:eastAsia="it-IT"/>
        </w:rPr>
      </w:pPr>
      <w:r w:rsidRPr="00E56CF5">
        <w:rPr>
          <w:rFonts w:eastAsia="Times New Roman" w:cstheme="minorHAnsi"/>
          <w:sz w:val="20"/>
          <w:szCs w:val="20"/>
          <w:lang w:eastAsia="it-IT"/>
        </w:rPr>
        <w:t> </w:t>
      </w:r>
    </w:p>
    <w:p w:rsidR="00E56CF5" w:rsidRPr="00E56CF5" w:rsidRDefault="00E56CF5" w:rsidP="00E56CF5">
      <w:pPr>
        <w:numPr>
          <w:ilvl w:val="0"/>
          <w:numId w:val="4"/>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l’articolo 196 dello stesso Trattato prevede similmente un’azione di mero supporto ad attività nazionali di protezione civile, pure in caso di «</w:t>
      </w:r>
      <w:r w:rsidRPr="00E56CF5">
        <w:rPr>
          <w:rFonts w:eastAsia="Times New Roman" w:cstheme="minorHAnsi"/>
          <w:i/>
          <w:iCs/>
          <w:sz w:val="20"/>
          <w:szCs w:val="20"/>
          <w:bdr w:val="none" w:sz="0" w:space="0" w:color="auto" w:frame="1"/>
          <w:lang w:eastAsia="it-IT"/>
        </w:rPr>
        <w:t>calamità naturali o provocate dall’uomo</w:t>
      </w:r>
      <w:r w:rsidRPr="00E56CF5">
        <w:rPr>
          <w:rFonts w:eastAsia="Times New Roman" w:cstheme="minorHAnsi"/>
          <w:sz w:val="20"/>
          <w:szCs w:val="20"/>
          <w:bdr w:val="none" w:sz="0" w:space="0" w:color="auto" w:frame="1"/>
          <w:lang w:eastAsia="it-IT"/>
        </w:rPr>
        <w:t>»;</w:t>
      </w:r>
      <w:r w:rsidRPr="00E56CF5">
        <w:rPr>
          <w:rFonts w:eastAsia="Times New Roman" w:cstheme="minorHAnsi"/>
          <w:sz w:val="20"/>
          <w:szCs w:val="20"/>
          <w:lang w:eastAsia="it-IT"/>
        </w:rPr>
        <w:br/>
      </w:r>
      <w:r w:rsidRPr="00E56CF5">
        <w:rPr>
          <w:rFonts w:eastAsia="Times New Roman" w:cstheme="minorHAnsi"/>
          <w:sz w:val="20"/>
          <w:szCs w:val="20"/>
          <w:lang w:eastAsia="it-IT"/>
        </w:rPr>
        <w:br/>
        <w:t> </w:t>
      </w:r>
    </w:p>
    <w:p w:rsidR="00E56CF5" w:rsidRPr="00E56CF5" w:rsidRDefault="00E56CF5" w:rsidP="00E56CF5">
      <w:pPr>
        <w:numPr>
          <w:ilvl w:val="0"/>
          <w:numId w:val="4"/>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l’Unione europea dispone di atti normativi secondari che possono, secondo l’attuale livello di comune devoluzione, prevedere organismi operanti nell'ambito sanitario. Ci si riferisce al Regolamento (CE) n. 851/2004 del Parlamento europeo e del Consiglio, del 21 aprile 2004, con il quale si è creato un Centro europeo per la prevenzione e il controllo delle malattie (ECDC), le cui competenze non sono di tutta evidenza riuscite a contenere al meglio la crisi da COVID 19. Analogamente si è manifestata nel caso l'insufficienza del Comitato per la sicurezza sanitaria istituito con Decisione 1082/2013/UE del 22 ottobre 2013;</w:t>
      </w:r>
    </w:p>
    <w:p w:rsidR="00E56CF5" w:rsidRPr="00E56CF5" w:rsidRDefault="00E56CF5" w:rsidP="00E56CF5">
      <w:pPr>
        <w:rPr>
          <w:rFonts w:eastAsia="Times New Roman" w:cstheme="minorHAnsi"/>
          <w:sz w:val="20"/>
          <w:szCs w:val="20"/>
          <w:lang w:eastAsia="it-IT"/>
        </w:rPr>
      </w:pPr>
      <w:r w:rsidRPr="00E56CF5">
        <w:rPr>
          <w:rFonts w:eastAsia="Times New Roman" w:cstheme="minorHAnsi"/>
          <w:sz w:val="20"/>
          <w:szCs w:val="20"/>
          <w:lang w:eastAsia="it-IT"/>
        </w:rPr>
        <w:t> </w:t>
      </w:r>
    </w:p>
    <w:p w:rsidR="00E56CF5" w:rsidRPr="00E56CF5" w:rsidRDefault="00E56CF5" w:rsidP="00E56CF5">
      <w:pPr>
        <w:numPr>
          <w:ilvl w:val="0"/>
          <w:numId w:val="5"/>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la Repubblica Italiana tutela «</w:t>
      </w:r>
      <w:r w:rsidRPr="00E56CF5">
        <w:rPr>
          <w:rFonts w:eastAsia="Times New Roman" w:cstheme="minorHAnsi"/>
          <w:i/>
          <w:iCs/>
          <w:sz w:val="20"/>
          <w:szCs w:val="20"/>
          <w:bdr w:val="none" w:sz="0" w:space="0" w:color="auto" w:frame="1"/>
          <w:lang w:eastAsia="it-IT"/>
        </w:rPr>
        <w:t>la salute come diritto fondamentale dell’individuo</w:t>
      </w:r>
      <w:r w:rsidRPr="00E56CF5">
        <w:rPr>
          <w:rFonts w:eastAsia="Times New Roman" w:cstheme="minorHAnsi"/>
          <w:sz w:val="20"/>
          <w:szCs w:val="20"/>
          <w:bdr w:val="none" w:sz="0" w:space="0" w:color="auto" w:frame="1"/>
          <w:lang w:eastAsia="it-IT"/>
        </w:rPr>
        <w:t>» garantendo contemporaneamente, grazie al dettato dell’articolo 11, che questa possa “</w:t>
      </w:r>
      <w:r w:rsidRPr="00E56CF5">
        <w:rPr>
          <w:rFonts w:eastAsia="Times New Roman" w:cstheme="minorHAnsi"/>
          <w:i/>
          <w:iCs/>
          <w:sz w:val="20"/>
          <w:szCs w:val="20"/>
          <w:bdr w:val="none" w:sz="0" w:space="0" w:color="auto" w:frame="1"/>
          <w:lang w:eastAsia="it-IT"/>
        </w:rPr>
        <w:t>in condizioni di parità con gli altri Stati</w:t>
      </w:r>
      <w:r w:rsidRPr="00E56CF5">
        <w:rPr>
          <w:rFonts w:eastAsia="Times New Roman" w:cstheme="minorHAnsi"/>
          <w:sz w:val="20"/>
          <w:szCs w:val="20"/>
          <w:bdr w:val="none" w:sz="0" w:space="0" w:color="auto" w:frame="1"/>
          <w:lang w:eastAsia="it-IT"/>
        </w:rPr>
        <w:t>” consentire a “</w:t>
      </w:r>
      <w:r w:rsidRPr="00E56CF5">
        <w:rPr>
          <w:rFonts w:eastAsia="Times New Roman" w:cstheme="minorHAnsi"/>
          <w:i/>
          <w:iCs/>
          <w:sz w:val="20"/>
          <w:szCs w:val="20"/>
          <w:bdr w:val="none" w:sz="0" w:space="0" w:color="auto" w:frame="1"/>
          <w:lang w:eastAsia="it-IT"/>
        </w:rPr>
        <w:t>limitazioni di sovranità</w:t>
      </w:r>
      <w:r w:rsidRPr="00E56CF5">
        <w:rPr>
          <w:rFonts w:eastAsia="Times New Roman" w:cstheme="minorHAnsi"/>
          <w:sz w:val="20"/>
          <w:szCs w:val="20"/>
          <w:bdr w:val="none" w:sz="0" w:space="0" w:color="auto" w:frame="1"/>
          <w:lang w:eastAsia="it-IT"/>
        </w:rPr>
        <w:t>”.</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Default="00E56CF5" w:rsidP="00E56CF5">
      <w:pPr>
        <w:jc w:val="both"/>
        <w:rPr>
          <w:rFonts w:eastAsia="Times New Roman" w:cstheme="minorHAnsi"/>
          <w:b/>
          <w:bCs/>
          <w:sz w:val="20"/>
          <w:szCs w:val="20"/>
          <w:lang w:eastAsia="it-IT"/>
        </w:rPr>
      </w:pPr>
      <w:r w:rsidRPr="00E56CF5">
        <w:rPr>
          <w:rFonts w:eastAsia="Times New Roman" w:cstheme="minorHAnsi"/>
          <w:b/>
          <w:bCs/>
          <w:sz w:val="20"/>
          <w:szCs w:val="20"/>
          <w:lang w:eastAsia="it-IT"/>
        </w:rPr>
        <w:t> </w:t>
      </w:r>
    </w:p>
    <w:p w:rsidR="00E56CF5" w:rsidRDefault="00E56CF5" w:rsidP="00E56CF5">
      <w:pPr>
        <w:jc w:val="both"/>
        <w:rPr>
          <w:rFonts w:eastAsia="Times New Roman" w:cstheme="minorHAnsi"/>
          <w:b/>
          <w:bCs/>
          <w:sz w:val="20"/>
          <w:szCs w:val="20"/>
          <w:lang w:eastAsia="it-IT"/>
        </w:rPr>
      </w:pPr>
    </w:p>
    <w:p w:rsidR="00E56CF5" w:rsidRDefault="00E56CF5" w:rsidP="00E56CF5">
      <w:pPr>
        <w:jc w:val="both"/>
        <w:rPr>
          <w:rFonts w:eastAsia="Times New Roman" w:cstheme="minorHAnsi"/>
          <w:b/>
          <w:bCs/>
          <w:sz w:val="20"/>
          <w:szCs w:val="20"/>
          <w:lang w:eastAsia="it-IT"/>
        </w:rPr>
      </w:pPr>
    </w:p>
    <w:p w:rsidR="00E56CF5" w:rsidRPr="00E56CF5" w:rsidRDefault="00E56CF5" w:rsidP="00E56CF5">
      <w:pPr>
        <w:jc w:val="both"/>
        <w:rPr>
          <w:rFonts w:eastAsia="Times New Roman" w:cstheme="minorHAnsi"/>
          <w:sz w:val="20"/>
          <w:szCs w:val="20"/>
          <w:lang w:eastAsia="it-IT"/>
        </w:rPr>
      </w:pP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lastRenderedPageBreak/>
        <w:t>Premesso, inoltre, che: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numPr>
          <w:ilvl w:val="0"/>
          <w:numId w:val="6"/>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lang w:eastAsia="it-IT"/>
        </w:rPr>
        <w:t>L</w:t>
      </w:r>
      <w:r w:rsidRPr="00E56CF5">
        <w:rPr>
          <w:rFonts w:eastAsia="Times New Roman" w:cstheme="minorHAnsi"/>
          <w:sz w:val="20"/>
          <w:szCs w:val="20"/>
          <w:bdr w:val="none" w:sz="0" w:space="0" w:color="auto" w:frame="1"/>
          <w:lang w:eastAsia="it-IT"/>
        </w:rPr>
        <w:t>a presente proposta, promossa da +Europa, è contenuta in una petizione sostenuta da oltre 140 professori universitari di diversi poli e facoltà, in gran parte dei settori: Malattie Infettive, Biologia molecolare, Anestesiologia, Scienza delle Finanze, Diritto dell’Unione europea e Diritto internazionale.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numPr>
          <w:ilvl w:val="0"/>
          <w:numId w:val="7"/>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FISV, la Federazione Italiana Scienza della Vita, ha chiesto alla </w:t>
      </w:r>
      <w:proofErr w:type="spellStart"/>
      <w:r w:rsidRPr="00E56CF5">
        <w:rPr>
          <w:rFonts w:eastAsia="Times New Roman" w:cstheme="minorHAnsi"/>
          <w:sz w:val="20"/>
          <w:szCs w:val="20"/>
          <w:bdr w:val="none" w:sz="0" w:space="0" w:color="auto" w:frame="1"/>
          <w:lang w:eastAsia="it-IT"/>
        </w:rPr>
        <w:t>European</w:t>
      </w:r>
      <w:proofErr w:type="spellEnd"/>
      <w:r w:rsidRPr="00E56CF5">
        <w:rPr>
          <w:rFonts w:eastAsia="Times New Roman" w:cstheme="minorHAnsi"/>
          <w:sz w:val="20"/>
          <w:szCs w:val="20"/>
          <w:bdr w:val="none" w:sz="0" w:space="0" w:color="auto" w:frame="1"/>
          <w:lang w:eastAsia="it-IT"/>
        </w:rPr>
        <w:t> </w:t>
      </w:r>
      <w:proofErr w:type="spellStart"/>
      <w:r w:rsidRPr="00E56CF5">
        <w:rPr>
          <w:rFonts w:eastAsia="Times New Roman" w:cstheme="minorHAnsi"/>
          <w:sz w:val="20"/>
          <w:szCs w:val="20"/>
          <w:bdr w:val="none" w:sz="0" w:space="0" w:color="auto" w:frame="1"/>
          <w:lang w:eastAsia="it-IT"/>
        </w:rPr>
        <w:t>Scientific</w:t>
      </w:r>
      <w:proofErr w:type="spellEnd"/>
      <w:r w:rsidRPr="00E56CF5">
        <w:rPr>
          <w:rFonts w:eastAsia="Times New Roman" w:cstheme="minorHAnsi"/>
          <w:sz w:val="20"/>
          <w:szCs w:val="20"/>
          <w:bdr w:val="none" w:sz="0" w:space="0" w:color="auto" w:frame="1"/>
          <w:lang w:eastAsia="it-IT"/>
        </w:rPr>
        <w:t xml:space="preserve"> Community una politica comune europea per contrastare la diffusione del virus SARS-CoV-2, auspicando un più stretto coordinamento sia a livello mondiale sia, in particolare, a livello continentale europeo fra centri di ricerca pubblici e private.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Premesso, infine, che: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D01E7E" w:rsidRPr="00D01E7E" w:rsidRDefault="00D01E7E" w:rsidP="00D01E7E">
      <w:pPr>
        <w:numPr>
          <w:ilvl w:val="0"/>
          <w:numId w:val="8"/>
        </w:numPr>
        <w:rPr>
          <w:rFonts w:ascii="Calibri" w:eastAsia="Times New Roman" w:hAnsi="Calibri" w:cs="Calibri"/>
          <w:color w:val="000000"/>
          <w:lang w:eastAsia="it-IT"/>
        </w:rPr>
      </w:pPr>
      <w:r w:rsidRPr="00D01E7E">
        <w:rPr>
          <w:rFonts w:ascii="Calibri" w:eastAsia="Times New Roman" w:hAnsi="Calibri" w:cs="Calibri"/>
          <w:color w:val="000000"/>
          <w:sz w:val="20"/>
          <w:szCs w:val="20"/>
          <w:lang w:eastAsia="it-IT"/>
        </w:rPr>
        <w:t>La Comunicazione della </w:t>
      </w:r>
      <w:r w:rsidRPr="00D01E7E">
        <w:rPr>
          <w:rFonts w:ascii="Calibri" w:eastAsia="Times New Roman" w:hAnsi="Calibri" w:cs="Calibri"/>
          <w:b/>
          <w:bCs/>
          <w:color w:val="000000"/>
          <w:sz w:val="20"/>
          <w:szCs w:val="20"/>
          <w:lang w:eastAsia="it-IT"/>
        </w:rPr>
        <w:t>Commissione europea</w:t>
      </w:r>
      <w:r w:rsidRPr="00D01E7E">
        <w:rPr>
          <w:rFonts w:ascii="Calibri" w:eastAsia="Times New Roman" w:hAnsi="Calibri" w:cs="Calibri"/>
          <w:color w:val="000000"/>
          <w:sz w:val="20"/>
          <w:szCs w:val="20"/>
          <w:lang w:eastAsia="it-IT"/>
        </w:rPr>
        <w:t> dell’11 novembre 2020 al Parlamento europeo, al Consiglio, al Comitato economico e sociale europeo e al Comitato delle regioni indica la necessità di «</w:t>
      </w:r>
      <w:r w:rsidRPr="00D01E7E">
        <w:rPr>
          <w:rFonts w:ascii="Calibri" w:eastAsia="Times New Roman" w:hAnsi="Calibri" w:cs="Calibri"/>
          <w:i/>
          <w:iCs/>
          <w:color w:val="000000"/>
          <w:sz w:val="20"/>
          <w:szCs w:val="20"/>
          <w:lang w:eastAsia="it-IT"/>
        </w:rPr>
        <w:t>Costruire una Unione europea della salute</w:t>
      </w:r>
      <w:r w:rsidRPr="00D01E7E">
        <w:rPr>
          <w:rFonts w:ascii="Calibri" w:eastAsia="Times New Roman" w:hAnsi="Calibri" w:cs="Calibri"/>
          <w:color w:val="000000"/>
          <w:sz w:val="20"/>
          <w:szCs w:val="20"/>
          <w:lang w:eastAsia="it-IT"/>
        </w:rPr>
        <w:t>» e di «</w:t>
      </w:r>
      <w:r w:rsidRPr="00D01E7E">
        <w:rPr>
          <w:rFonts w:ascii="Calibri" w:eastAsia="Times New Roman" w:hAnsi="Calibri" w:cs="Calibri"/>
          <w:i/>
          <w:iCs/>
          <w:color w:val="000000"/>
          <w:sz w:val="20"/>
          <w:szCs w:val="20"/>
          <w:lang w:eastAsia="it-IT"/>
        </w:rPr>
        <w:t>rinforzare la resilienza dell’UE alle minacce per la salute a carattere transfrontaliero</w:t>
      </w:r>
      <w:r w:rsidRPr="00D01E7E">
        <w:rPr>
          <w:rFonts w:ascii="Calibri" w:eastAsia="Times New Roman" w:hAnsi="Calibri" w:cs="Calibri"/>
          <w:color w:val="000000"/>
          <w:sz w:val="20"/>
          <w:szCs w:val="20"/>
          <w:lang w:eastAsia="it-IT"/>
        </w:rPr>
        <w:t>». Auspica il contrasto alla pandemia in corso tramite l’«</w:t>
      </w:r>
      <w:r w:rsidRPr="00D01E7E">
        <w:rPr>
          <w:rFonts w:ascii="Calibri" w:eastAsia="Times New Roman" w:hAnsi="Calibri" w:cs="Calibri"/>
          <w:i/>
          <w:iCs/>
          <w:color w:val="000000"/>
          <w:sz w:val="20"/>
          <w:szCs w:val="20"/>
          <w:lang w:eastAsia="it-IT"/>
        </w:rPr>
        <w:t>attuazione di una risposta coordinata a livello dell’UE</w:t>
      </w:r>
      <w:r w:rsidRPr="00D01E7E">
        <w:rPr>
          <w:rFonts w:ascii="Calibri" w:eastAsia="Times New Roman" w:hAnsi="Calibri" w:cs="Calibri"/>
          <w:color w:val="000000"/>
          <w:sz w:val="20"/>
          <w:szCs w:val="20"/>
          <w:lang w:eastAsia="it-IT"/>
        </w:rPr>
        <w:t>», mettendo in campo adeguate «</w:t>
      </w:r>
      <w:r w:rsidRPr="00D01E7E">
        <w:rPr>
          <w:rFonts w:ascii="Calibri" w:eastAsia="Times New Roman" w:hAnsi="Calibri" w:cs="Calibri"/>
          <w:i/>
          <w:iCs/>
          <w:color w:val="000000"/>
          <w:sz w:val="20"/>
          <w:szCs w:val="20"/>
          <w:lang w:eastAsia="it-IT"/>
        </w:rPr>
        <w:t>contromisure mediche</w:t>
      </w:r>
      <w:r w:rsidRPr="00D01E7E">
        <w:rPr>
          <w:rFonts w:ascii="Calibri" w:eastAsia="Times New Roman" w:hAnsi="Calibri" w:cs="Calibri"/>
          <w:color w:val="000000"/>
          <w:sz w:val="20"/>
          <w:szCs w:val="20"/>
          <w:lang w:eastAsia="it-IT"/>
        </w:rPr>
        <w:t>» e una «</w:t>
      </w:r>
      <w:r w:rsidRPr="00D01E7E">
        <w:rPr>
          <w:rFonts w:ascii="Calibri" w:eastAsia="Times New Roman" w:hAnsi="Calibri" w:cs="Calibri"/>
          <w:i/>
          <w:iCs/>
          <w:color w:val="000000"/>
          <w:sz w:val="20"/>
          <w:szCs w:val="20"/>
          <w:lang w:eastAsia="it-IT"/>
        </w:rPr>
        <w:t>capacità di allarme rapido e valutazione del rischio</w:t>
      </w:r>
      <w:r w:rsidRPr="00D01E7E">
        <w:rPr>
          <w:rFonts w:ascii="Calibri" w:eastAsia="Times New Roman" w:hAnsi="Calibri" w:cs="Calibri"/>
          <w:color w:val="000000"/>
          <w:sz w:val="20"/>
          <w:szCs w:val="20"/>
          <w:lang w:eastAsia="it-IT"/>
        </w:rPr>
        <w:t>» in un contesto di «</w:t>
      </w:r>
      <w:r w:rsidRPr="00D01E7E">
        <w:rPr>
          <w:rFonts w:ascii="Calibri" w:eastAsia="Times New Roman" w:hAnsi="Calibri" w:cs="Calibri"/>
          <w:i/>
          <w:iCs/>
          <w:color w:val="000000"/>
          <w:sz w:val="20"/>
          <w:szCs w:val="20"/>
          <w:lang w:eastAsia="it-IT"/>
        </w:rPr>
        <w:t>cooperazione e coordinamento internazionali</w:t>
      </w:r>
      <w:r w:rsidRPr="00D01E7E">
        <w:rPr>
          <w:rFonts w:ascii="Calibri" w:eastAsia="Times New Roman" w:hAnsi="Calibri" w:cs="Calibri"/>
          <w:color w:val="000000"/>
          <w:sz w:val="20"/>
          <w:szCs w:val="20"/>
          <w:lang w:eastAsia="it-IT"/>
        </w:rPr>
        <w:t>», predisponendo «</w:t>
      </w:r>
      <w:r w:rsidRPr="00D01E7E">
        <w:rPr>
          <w:rFonts w:ascii="Calibri" w:eastAsia="Times New Roman" w:hAnsi="Calibri" w:cs="Calibri"/>
          <w:i/>
          <w:iCs/>
          <w:color w:val="000000"/>
          <w:sz w:val="20"/>
          <w:szCs w:val="20"/>
          <w:lang w:eastAsia="it-IT"/>
        </w:rPr>
        <w:t>un’autorità dell’UE per la preparazione e la risposta alle emergenze sanitarie</w:t>
      </w:r>
      <w:r w:rsidRPr="00D01E7E">
        <w:rPr>
          <w:rFonts w:ascii="Calibri" w:eastAsia="Times New Roman" w:hAnsi="Calibri" w:cs="Calibri"/>
          <w:color w:val="000000"/>
          <w:sz w:val="20"/>
          <w:szCs w:val="20"/>
          <w:lang w:eastAsia="it-IT"/>
        </w:rPr>
        <w:t>».</w:t>
      </w:r>
    </w:p>
    <w:p w:rsidR="00D01E7E" w:rsidRPr="00D01E7E" w:rsidRDefault="00D01E7E" w:rsidP="00D01E7E">
      <w:pPr>
        <w:rPr>
          <w:rFonts w:ascii="Calibri" w:eastAsia="Times New Roman" w:hAnsi="Calibri" w:cs="Calibri"/>
          <w:color w:val="000000"/>
          <w:lang w:eastAsia="it-IT"/>
        </w:rPr>
      </w:pPr>
    </w:p>
    <w:p w:rsidR="00E56CF5" w:rsidRPr="00E56CF5" w:rsidRDefault="00E56CF5" w:rsidP="00E56CF5">
      <w:pPr>
        <w:numPr>
          <w:ilvl w:val="0"/>
          <w:numId w:val="8"/>
        </w:numPr>
        <w:spacing w:before="100" w:beforeAutospacing="1" w:after="100" w:afterAutospacing="1"/>
        <w:rPr>
          <w:rFonts w:eastAsia="Times New Roman" w:cstheme="minorHAnsi"/>
          <w:sz w:val="20"/>
          <w:szCs w:val="20"/>
          <w:lang w:eastAsia="it-IT"/>
        </w:rPr>
      </w:pPr>
      <w:r w:rsidRPr="00E56CF5">
        <w:rPr>
          <w:rFonts w:eastAsia="Times New Roman" w:cstheme="minorHAnsi"/>
          <w:b/>
          <w:bCs/>
          <w:sz w:val="20"/>
          <w:szCs w:val="20"/>
          <w:shd w:val="clear" w:color="auto" w:fill="FFFFFF"/>
          <w:lang w:eastAsia="it-IT"/>
        </w:rPr>
        <w:t>Il Parlamento europeo ha adottato nel luglio 2020 una risoluzione, con 526 voti a favore, 105 contrari e 50 astensioni, che, </w:t>
      </w:r>
      <w:proofErr w:type="spellStart"/>
      <w:r w:rsidRPr="00E56CF5">
        <w:rPr>
          <w:rFonts w:eastAsia="Times New Roman" w:cstheme="minorHAnsi"/>
          <w:sz w:val="20"/>
          <w:szCs w:val="20"/>
          <w:shd w:val="clear" w:color="auto" w:fill="FFFFFF"/>
          <w:lang w:eastAsia="it-IT"/>
        </w:rPr>
        <w:t>defininendo</w:t>
      </w:r>
      <w:proofErr w:type="spellEnd"/>
      <w:r w:rsidRPr="00E56CF5">
        <w:rPr>
          <w:rFonts w:eastAsia="Times New Roman" w:cstheme="minorHAnsi"/>
          <w:sz w:val="20"/>
          <w:szCs w:val="20"/>
          <w:shd w:val="clear" w:color="auto" w:fill="FFFFFF"/>
          <w:lang w:eastAsia="it-IT"/>
        </w:rPr>
        <w:t xml:space="preserve"> i principi della futura strategia UE in materia di sanità pubblica post COVID-19,</w:t>
      </w:r>
      <w:r w:rsidRPr="00E56CF5">
        <w:rPr>
          <w:rFonts w:eastAsia="Times New Roman" w:cstheme="minorHAnsi"/>
          <w:b/>
          <w:bCs/>
          <w:sz w:val="20"/>
          <w:szCs w:val="20"/>
          <w:shd w:val="clear" w:color="auto" w:fill="FFFFFF"/>
          <w:lang w:eastAsia="it-IT"/>
        </w:rPr>
        <w:t> chiede la creazione di </w:t>
      </w:r>
      <w:r w:rsidRPr="00E56CF5">
        <w:rPr>
          <w:rFonts w:eastAsia="Times New Roman" w:cstheme="minorHAnsi"/>
          <w:sz w:val="20"/>
          <w:szCs w:val="20"/>
          <w:shd w:val="clear" w:color="auto" w:fill="FFFFFF"/>
          <w:lang w:eastAsia="it-IT"/>
        </w:rPr>
        <w:t>un </w:t>
      </w:r>
      <w:r w:rsidR="00D05070" w:rsidRPr="00D05070">
        <w:rPr>
          <w:rFonts w:eastAsia="Times New Roman" w:cstheme="minorHAnsi"/>
          <w:b/>
          <w:bCs/>
          <w:sz w:val="20"/>
          <w:szCs w:val="20"/>
          <w:shd w:val="clear" w:color="auto" w:fill="FFFFFF"/>
          <w:lang w:eastAsia="it-IT"/>
        </w:rPr>
        <w:t>Meccanismo europeo di risposta in tema di salute</w:t>
      </w:r>
      <w:r w:rsidRPr="00E56CF5">
        <w:rPr>
          <w:rFonts w:eastAsia="Times New Roman" w:cstheme="minorHAnsi"/>
          <w:b/>
          <w:bCs/>
          <w:sz w:val="20"/>
          <w:szCs w:val="20"/>
          <w:shd w:val="clear" w:color="auto" w:fill="FFFFFF"/>
          <w:lang w:eastAsia="it-IT"/>
        </w:rPr>
        <w:t> </w:t>
      </w:r>
      <w:r w:rsidRPr="00E56CF5">
        <w:rPr>
          <w:rFonts w:eastAsia="Times New Roman" w:cstheme="minorHAnsi"/>
          <w:sz w:val="20"/>
          <w:szCs w:val="20"/>
          <w:lang w:eastAsia="it-IT"/>
        </w:rPr>
        <w:t>(</w:t>
      </w:r>
      <w:proofErr w:type="spellStart"/>
      <w:r w:rsidRPr="00E56CF5">
        <w:rPr>
          <w:rFonts w:eastAsia="Times New Roman" w:cstheme="minorHAnsi"/>
          <w:sz w:val="20"/>
          <w:szCs w:val="20"/>
          <w:lang w:eastAsia="it-IT"/>
        </w:rPr>
        <w:t>European</w:t>
      </w:r>
      <w:proofErr w:type="spellEnd"/>
      <w:r w:rsidRPr="00E56CF5">
        <w:rPr>
          <w:rFonts w:eastAsia="Times New Roman" w:cstheme="minorHAnsi"/>
          <w:sz w:val="20"/>
          <w:szCs w:val="20"/>
          <w:lang w:eastAsia="it-IT"/>
        </w:rPr>
        <w:t xml:space="preserve"> </w:t>
      </w:r>
      <w:proofErr w:type="spellStart"/>
      <w:r w:rsidRPr="00E56CF5">
        <w:rPr>
          <w:rFonts w:eastAsia="Times New Roman" w:cstheme="minorHAnsi"/>
          <w:sz w:val="20"/>
          <w:szCs w:val="20"/>
          <w:lang w:eastAsia="it-IT"/>
        </w:rPr>
        <w:t>Health</w:t>
      </w:r>
      <w:proofErr w:type="spellEnd"/>
      <w:r w:rsidRPr="00E56CF5">
        <w:rPr>
          <w:rFonts w:eastAsia="Times New Roman" w:cstheme="minorHAnsi"/>
          <w:sz w:val="20"/>
          <w:szCs w:val="20"/>
          <w:lang w:eastAsia="it-IT"/>
        </w:rPr>
        <w:t xml:space="preserve"> </w:t>
      </w:r>
      <w:proofErr w:type="spellStart"/>
      <w:r w:rsidRPr="00E56CF5">
        <w:rPr>
          <w:rFonts w:eastAsia="Times New Roman" w:cstheme="minorHAnsi"/>
          <w:sz w:val="20"/>
          <w:szCs w:val="20"/>
          <w:lang w:eastAsia="it-IT"/>
        </w:rPr>
        <w:t>Response</w:t>
      </w:r>
      <w:proofErr w:type="spellEnd"/>
      <w:r w:rsidRPr="00E56CF5">
        <w:rPr>
          <w:rFonts w:eastAsia="Times New Roman" w:cstheme="minorHAnsi"/>
          <w:sz w:val="20"/>
          <w:szCs w:val="20"/>
          <w:lang w:eastAsia="it-IT"/>
        </w:rPr>
        <w:t xml:space="preserve"> </w:t>
      </w:r>
      <w:proofErr w:type="spellStart"/>
      <w:r w:rsidRPr="00E56CF5">
        <w:rPr>
          <w:rFonts w:eastAsia="Times New Roman" w:cstheme="minorHAnsi"/>
          <w:sz w:val="20"/>
          <w:szCs w:val="20"/>
          <w:lang w:eastAsia="it-IT"/>
        </w:rPr>
        <w:t>Mechanism</w:t>
      </w:r>
      <w:proofErr w:type="spellEnd"/>
      <w:r w:rsidRPr="00E56CF5">
        <w:rPr>
          <w:rFonts w:eastAsia="Times New Roman" w:cstheme="minorHAnsi"/>
          <w:sz w:val="20"/>
          <w:szCs w:val="20"/>
          <w:lang w:eastAsia="it-IT"/>
        </w:rPr>
        <w:t xml:space="preserve">), in grado di reagire a qualsiasi tipo di emergenza sanitaria attraverso una maggiore cooperazione e una gestione comune delle riserve di medicine ed equipaggiamento, acquisti congiunti e catene di approvvigionamento diversificate. Il Parlamento chiede altresì l'istituzione di un fondo UE dedicato, per migliorare le infrastrutture ospedaliere e i servizi sanitari. La Commissione europea ha presentato una proposta di 9,4 miliardi di euro per il programma EU4Health 2021-2027, come parte del Piano di ripresa </w:t>
      </w:r>
      <w:proofErr w:type="spellStart"/>
      <w:r w:rsidRPr="00E56CF5">
        <w:rPr>
          <w:rFonts w:eastAsia="Times New Roman" w:cstheme="minorHAnsi"/>
          <w:sz w:val="20"/>
          <w:szCs w:val="20"/>
          <w:lang w:eastAsia="it-IT"/>
        </w:rPr>
        <w:t>Next</w:t>
      </w:r>
      <w:proofErr w:type="spellEnd"/>
      <w:r w:rsidRPr="00E56CF5">
        <w:rPr>
          <w:rFonts w:eastAsia="Times New Roman" w:cstheme="minorHAnsi"/>
          <w:sz w:val="20"/>
          <w:szCs w:val="20"/>
          <w:lang w:eastAsia="it-IT"/>
        </w:rPr>
        <w:t xml:space="preserve"> Generation EU.</w:t>
      </w:r>
    </w:p>
    <w:p w:rsidR="00E56CF5" w:rsidRPr="00E56CF5" w:rsidRDefault="00E56CF5" w:rsidP="00E56CF5">
      <w:pPr>
        <w:ind w:left="720"/>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numPr>
          <w:ilvl w:val="0"/>
          <w:numId w:val="9"/>
        </w:numPr>
        <w:spacing w:before="100" w:beforeAutospacing="1" w:after="100" w:afterAutospacing="1"/>
        <w:rPr>
          <w:rFonts w:eastAsia="Times New Roman" w:cstheme="minorHAnsi"/>
          <w:sz w:val="20"/>
          <w:szCs w:val="20"/>
          <w:lang w:eastAsia="it-IT"/>
        </w:rPr>
      </w:pPr>
      <w:r w:rsidRPr="00E56CF5">
        <w:rPr>
          <w:rFonts w:eastAsia="Times New Roman" w:cstheme="minorHAnsi"/>
          <w:b/>
          <w:bCs/>
          <w:sz w:val="20"/>
          <w:szCs w:val="20"/>
          <w:shd w:val="clear" w:color="auto" w:fill="FFFFFF"/>
          <w:lang w:eastAsia="it-IT"/>
        </w:rPr>
        <w:t>Il Presidente della Repubblica Italiana</w:t>
      </w:r>
      <w:r w:rsidRPr="00E56CF5">
        <w:rPr>
          <w:rFonts w:eastAsia="Times New Roman" w:cstheme="minorHAnsi"/>
          <w:sz w:val="20"/>
          <w:szCs w:val="20"/>
          <w:shd w:val="clear" w:color="auto" w:fill="FFFFFF"/>
          <w:lang w:eastAsia="it-IT"/>
        </w:rPr>
        <w:t> Sergio Mattarella in data 9 maggio 2020 ha dichiarato che "Solo più' Europa permetterà' di affrontare in modo più' efficace la pandemia - sfida di dimensioni realmente globali - sul piano della ricerca e della assunzione di misure per la difesa della salute".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sz w:val="20"/>
          <w:szCs w:val="20"/>
          <w:shd w:val="clear" w:color="auto" w:fill="FFFFFF"/>
          <w:lang w:eastAsia="it-IT"/>
        </w:rPr>
        <w:t> </w:t>
      </w:r>
    </w:p>
    <w:p w:rsidR="00E56CF5" w:rsidRPr="00E56CF5" w:rsidRDefault="00E56CF5" w:rsidP="00E56CF5">
      <w:pPr>
        <w:numPr>
          <w:ilvl w:val="0"/>
          <w:numId w:val="10"/>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lang w:eastAsia="it-IT"/>
        </w:rPr>
        <w:t>Il 17 aprile scorso </w:t>
      </w:r>
      <w:r w:rsidRPr="00E56CF5">
        <w:rPr>
          <w:rFonts w:eastAsia="Times New Roman" w:cstheme="minorHAnsi"/>
          <w:b/>
          <w:bCs/>
          <w:sz w:val="20"/>
          <w:szCs w:val="20"/>
          <w:lang w:eastAsia="it-IT"/>
        </w:rPr>
        <w:t>il Parlamento europeo</w:t>
      </w:r>
      <w:r w:rsidRPr="00E56CF5">
        <w:rPr>
          <w:rFonts w:eastAsia="Times New Roman" w:cstheme="minorHAnsi"/>
          <w:sz w:val="20"/>
          <w:szCs w:val="20"/>
          <w:lang w:eastAsia="it-IT"/>
        </w:rPr>
        <w:t> ha adottato una risoluzione sulla «Azione coordinata dell’UE per lottare contro la pandemia di Covid-19 e le sue conseguenze». Il Parlamento «ricorda che questa crisi (…) non dovrebbe essere la rovina di tutti; esprime la sua ferma intenzione di fare tutto il necessario affinché l’Unione e i suoi cittadini possano uscire dalla crisi e invita tutte le istituzioni dell’UE e gli Stati membri ad avvalersi immediatamente di tutte le disposizioni pertinenti dei Trattati e ad agire di conseguenza in uno spirito di solidarietà». Inoltre «suggerisce che tale strategia potrebbe comprendere la proposta di conferire maggiori poteri all’Unione in caso di minacce per la salute transfrontaliere, con strumenti nuovi e potenziati intesi ad assicurare che in futuro l’Unione possa agire senza indugio per coordinare la risposta a livello europeo, indirizzare le risorse necessarie lì dove siano maggiormente richieste, che si tratti di risorse materiali (ad esempio, mascherine, respiratori e farmaci) o finanziarie, e consentire la raccolta di dati standardizzati e di qualità».</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sz w:val="20"/>
          <w:szCs w:val="20"/>
          <w:shd w:val="clear" w:color="auto" w:fill="FFFFFF"/>
          <w:lang w:eastAsia="it-IT"/>
        </w:rPr>
        <w:lastRenderedPageBreak/>
        <w:t> </w:t>
      </w:r>
    </w:p>
    <w:p w:rsidR="00E56CF5" w:rsidRPr="00E56CF5" w:rsidRDefault="00E56CF5" w:rsidP="00E56CF5">
      <w:pPr>
        <w:numPr>
          <w:ilvl w:val="0"/>
          <w:numId w:val="11"/>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shd w:val="clear" w:color="auto" w:fill="FFFFFF"/>
          <w:lang w:eastAsia="it-IT"/>
        </w:rPr>
        <w:t xml:space="preserve">La Commissaria europea alla salute Stella </w:t>
      </w:r>
      <w:proofErr w:type="spellStart"/>
      <w:r w:rsidRPr="00E56CF5">
        <w:rPr>
          <w:rFonts w:eastAsia="Times New Roman" w:cstheme="minorHAnsi"/>
          <w:sz w:val="20"/>
          <w:szCs w:val="20"/>
          <w:shd w:val="clear" w:color="auto" w:fill="FFFFFF"/>
          <w:lang w:eastAsia="it-IT"/>
        </w:rPr>
        <w:t>Kyriakides</w:t>
      </w:r>
      <w:proofErr w:type="spellEnd"/>
      <w:r w:rsidRPr="00E56CF5">
        <w:rPr>
          <w:rFonts w:eastAsia="Times New Roman" w:cstheme="minorHAnsi"/>
          <w:sz w:val="20"/>
          <w:szCs w:val="20"/>
          <w:shd w:val="clear" w:color="auto" w:fill="FFFFFF"/>
          <w:lang w:eastAsia="it-IT"/>
        </w:rPr>
        <w:t xml:space="preserve"> ha recentemente dichiarato che l’Unione ha bisogno di nuovi e più vasti poteri per permettere un passo avanti sulla tutela della salute pubblica, rispetto a crisi future simili a quella che oggi viviamo.</w:t>
      </w:r>
    </w:p>
    <w:p w:rsidR="00E56CF5" w:rsidRPr="00E56CF5" w:rsidRDefault="00E56CF5" w:rsidP="00E56CF5">
      <w:pPr>
        <w:ind w:left="720"/>
        <w:rPr>
          <w:rFonts w:eastAsia="Times New Roman" w:cstheme="minorHAnsi"/>
          <w:sz w:val="20"/>
          <w:szCs w:val="20"/>
          <w:lang w:eastAsia="it-IT"/>
        </w:rPr>
      </w:pPr>
      <w:r w:rsidRPr="00E56CF5">
        <w:rPr>
          <w:rFonts w:eastAsia="Times New Roman" w:cstheme="minorHAnsi"/>
          <w:sz w:val="20"/>
          <w:szCs w:val="20"/>
          <w:shd w:val="clear" w:color="auto" w:fill="FFFFFF"/>
          <w:lang w:eastAsia="it-IT"/>
        </w:rPr>
        <w:t> </w:t>
      </w:r>
    </w:p>
    <w:p w:rsidR="00E56CF5" w:rsidRPr="00E56CF5" w:rsidRDefault="00E56CF5" w:rsidP="00E56CF5">
      <w:pPr>
        <w:numPr>
          <w:ilvl w:val="0"/>
          <w:numId w:val="12"/>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shd w:val="clear" w:color="auto" w:fill="FFFFFF"/>
          <w:lang w:eastAsia="it-IT"/>
        </w:rPr>
        <w:t xml:space="preserve">Il 28 maggio la Commissione europea, tramite il </w:t>
      </w:r>
      <w:proofErr w:type="gramStart"/>
      <w:r w:rsidRPr="00E56CF5">
        <w:rPr>
          <w:rFonts w:eastAsia="Times New Roman" w:cstheme="minorHAnsi"/>
          <w:sz w:val="20"/>
          <w:szCs w:val="20"/>
          <w:shd w:val="clear" w:color="auto" w:fill="FFFFFF"/>
          <w:lang w:eastAsia="it-IT"/>
        </w:rPr>
        <w:t>vice-presidente</w:t>
      </w:r>
      <w:proofErr w:type="gramEnd"/>
      <w:r w:rsidRPr="00E56CF5">
        <w:rPr>
          <w:rFonts w:eastAsia="Times New Roman" w:cstheme="minorHAnsi"/>
          <w:sz w:val="20"/>
          <w:szCs w:val="20"/>
          <w:shd w:val="clear" w:color="auto" w:fill="FFFFFF"/>
          <w:lang w:eastAsia="it-IT"/>
        </w:rPr>
        <w:t xml:space="preserve"> </w:t>
      </w:r>
      <w:proofErr w:type="spellStart"/>
      <w:r w:rsidRPr="00E56CF5">
        <w:rPr>
          <w:rFonts w:eastAsia="Times New Roman" w:cstheme="minorHAnsi"/>
          <w:sz w:val="20"/>
          <w:szCs w:val="20"/>
          <w:shd w:val="clear" w:color="auto" w:fill="FFFFFF"/>
          <w:lang w:eastAsia="it-IT"/>
        </w:rPr>
        <w:t>Margaritis</w:t>
      </w:r>
      <w:proofErr w:type="spellEnd"/>
      <w:r w:rsidRPr="00E56CF5">
        <w:rPr>
          <w:rFonts w:eastAsia="Times New Roman" w:cstheme="minorHAnsi"/>
          <w:sz w:val="20"/>
          <w:szCs w:val="20"/>
          <w:shd w:val="clear" w:color="auto" w:fill="FFFFFF"/>
          <w:lang w:eastAsia="it-IT"/>
        </w:rPr>
        <w:t xml:space="preserve"> </w:t>
      </w:r>
      <w:proofErr w:type="spellStart"/>
      <w:r w:rsidRPr="00E56CF5">
        <w:rPr>
          <w:rFonts w:eastAsia="Times New Roman" w:cstheme="minorHAnsi"/>
          <w:sz w:val="20"/>
          <w:szCs w:val="20"/>
          <w:shd w:val="clear" w:color="auto" w:fill="FFFFFF"/>
          <w:lang w:eastAsia="it-IT"/>
        </w:rPr>
        <w:t>Schinas</w:t>
      </w:r>
      <w:proofErr w:type="spellEnd"/>
      <w:r w:rsidRPr="00E56CF5">
        <w:rPr>
          <w:rFonts w:eastAsia="Times New Roman" w:cstheme="minorHAnsi"/>
          <w:sz w:val="20"/>
          <w:szCs w:val="20"/>
          <w:shd w:val="clear" w:color="auto" w:fill="FFFFFF"/>
          <w:lang w:eastAsia="it-IT"/>
        </w:rPr>
        <w:t xml:space="preserve">, ha previsto che il progetto di bilancio pluriennale dell’UE contenga un capitolo di spesa autonomo di 9,4 miliardi di euro in materia di salute pubblica. Il programma (denominato Eu4Health) è all’interno del progettato piano </w:t>
      </w:r>
      <w:proofErr w:type="spellStart"/>
      <w:r w:rsidRPr="00E56CF5">
        <w:rPr>
          <w:rFonts w:eastAsia="Times New Roman" w:cstheme="minorHAnsi"/>
          <w:sz w:val="20"/>
          <w:szCs w:val="20"/>
          <w:shd w:val="clear" w:color="auto" w:fill="FFFFFF"/>
          <w:lang w:eastAsia="it-IT"/>
        </w:rPr>
        <w:t>Next</w:t>
      </w:r>
      <w:proofErr w:type="spellEnd"/>
      <w:r w:rsidRPr="00E56CF5">
        <w:rPr>
          <w:rFonts w:eastAsia="Times New Roman" w:cstheme="minorHAnsi"/>
          <w:sz w:val="20"/>
          <w:szCs w:val="20"/>
          <w:shd w:val="clear" w:color="auto" w:fill="FFFFFF"/>
          <w:lang w:eastAsia="it-IT"/>
        </w:rPr>
        <w:t xml:space="preserve"> Generation EU e si presenta come «elemento rivoluzionario per la salute dei nostri cittadini», ha detto la commissaria europea per la salute Stella </w:t>
      </w:r>
      <w:proofErr w:type="spellStart"/>
      <w:r w:rsidRPr="00E56CF5">
        <w:rPr>
          <w:rFonts w:eastAsia="Times New Roman" w:cstheme="minorHAnsi"/>
          <w:sz w:val="20"/>
          <w:szCs w:val="20"/>
          <w:shd w:val="clear" w:color="auto" w:fill="FFFFFF"/>
          <w:lang w:eastAsia="it-IT"/>
        </w:rPr>
        <w:t>Kyriakides</w:t>
      </w:r>
      <w:proofErr w:type="spellEnd"/>
      <w:r w:rsidRPr="00E56CF5">
        <w:rPr>
          <w:rFonts w:eastAsia="Times New Roman" w:cstheme="minorHAnsi"/>
          <w:sz w:val="20"/>
          <w:szCs w:val="20"/>
          <w:shd w:val="clear" w:color="auto" w:fill="FFFFFF"/>
          <w:lang w:eastAsia="it-IT"/>
        </w:rPr>
        <w:t>. Obiettivo del programma è la miglior preparazione davanti all’insorgere delle emergenze sanitarie, come la predisposizione di riserve di forniture mediche, di personale e di esperti, da mobilitare per rispondere alle crisi sanitarie in tutta l’Unione.</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sz w:val="20"/>
          <w:szCs w:val="20"/>
          <w:shd w:val="clear" w:color="auto" w:fill="FFFFFF"/>
          <w:lang w:eastAsia="it-IT"/>
        </w:rPr>
        <w:t> </w:t>
      </w:r>
    </w:p>
    <w:p w:rsidR="00E56CF5" w:rsidRPr="00E56CF5" w:rsidRDefault="00E56CF5" w:rsidP="00E56CF5">
      <w:pPr>
        <w:numPr>
          <w:ilvl w:val="0"/>
          <w:numId w:val="13"/>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shd w:val="clear" w:color="auto" w:fill="FFFFFF"/>
          <w:lang w:eastAsia="it-IT"/>
        </w:rPr>
        <w:t>la costituzione di un organismo europeo di governo delle emergenze sanitarie transnazionali potrebbe essere perseguita secondo diverse basi giuridiche, tempistiche e forme:</w:t>
      </w:r>
    </w:p>
    <w:p w:rsidR="00E56CF5" w:rsidRPr="00E56CF5" w:rsidRDefault="00E56CF5" w:rsidP="00E56CF5">
      <w:pPr>
        <w:numPr>
          <w:ilvl w:val="1"/>
          <w:numId w:val="13"/>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a trattati invariati prevedendo il ricorso alla cooperazione rafforzata tra Stati membri (artt.20 ss. TUE e 326 ss. TFUE); </w:t>
      </w:r>
    </w:p>
    <w:p w:rsidR="00E56CF5" w:rsidRPr="00E56CF5" w:rsidRDefault="00E56CF5" w:rsidP="00E56CF5">
      <w:pPr>
        <w:numPr>
          <w:ilvl w:val="1"/>
          <w:numId w:val="13"/>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a trattati modificati prevedendo la trasformazione in competenze concorrenti dei limitati attuali compiti dell’UE in materia di salute pubblica e, in ultima istanza, la costituzione di un vero e proprio comparto sanitario europeo in senso federale. Comparto accompagnato da un tributo europeo </w:t>
      </w:r>
      <w:r w:rsidRPr="00E56CF5">
        <w:rPr>
          <w:rFonts w:eastAsia="Times New Roman" w:cstheme="minorHAnsi"/>
          <w:i/>
          <w:iCs/>
          <w:sz w:val="20"/>
          <w:szCs w:val="20"/>
          <w:bdr w:val="none" w:sz="0" w:space="0" w:color="auto" w:frame="1"/>
          <w:lang w:eastAsia="it-IT"/>
        </w:rPr>
        <w:t>ad hoc</w:t>
      </w:r>
      <w:r w:rsidRPr="00E56CF5">
        <w:rPr>
          <w:rFonts w:eastAsia="Times New Roman" w:cstheme="minorHAnsi"/>
          <w:sz w:val="20"/>
          <w:szCs w:val="20"/>
          <w:bdr w:val="none" w:sz="0" w:space="0" w:color="auto" w:frame="1"/>
          <w:lang w:eastAsia="it-IT"/>
        </w:rPr>
        <w:t>, elemento di un</w:t>
      </w:r>
      <w:r w:rsidRPr="00E56CF5">
        <w:rPr>
          <w:rFonts w:eastAsia="Times New Roman" w:cstheme="minorHAnsi"/>
          <w:sz w:val="20"/>
          <w:szCs w:val="20"/>
          <w:bdr w:val="none" w:sz="0" w:space="0" w:color="auto" w:frame="1"/>
          <w:shd w:val="clear" w:color="auto" w:fill="FFFFFF"/>
          <w:lang w:eastAsia="it-IT"/>
        </w:rPr>
        <w:t> organico sistema fiscale comune europeo.</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 </w:t>
      </w:r>
    </w:p>
    <w:p w:rsidR="00E56CF5" w:rsidRPr="00E56CF5" w:rsidRDefault="00E56CF5" w:rsidP="00E56CF5">
      <w:pPr>
        <w:numPr>
          <w:ilvl w:val="0"/>
          <w:numId w:val="14"/>
        </w:numPr>
        <w:spacing w:before="100" w:beforeAutospacing="1" w:after="100" w:afterAutospacing="1"/>
        <w:rPr>
          <w:rFonts w:eastAsia="Times New Roman" w:cstheme="minorHAnsi"/>
          <w:sz w:val="20"/>
          <w:szCs w:val="20"/>
          <w:lang w:eastAsia="it-IT"/>
        </w:rPr>
      </w:pPr>
      <w:r w:rsidRPr="00E56CF5">
        <w:rPr>
          <w:rFonts w:eastAsia="Times New Roman" w:cstheme="minorHAnsi"/>
          <w:sz w:val="20"/>
          <w:szCs w:val="20"/>
          <w:bdr w:val="none" w:sz="0" w:space="0" w:color="auto" w:frame="1"/>
          <w:shd w:val="clear" w:color="auto" w:fill="FFFFFF"/>
          <w:lang w:eastAsia="it-IT"/>
        </w:rPr>
        <w:t>in una prima fase l’organismo europeo che si chiede consta in una “forza di intervento rapido” sia in campo sanitario, istituendo una sorta di “camici blu”, sia nel supporto di protezione civile europea, adeguatamente e permanentemente formata ed equipaggiata, definendo criteri omogenei di codificazione e raccolta di informazioni, al fine di far immediatamente fronte ai bisogni dei cittadini europei che possano manifestarsi al concretizzarsi di una minaccia sanitaria. </w:t>
      </w:r>
      <w:r w:rsidRPr="00E56CF5">
        <w:rPr>
          <w:rFonts w:eastAsia="Times New Roman" w:cstheme="minorHAnsi"/>
          <w:sz w:val="20"/>
          <w:szCs w:val="20"/>
          <w:lang w:eastAsia="it-IT"/>
        </w:rPr>
        <w:t>L’organismo va raccordato con quelli esistenti e operanti in campo medico e di protezione civile anche al fine di razionalizzarne e rendere interoperabili le rispettive competenze così come le banche dati, anche nazionali.</w:t>
      </w:r>
    </w:p>
    <w:p w:rsidR="00E56CF5" w:rsidRPr="00E56CF5" w:rsidRDefault="00E56CF5" w:rsidP="00E56CF5">
      <w:pPr>
        <w:shd w:val="clear" w:color="auto" w:fill="FFFFFF"/>
        <w:spacing w:line="235" w:lineRule="atLeast"/>
        <w:ind w:left="720"/>
        <w:rPr>
          <w:rFonts w:eastAsia="Times New Roman" w:cstheme="minorHAnsi"/>
          <w:sz w:val="20"/>
          <w:szCs w:val="20"/>
          <w:lang w:eastAsia="it-IT"/>
        </w:rPr>
      </w:pPr>
      <w:r w:rsidRPr="00E56CF5">
        <w:rPr>
          <w:rFonts w:eastAsia="Times New Roman" w:cstheme="minorHAnsi"/>
          <w:sz w:val="20"/>
          <w:szCs w:val="20"/>
          <w:bdr w:val="none" w:sz="0" w:space="0" w:color="auto" w:frame="1"/>
          <w:shd w:val="clear" w:color="auto" w:fill="FFFFFF"/>
          <w:lang w:eastAsia="it-IT"/>
        </w:rPr>
        <w:t>In una seconda fase l’organismo si trasformerebbe in un vero e proprio </w:t>
      </w:r>
      <w:r w:rsidRPr="00E56CF5">
        <w:rPr>
          <w:rFonts w:eastAsia="Times New Roman" w:cstheme="minorHAnsi"/>
          <w:b/>
          <w:bCs/>
          <w:sz w:val="20"/>
          <w:szCs w:val="20"/>
          <w:bdr w:val="none" w:sz="0" w:space="0" w:color="auto" w:frame="1"/>
          <w:shd w:val="clear" w:color="auto" w:fill="FFFFFF"/>
          <w:lang w:eastAsia="it-IT"/>
        </w:rPr>
        <w:t>comparto di «sanità europea» per le emergenze sanitarie, </w:t>
      </w:r>
      <w:r w:rsidRPr="00E56CF5">
        <w:rPr>
          <w:rFonts w:eastAsia="Times New Roman" w:cstheme="minorHAnsi"/>
          <w:sz w:val="20"/>
          <w:szCs w:val="20"/>
          <w:bdr w:val="none" w:sz="0" w:space="0" w:color="auto" w:frame="1"/>
          <w:shd w:val="clear" w:color="auto" w:fill="FFFFFF"/>
          <w:lang w:eastAsia="it-IT"/>
        </w:rPr>
        <w:t>in capo all’Unione europea, con effettivi poteri di predisposizione, formazione e organizzazione di personale proprio, coordinato nella sua attività ordinaria con i sistemi sanitari regionali e nazionali, operativo nei grandi poli specialistici e di ricerca e con funzioni di consulenza sulla programmazione delle professioni sanitarie utili nelle emergenze. Il personale dovrà essere immediatamente attivabile con compiti straordinari in casi di epidemie virali o batteriche o altre emergenze sanitarie, anche con funzione di stretto coordinamento e finanziamento nella ricerca e produzione di farmaci e vaccini. Il comparto sanitario europeo sarà dotato di un proprio </w:t>
      </w:r>
      <w:r w:rsidRPr="00E56CF5">
        <w:rPr>
          <w:rFonts w:eastAsia="Times New Roman" w:cstheme="minorHAnsi"/>
          <w:i/>
          <w:iCs/>
          <w:sz w:val="20"/>
          <w:szCs w:val="20"/>
          <w:bdr w:val="none" w:sz="0" w:space="0" w:color="auto" w:frame="1"/>
          <w:shd w:val="clear" w:color="auto" w:fill="FFFFFF"/>
          <w:lang w:eastAsia="it-IT"/>
        </w:rPr>
        <w:t>budget</w:t>
      </w:r>
      <w:r w:rsidRPr="00E56CF5">
        <w:rPr>
          <w:rFonts w:eastAsia="Times New Roman" w:cstheme="minorHAnsi"/>
          <w:sz w:val="20"/>
          <w:szCs w:val="20"/>
          <w:bdr w:val="none" w:sz="0" w:space="0" w:color="auto" w:frame="1"/>
          <w:shd w:val="clear" w:color="auto" w:fill="FFFFFF"/>
          <w:lang w:eastAsia="it-IT"/>
        </w:rPr>
        <w:t> e di potere di allocazione dei finanziamenti, della relativa competenza impositiva, di capacità produttiva propria di attrezzature e materiale sanitario anche in partenariato con imprese private. Secondo il principio di sussidiarietà (art. 5.1 TUE), all’Unione spetteranno dunque i compiti di costituzione, organizzazione, formazione e sperimentazione di una forza di intervento rapido e di regia, coordinamento e supporto operativo agli apparati nazionali e regionali in caso di emergenze transnazionali gravi e massicce.</w:t>
      </w:r>
      <w:r w:rsidRPr="00E56CF5">
        <w:rPr>
          <w:rFonts w:eastAsia="Times New Roman" w:cstheme="minorHAnsi"/>
          <w:sz w:val="20"/>
          <w:szCs w:val="20"/>
          <w:lang w:eastAsia="it-IT"/>
        </w:rPr>
        <w:br/>
      </w:r>
      <w:r w:rsidRPr="00E56CF5">
        <w:rPr>
          <w:rFonts w:eastAsia="Times New Roman" w:cstheme="minorHAnsi"/>
          <w:b/>
          <w:bCs/>
          <w:sz w:val="20"/>
          <w:szCs w:val="20"/>
          <w:lang w:eastAsia="it-IT"/>
        </w:rPr>
        <w:t> </w:t>
      </w:r>
    </w:p>
    <w:p w:rsidR="00E56CF5" w:rsidRPr="00E56CF5" w:rsidRDefault="00E56CF5" w:rsidP="00E56CF5">
      <w:pPr>
        <w:jc w:val="center"/>
        <w:rPr>
          <w:rFonts w:eastAsia="Times New Roman" w:cstheme="minorHAnsi"/>
          <w:sz w:val="20"/>
          <w:szCs w:val="20"/>
          <w:lang w:eastAsia="it-IT"/>
        </w:rPr>
      </w:pPr>
      <w:r w:rsidRPr="00E56CF5">
        <w:rPr>
          <w:rFonts w:eastAsia="Times New Roman" w:cstheme="minorHAnsi"/>
          <w:b/>
          <w:bCs/>
          <w:sz w:val="20"/>
          <w:szCs w:val="20"/>
          <w:lang w:eastAsia="it-IT"/>
        </w:rPr>
        <w:t> </w:t>
      </w:r>
    </w:p>
    <w:p w:rsidR="00E56CF5" w:rsidRPr="00E56CF5" w:rsidRDefault="00E56CF5" w:rsidP="00E56CF5">
      <w:pPr>
        <w:jc w:val="center"/>
        <w:rPr>
          <w:rFonts w:eastAsia="Times New Roman" w:cstheme="minorHAnsi"/>
          <w:sz w:val="20"/>
          <w:szCs w:val="20"/>
          <w:lang w:eastAsia="it-IT"/>
        </w:rPr>
      </w:pPr>
      <w:r w:rsidRPr="00E56CF5">
        <w:rPr>
          <w:rFonts w:eastAsia="Times New Roman" w:cstheme="minorHAnsi"/>
          <w:b/>
          <w:bCs/>
          <w:sz w:val="20"/>
          <w:szCs w:val="20"/>
          <w:lang w:eastAsia="it-IT"/>
        </w:rPr>
        <w:t>DELIBERA</w:t>
      </w:r>
    </w:p>
    <w:p w:rsidR="00E56CF5" w:rsidRPr="00E56CF5" w:rsidRDefault="00E56CF5" w:rsidP="00E56CF5">
      <w:pPr>
        <w:jc w:val="both"/>
        <w:rPr>
          <w:rFonts w:eastAsia="Times New Roman" w:cstheme="minorHAnsi"/>
          <w:sz w:val="20"/>
          <w:szCs w:val="20"/>
          <w:lang w:eastAsia="it-IT"/>
        </w:rPr>
      </w:pPr>
      <w:r w:rsidRPr="00E56CF5">
        <w:rPr>
          <w:rFonts w:eastAsia="Times New Roman" w:cstheme="minorHAnsi"/>
          <w:b/>
          <w:bCs/>
          <w:sz w:val="20"/>
          <w:szCs w:val="20"/>
          <w:lang w:eastAsia="it-IT"/>
        </w:rPr>
        <w:t> </w:t>
      </w:r>
    </w:p>
    <w:p w:rsidR="00AE7D28" w:rsidRPr="00D01E7E" w:rsidRDefault="00E56CF5" w:rsidP="00D01E7E">
      <w:pPr>
        <w:shd w:val="clear" w:color="auto" w:fill="FFFFFF"/>
        <w:rPr>
          <w:rFonts w:eastAsia="Times New Roman" w:cstheme="minorHAnsi"/>
          <w:sz w:val="20"/>
          <w:szCs w:val="20"/>
          <w:lang w:eastAsia="it-IT"/>
        </w:rPr>
      </w:pPr>
      <w:r w:rsidRPr="00E56CF5">
        <w:rPr>
          <w:rFonts w:eastAsia="Times New Roman" w:cstheme="minorHAnsi"/>
          <w:sz w:val="20"/>
          <w:szCs w:val="20"/>
          <w:bdr w:val="none" w:sz="0" w:space="0" w:color="auto" w:frame="1"/>
          <w:lang w:eastAsia="it-IT"/>
        </w:rPr>
        <w:t xml:space="preserve">venga inviato al Governo della Repubblica l’invito, a </w:t>
      </w:r>
      <w:r w:rsidRPr="00E56CF5">
        <w:rPr>
          <w:rFonts w:eastAsia="Times New Roman" w:cstheme="minorHAnsi"/>
          <w:sz w:val="20"/>
          <w:szCs w:val="20"/>
          <w:highlight w:val="yellow"/>
          <w:bdr w:val="none" w:sz="0" w:space="0" w:color="auto" w:frame="1"/>
          <w:lang w:eastAsia="it-IT"/>
        </w:rPr>
        <w:t>nome del Comune/della Regione …………………………,</w:t>
      </w:r>
      <w:r w:rsidRPr="00E56CF5">
        <w:rPr>
          <w:rFonts w:eastAsia="Times New Roman" w:cstheme="minorHAnsi"/>
          <w:sz w:val="20"/>
          <w:szCs w:val="20"/>
          <w:bdr w:val="none" w:sz="0" w:space="0" w:color="auto" w:frame="1"/>
          <w:lang w:eastAsia="it-IT"/>
        </w:rPr>
        <w:t xml:space="preserve"> a che l’Italia si faccia promotrice della costituzione di una </w:t>
      </w:r>
      <w:r w:rsidRPr="00E56CF5">
        <w:rPr>
          <w:rFonts w:eastAsia="Times New Roman" w:cstheme="minorHAnsi"/>
          <w:b/>
          <w:bCs/>
          <w:sz w:val="20"/>
          <w:szCs w:val="20"/>
          <w:bdr w:val="none" w:sz="0" w:space="0" w:color="auto" w:frame="1"/>
          <w:lang w:eastAsia="it-IT"/>
        </w:rPr>
        <w:t>forza europea di coordinamento, regia, pronto intervento e protezione civile per il governo delle emergenze sanitarie transnazionali</w:t>
      </w:r>
    </w:p>
    <w:sectPr w:rsidR="00AE7D28" w:rsidRPr="00D01E7E" w:rsidSect="00BE2F5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CC5"/>
    <w:multiLevelType w:val="multilevel"/>
    <w:tmpl w:val="BC2E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6AAF"/>
    <w:multiLevelType w:val="multilevel"/>
    <w:tmpl w:val="285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370D6"/>
    <w:multiLevelType w:val="multilevel"/>
    <w:tmpl w:val="0DB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C21C0"/>
    <w:multiLevelType w:val="multilevel"/>
    <w:tmpl w:val="FDB6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665BA"/>
    <w:multiLevelType w:val="multilevel"/>
    <w:tmpl w:val="BC40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D559F"/>
    <w:multiLevelType w:val="multilevel"/>
    <w:tmpl w:val="D4DC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05BAE"/>
    <w:multiLevelType w:val="multilevel"/>
    <w:tmpl w:val="B9544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D339C"/>
    <w:multiLevelType w:val="multilevel"/>
    <w:tmpl w:val="6A4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542E5"/>
    <w:multiLevelType w:val="multilevel"/>
    <w:tmpl w:val="247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52475"/>
    <w:multiLevelType w:val="multilevel"/>
    <w:tmpl w:val="8CB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D2CCF"/>
    <w:multiLevelType w:val="multilevel"/>
    <w:tmpl w:val="9764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86A8B"/>
    <w:multiLevelType w:val="multilevel"/>
    <w:tmpl w:val="233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D4DE0"/>
    <w:multiLevelType w:val="multilevel"/>
    <w:tmpl w:val="C0E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C21C7"/>
    <w:multiLevelType w:val="multilevel"/>
    <w:tmpl w:val="0A9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C754A6"/>
    <w:multiLevelType w:val="multilevel"/>
    <w:tmpl w:val="6A38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9"/>
  </w:num>
  <w:num w:numId="5">
    <w:abstractNumId w:val="14"/>
  </w:num>
  <w:num w:numId="6">
    <w:abstractNumId w:val="11"/>
  </w:num>
  <w:num w:numId="7">
    <w:abstractNumId w:val="5"/>
  </w:num>
  <w:num w:numId="8">
    <w:abstractNumId w:val="4"/>
  </w:num>
  <w:num w:numId="9">
    <w:abstractNumId w:val="1"/>
  </w:num>
  <w:num w:numId="10">
    <w:abstractNumId w:val="12"/>
  </w:num>
  <w:num w:numId="11">
    <w:abstractNumId w:val="7"/>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302ED3"/>
    <w:rsid w:val="00BE2F53"/>
    <w:rsid w:val="00D01E7E"/>
    <w:rsid w:val="00D05070"/>
    <w:rsid w:val="00E56CF5"/>
    <w:rsid w:val="00F65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485D2E"/>
  <w14:defaultImageDpi w14:val="32767"/>
  <w15:chartTrackingRefBased/>
  <w15:docId w15:val="{F869D405-C022-A247-9001-3D8B2556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6CF5"/>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E56CF5"/>
  </w:style>
  <w:style w:type="character" w:styleId="Enfasigrassetto">
    <w:name w:val="Strong"/>
    <w:basedOn w:val="Carpredefinitoparagrafo"/>
    <w:uiPriority w:val="22"/>
    <w:qFormat/>
    <w:rsid w:val="00E5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7567">
      <w:bodyDiv w:val="1"/>
      <w:marLeft w:val="0"/>
      <w:marRight w:val="0"/>
      <w:marTop w:val="0"/>
      <w:marBottom w:val="0"/>
      <w:divBdr>
        <w:top w:val="none" w:sz="0" w:space="0" w:color="auto"/>
        <w:left w:val="none" w:sz="0" w:space="0" w:color="auto"/>
        <w:bottom w:val="none" w:sz="0" w:space="0" w:color="auto"/>
        <w:right w:val="none" w:sz="0" w:space="0" w:color="auto"/>
      </w:divBdr>
    </w:div>
    <w:div w:id="14883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calore</dc:creator>
  <cp:keywords/>
  <dc:description/>
  <cp:lastModifiedBy>chiara calore</cp:lastModifiedBy>
  <cp:revision>3</cp:revision>
  <dcterms:created xsi:type="dcterms:W3CDTF">2020-07-15T12:44:00Z</dcterms:created>
  <dcterms:modified xsi:type="dcterms:W3CDTF">2020-11-18T11:24:00Z</dcterms:modified>
</cp:coreProperties>
</file>