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 xml:space="preserve">the House of </w:t>
      </w:r>
      <w:bookmarkStart w:id="0" w:name="_GoBack"/>
      <w:bookmarkEnd w:id="0"/>
      <w:r w:rsidR="000B7E90">
        <w:rPr>
          <w:rFonts w:cstheme="minorHAnsi"/>
          <w:b/>
          <w:sz w:val="36"/>
          <w:szCs w:val="36"/>
        </w:rPr>
        <w:t>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0D76CF">
            <w:pPr>
              <w:rPr>
                <w:rFonts w:cstheme="minorHAnsi"/>
                <w:sz w:val="24"/>
                <w:szCs w:val="24"/>
              </w:rPr>
            </w:pPr>
            <w:r w:rsidRPr="00D577F7">
              <w:rPr>
                <w:rFonts w:cstheme="minorHAnsi"/>
                <w:sz w:val="24"/>
                <w:szCs w:val="24"/>
              </w:rPr>
              <w:t xml:space="preserve"> 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 xml:space="preserve">YES_____ or  NO_____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 xml:space="preserve">YES_____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sz w:val="24"/>
          <w:szCs w:val="24"/>
        </w:rPr>
      </w:pPr>
    </w:p>
    <w:p w:rsidR="00EB7D26" w:rsidRPr="00B114BA" w:rsidRDefault="00EB7D26" w:rsidP="00EB7D2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lastRenderedPageBreak/>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lastRenderedPageBreak/>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lastRenderedPageBreak/>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lastRenderedPageBreak/>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ng​ ​ combined​ ​ reporting,​ ​as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most</w:t>
      </w:r>
      <w:proofErr w:type="gramEnd"/>
      <w:r w:rsidRPr="00373354">
        <w:rPr>
          <w:rFonts w:eastAsia="Times New Roman" w:cstheme="minorHAnsi"/>
          <w:color w:val="000000"/>
          <w:sz w:val="24"/>
          <w:szCs w:val="24"/>
        </w:rPr>
        <w:t xml:space="preserve">​ ​other​ states​​ have​ ​ done?​ ​ Will​  ​you​ ​​support​ </w:t>
      </w:r>
      <w:r w:rsidRPr="00B114BA">
        <w:rPr>
          <w:rFonts w:eastAsia="Times New Roman" w:cstheme="minorHAnsi"/>
          <w:color w:val="000000"/>
          <w:sz w:val="24"/>
          <w:szCs w:val="24"/>
        </w:rPr>
        <w:t>​bringing ​​back​ ​Maryland’s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6.25</w:t>
      </w:r>
      <w:proofErr w:type="gramEnd"/>
      <w:r w:rsidRPr="00373354">
        <w:rPr>
          <w:rFonts w:eastAsia="Times New Roman" w:cstheme="minorHAnsi"/>
          <w:color w:val="000000"/>
          <w:sz w:val="24"/>
          <w:szCs w:val="24"/>
        </w:rPr>
        <w:t>​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YES_____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 xml:space="preserve">YES_____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 xml:space="preserve">YES_____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YES_____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 xml:space="preserve">YES_____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 xml:space="preserve">YES_____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YES_____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E33"/>
    <w:rsid w:val="00032595"/>
    <w:rsid w:val="00075B58"/>
    <w:rsid w:val="00086CF8"/>
    <w:rsid w:val="00090233"/>
    <w:rsid w:val="00090716"/>
    <w:rsid w:val="000B7E90"/>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361A0"/>
    <w:rsid w:val="00251F97"/>
    <w:rsid w:val="002669FF"/>
    <w:rsid w:val="00273ED8"/>
    <w:rsid w:val="0029133C"/>
    <w:rsid w:val="002E344E"/>
    <w:rsid w:val="00301FBA"/>
    <w:rsid w:val="00320E77"/>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61D28"/>
    <w:rsid w:val="00576A98"/>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77866"/>
    <w:rsid w:val="006A0527"/>
    <w:rsid w:val="006A4895"/>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4595E"/>
    <w:rsid w:val="009907C2"/>
    <w:rsid w:val="009A1C7F"/>
    <w:rsid w:val="009A6837"/>
    <w:rsid w:val="009A78CD"/>
    <w:rsid w:val="009B4E02"/>
    <w:rsid w:val="00A1462D"/>
    <w:rsid w:val="00A17F19"/>
    <w:rsid w:val="00A94ACA"/>
    <w:rsid w:val="00AC24B3"/>
    <w:rsid w:val="00AE0A0B"/>
    <w:rsid w:val="00AE31FD"/>
    <w:rsid w:val="00AE69AC"/>
    <w:rsid w:val="00B069D4"/>
    <w:rsid w:val="00B114BA"/>
    <w:rsid w:val="00B13EC7"/>
    <w:rsid w:val="00B37132"/>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F357D"/>
    <w:rsid w:val="00F0666A"/>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Jennifer Dwyer</cp:lastModifiedBy>
  <cp:revision>2</cp:revision>
  <dcterms:created xsi:type="dcterms:W3CDTF">2018-01-11T21:39:00Z</dcterms:created>
  <dcterms:modified xsi:type="dcterms:W3CDTF">2018-01-11T21:39:00Z</dcterms:modified>
</cp:coreProperties>
</file>