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770FB" w14:textId="77777777" w:rsidR="001A388F" w:rsidRDefault="004B7D84" w:rsidP="001A388F">
      <w:pPr>
        <w:pStyle w:val="CoverTitle2"/>
      </w:pPr>
      <w:r>
        <w:t xml:space="preserve">Innovative </w:t>
      </w:r>
      <w:r w:rsidR="00D33CE4">
        <w:t>Funding Models for</w:t>
      </w:r>
      <w:r w:rsidR="00AB0685">
        <w:t xml:space="preserve"> Public Transport </w:t>
      </w:r>
      <w:r w:rsidR="00D33CE4">
        <w:t>in Australia</w:t>
      </w:r>
      <w:bookmarkStart w:id="0" w:name="_GoBack"/>
      <w:bookmarkEnd w:id="0"/>
    </w:p>
    <w:p w14:paraId="7FB5F5A4" w14:textId="25AD42DB" w:rsidR="00F14E12" w:rsidRPr="0017455E" w:rsidRDefault="00A713E0" w:rsidP="00EC2E52">
      <w:pPr>
        <w:pStyle w:val="ReportVersion"/>
        <w:ind w:right="0"/>
      </w:pPr>
      <w:r w:rsidRPr="00A713E0">
        <w:rPr>
          <w:noProof/>
          <w:lang w:val="en-US" w:eastAsia="en-US"/>
        </w:rPr>
        <w:drawing>
          <wp:anchor distT="0" distB="0" distL="114300" distR="114300" simplePos="0" relativeHeight="251673600" behindDoc="1" locked="1" layoutInCell="1" allowOverlap="1" wp14:anchorId="1E2F746C" wp14:editId="1D920883">
            <wp:simplePos x="0" y="0"/>
            <wp:positionH relativeFrom="column">
              <wp:posOffset>-1092983</wp:posOffset>
            </wp:positionH>
            <wp:positionV relativeFrom="margin">
              <wp:posOffset>1637414</wp:posOffset>
            </wp:positionV>
            <wp:extent cx="7625760" cy="8601739"/>
            <wp:effectExtent l="19050" t="0" r="0" b="0"/>
            <wp:wrapNone/>
            <wp:docPr id="10" name="Picture 14" descr="Report Template cov big_0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Template cov big_030212.jpg"/>
                    <pic:cNvPicPr/>
                  </pic:nvPicPr>
                  <pic:blipFill>
                    <a:blip r:embed="rId9" cstate="email">
                      <a:extLst>
                        <a:ext uri="{28A0092B-C50C-407E-A947-70E740481C1C}">
                          <a14:useLocalDpi xmlns:a14="http://schemas.microsoft.com/office/drawing/2010/main"/>
                        </a:ext>
                      </a:extLst>
                    </a:blip>
                    <a:stretch>
                      <a:fillRect/>
                    </a:stretch>
                  </pic:blipFill>
                  <pic:spPr>
                    <a:xfrm>
                      <a:off x="0" y="0"/>
                      <a:ext cx="7625760" cy="8601739"/>
                    </a:xfrm>
                    <a:prstGeom prst="rect">
                      <a:avLst/>
                    </a:prstGeom>
                    <a:extLst>
                      <a:ext uri="{FAA26D3D-D897-4be2-8F04-BA451C77F1D7}">
                        <ma14:placeholderFlag xmlns:ma14="http://schemas.microsoft.com/office/mac/drawingml/2011/main"/>
                      </a:ext>
                    </a:extLst>
                  </pic:spPr>
                </pic:pic>
              </a:graphicData>
            </a:graphic>
          </wp:anchor>
        </w:drawing>
      </w:r>
      <w:r w:rsidR="00015DC0">
        <w:rPr>
          <w:noProof/>
          <w:lang w:val="en-AU" w:eastAsia="en-AU"/>
        </w:rPr>
        <w:t xml:space="preserve">Final </w:t>
      </w:r>
      <w:r w:rsidR="00A824A3">
        <w:rPr>
          <w:noProof/>
          <w:lang w:val="en-AU" w:eastAsia="en-AU"/>
        </w:rPr>
        <w:t>Report</w:t>
      </w:r>
    </w:p>
    <w:p w14:paraId="029D9815" w14:textId="5B833F59" w:rsidR="00F14E12" w:rsidRPr="0017455E" w:rsidRDefault="00AB0685" w:rsidP="00EC2E52">
      <w:pPr>
        <w:pStyle w:val="DONOTUSEClientName"/>
        <w:ind w:right="0"/>
      </w:pPr>
      <w:r>
        <w:t>Rail</w:t>
      </w:r>
      <w:r w:rsidR="005E7125">
        <w:t xml:space="preserve">, </w:t>
      </w:r>
      <w:r>
        <w:t>Tram</w:t>
      </w:r>
      <w:r w:rsidR="005E7125">
        <w:t xml:space="preserve"> and </w:t>
      </w:r>
      <w:r>
        <w:t>Bus Union</w:t>
      </w:r>
      <w:r w:rsidR="00EC1019">
        <w:t xml:space="preserve"> Australia (RTBU Australia)</w:t>
      </w:r>
    </w:p>
    <w:p w14:paraId="72E008B6" w14:textId="77777777" w:rsidR="00F14E12" w:rsidRPr="0017455E" w:rsidRDefault="006329CE" w:rsidP="00EC2E52">
      <w:pPr>
        <w:pStyle w:val="ClientMonthYear"/>
        <w:ind w:right="0"/>
      </w:pPr>
      <w:r>
        <w:t xml:space="preserve">September </w:t>
      </w:r>
      <w:r w:rsidR="00AB0685">
        <w:t xml:space="preserve">2015 </w:t>
      </w:r>
    </w:p>
    <w:p w14:paraId="17BB18F8" w14:textId="77777777" w:rsidR="00F14E12" w:rsidRDefault="00F14E12" w:rsidP="00EC2E52">
      <w:pPr>
        <w:sectPr w:rsidR="00F14E12" w:rsidSect="009C3B43">
          <w:headerReference w:type="default" r:id="rId10"/>
          <w:footerReference w:type="default" r:id="rId11"/>
          <w:pgSz w:w="11906" w:h="16838"/>
          <w:pgMar w:top="1701" w:right="1701" w:bottom="1440" w:left="1701" w:header="709" w:footer="709" w:gutter="0"/>
          <w:cols w:space="708"/>
          <w:docGrid w:linePitch="360"/>
        </w:sectPr>
      </w:pPr>
    </w:p>
    <w:p w14:paraId="7FB9AD65" w14:textId="77777777" w:rsidR="00F14E12" w:rsidRDefault="00F14E12" w:rsidP="00EC2E52">
      <w:pPr>
        <w:pStyle w:val="Disclaimer"/>
      </w:pPr>
    </w:p>
    <w:p w14:paraId="113DEA97" w14:textId="77777777" w:rsidR="00F14E12" w:rsidRDefault="00F14E12" w:rsidP="00EC2E52">
      <w:pPr>
        <w:pStyle w:val="Disclaimer"/>
      </w:pPr>
    </w:p>
    <w:p w14:paraId="0F5D4FBE" w14:textId="77777777" w:rsidR="00F14E12" w:rsidRDefault="00F14E12" w:rsidP="00EC2E52">
      <w:pPr>
        <w:pStyle w:val="Disclaimer"/>
      </w:pPr>
    </w:p>
    <w:p w14:paraId="09C8D7EF" w14:textId="77777777" w:rsidR="00F14E12" w:rsidRDefault="00F14E12" w:rsidP="00EC2E52">
      <w:pPr>
        <w:pStyle w:val="Disclaimer"/>
      </w:pPr>
    </w:p>
    <w:p w14:paraId="7910B03B" w14:textId="77777777" w:rsidR="00F14E12" w:rsidRDefault="00F14E12" w:rsidP="00EC2E52">
      <w:pPr>
        <w:pStyle w:val="Disclaimer"/>
      </w:pPr>
    </w:p>
    <w:p w14:paraId="1045C16C" w14:textId="77777777" w:rsidR="00F14E12" w:rsidRDefault="00F14E12" w:rsidP="00EC2E52">
      <w:pPr>
        <w:pStyle w:val="Disclaimer"/>
      </w:pPr>
    </w:p>
    <w:p w14:paraId="5F19F49F" w14:textId="77777777" w:rsidR="00F14E12" w:rsidRDefault="00F14E12" w:rsidP="00EC2E52">
      <w:pPr>
        <w:pStyle w:val="Disclaimer"/>
      </w:pPr>
    </w:p>
    <w:p w14:paraId="01CA4DEF" w14:textId="77777777" w:rsidR="00F14E12" w:rsidRDefault="00F14E12" w:rsidP="00EC2E52">
      <w:pPr>
        <w:pStyle w:val="Disclaimer"/>
      </w:pPr>
    </w:p>
    <w:p w14:paraId="491C78F4" w14:textId="77777777" w:rsidR="00F14E12" w:rsidRDefault="00F14E12" w:rsidP="00EC2E52">
      <w:pPr>
        <w:pStyle w:val="Disclaimer"/>
      </w:pPr>
    </w:p>
    <w:p w14:paraId="64590C25" w14:textId="77777777" w:rsidR="00F14E12" w:rsidRDefault="00F14E12" w:rsidP="00EC2E52">
      <w:pPr>
        <w:pStyle w:val="Disclaimer"/>
      </w:pPr>
    </w:p>
    <w:p w14:paraId="4733E0AD" w14:textId="77777777" w:rsidR="00F14E12" w:rsidRDefault="00F14E12" w:rsidP="00EC2E52">
      <w:pPr>
        <w:pStyle w:val="Disclaimer"/>
      </w:pPr>
    </w:p>
    <w:p w14:paraId="2C3F22A4" w14:textId="77777777" w:rsidR="00F14E12" w:rsidRDefault="00F14E12" w:rsidP="00EC2E52">
      <w:pPr>
        <w:pStyle w:val="Disclaimer"/>
      </w:pPr>
    </w:p>
    <w:p w14:paraId="0D20C699" w14:textId="77777777" w:rsidR="00F14E12" w:rsidRDefault="00F14E12" w:rsidP="00EC2E52">
      <w:pPr>
        <w:pStyle w:val="Disclaimer"/>
      </w:pPr>
    </w:p>
    <w:p w14:paraId="3D6F86F7" w14:textId="77777777" w:rsidR="00F14E12" w:rsidRDefault="00F14E12" w:rsidP="00EC2E52">
      <w:pPr>
        <w:pStyle w:val="Disclaimer"/>
      </w:pPr>
    </w:p>
    <w:p w14:paraId="7A999216" w14:textId="77777777" w:rsidR="00F14E12" w:rsidRDefault="00F14E12" w:rsidP="00EC2E52">
      <w:pPr>
        <w:pStyle w:val="Disclaimer"/>
      </w:pPr>
    </w:p>
    <w:p w14:paraId="70864675" w14:textId="77777777" w:rsidR="00F14E12" w:rsidRDefault="00F14E12" w:rsidP="00EC2E52">
      <w:pPr>
        <w:pStyle w:val="Disclaimer"/>
      </w:pPr>
    </w:p>
    <w:p w14:paraId="6A49E911" w14:textId="77777777" w:rsidR="00F14E12" w:rsidRDefault="00F14E12" w:rsidP="00EC2E52">
      <w:pPr>
        <w:pStyle w:val="Disclaimer"/>
      </w:pPr>
    </w:p>
    <w:p w14:paraId="307F270A" w14:textId="77777777" w:rsidR="00F14E12" w:rsidRDefault="00F14E12" w:rsidP="00EC2E52">
      <w:pPr>
        <w:pStyle w:val="Disclaimer"/>
      </w:pPr>
    </w:p>
    <w:p w14:paraId="190979C3" w14:textId="77777777" w:rsidR="00F14E12" w:rsidRDefault="00F14E12" w:rsidP="00EC2E52">
      <w:pPr>
        <w:pStyle w:val="Disclaimer"/>
      </w:pPr>
    </w:p>
    <w:p w14:paraId="1B90DA20" w14:textId="77777777" w:rsidR="00F14E12" w:rsidRDefault="00F14E12" w:rsidP="00EC2E52">
      <w:pPr>
        <w:pStyle w:val="Disclaimer"/>
      </w:pPr>
    </w:p>
    <w:p w14:paraId="1F0CBE84" w14:textId="77777777" w:rsidR="00F14E12" w:rsidRDefault="00F14E12" w:rsidP="00EC2E52">
      <w:pPr>
        <w:pStyle w:val="Disclaimer"/>
      </w:pPr>
    </w:p>
    <w:p w14:paraId="46F58CF8" w14:textId="77777777" w:rsidR="00F14E12" w:rsidRDefault="00F14E12" w:rsidP="00EC2E52">
      <w:pPr>
        <w:pStyle w:val="Disclaimer"/>
      </w:pPr>
    </w:p>
    <w:p w14:paraId="552DD6B7" w14:textId="77777777" w:rsidR="00F14E12" w:rsidRDefault="00F14E12" w:rsidP="00EC2E52">
      <w:pPr>
        <w:pStyle w:val="Disclaimer"/>
      </w:pPr>
    </w:p>
    <w:p w14:paraId="5A931567" w14:textId="77777777" w:rsidR="00F14E12" w:rsidRDefault="00F14E12" w:rsidP="00EC2E52">
      <w:pPr>
        <w:pStyle w:val="Disclaimer"/>
      </w:pPr>
    </w:p>
    <w:p w14:paraId="57A8F1F9" w14:textId="77777777" w:rsidR="00F14E12" w:rsidRDefault="00F14E12" w:rsidP="00EC2E52">
      <w:pPr>
        <w:pStyle w:val="Disclaimer"/>
      </w:pPr>
    </w:p>
    <w:p w14:paraId="0757CA55" w14:textId="77777777" w:rsidR="00F14E12" w:rsidRDefault="00F14E12" w:rsidP="00EC2E52">
      <w:pPr>
        <w:pStyle w:val="Disclaimer"/>
      </w:pPr>
    </w:p>
    <w:p w14:paraId="4DF9CF6F" w14:textId="77777777" w:rsidR="00F14E12" w:rsidRDefault="00F14E12" w:rsidP="00EC2E52">
      <w:pPr>
        <w:pStyle w:val="Disclaimer"/>
      </w:pPr>
    </w:p>
    <w:p w14:paraId="0397A3C7" w14:textId="77777777" w:rsidR="00F14E12" w:rsidRDefault="00F14E12" w:rsidP="00EC2E52">
      <w:pPr>
        <w:pStyle w:val="Disclaimer"/>
      </w:pPr>
    </w:p>
    <w:p w14:paraId="6B72C396" w14:textId="77777777" w:rsidR="00F14E12" w:rsidRDefault="00F14E12" w:rsidP="00EC2E52">
      <w:pPr>
        <w:pStyle w:val="Disclaimer"/>
        <w:jc w:val="right"/>
      </w:pPr>
    </w:p>
    <w:p w14:paraId="2CC63779" w14:textId="77777777" w:rsidR="00F14E12" w:rsidRDefault="00F14E12" w:rsidP="00EC2E52">
      <w:pPr>
        <w:pStyle w:val="Disclaimer"/>
        <w:jc w:val="right"/>
      </w:pPr>
    </w:p>
    <w:p w14:paraId="4B4AD8AD" w14:textId="77777777" w:rsidR="00F14E12" w:rsidRDefault="00F14E12" w:rsidP="00EC2E52">
      <w:pPr>
        <w:pStyle w:val="Disclaimer"/>
      </w:pPr>
    </w:p>
    <w:p w14:paraId="116735C6" w14:textId="77777777" w:rsidR="00F14E12" w:rsidRDefault="00F14E12" w:rsidP="00EC2E52">
      <w:pPr>
        <w:pStyle w:val="Disclaimer"/>
      </w:pPr>
    </w:p>
    <w:p w14:paraId="3F86A700" w14:textId="77777777" w:rsidR="00F14E12" w:rsidRDefault="00F14E12" w:rsidP="00EC2E52">
      <w:pPr>
        <w:pStyle w:val="Disclaimer"/>
      </w:pPr>
    </w:p>
    <w:p w14:paraId="2BC17C13" w14:textId="77777777" w:rsidR="00F14E12" w:rsidRDefault="00F14E12" w:rsidP="00EC2E52">
      <w:pPr>
        <w:pStyle w:val="Disclaimer"/>
      </w:pPr>
    </w:p>
    <w:p w14:paraId="38C1ACE9" w14:textId="77777777" w:rsidR="00F14E12" w:rsidRDefault="00CA666F" w:rsidP="00EC2E52">
      <w:pPr>
        <w:pStyle w:val="Disclaimer"/>
      </w:pPr>
      <w:r w:rsidRPr="00CA666F">
        <w:rPr>
          <w:lang w:val="en-US" w:eastAsia="en-US"/>
        </w:rPr>
        <w:drawing>
          <wp:inline distT="0" distB="0" distL="0" distR="0" wp14:anchorId="065D42B0" wp14:editId="42D41D26">
            <wp:extent cx="2351314" cy="506819"/>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thTagline_Outlined_120411.emf"/>
                    <pic:cNvPicPr/>
                  </pic:nvPicPr>
                  <pic:blipFill rotWithShape="1">
                    <a:blip r:embed="rId12" cstate="email">
                      <a:extLst>
                        <a:ext uri="{28A0092B-C50C-407E-A947-70E740481C1C}">
                          <a14:useLocalDpi xmlns:a14="http://schemas.microsoft.com/office/drawing/2010/main"/>
                        </a:ext>
                      </a:extLst>
                    </a:blip>
                    <a:srcRect l="19845" t="40596" r="17406" b="40282"/>
                    <a:stretch/>
                  </pic:blipFill>
                  <pic:spPr bwMode="auto">
                    <a:xfrm>
                      <a:off x="0" y="0"/>
                      <a:ext cx="2370122" cy="510873"/>
                    </a:xfrm>
                    <a:prstGeom prst="rect">
                      <a:avLst/>
                    </a:prstGeom>
                    <a:ln>
                      <a:noFill/>
                    </a:ln>
                    <a:extLst>
                      <a:ext uri="{53640926-AAD7-44d8-BBD7-CCE9431645EC}">
                        <a14:shadowObscured xmlns:a14="http://schemas.microsoft.com/office/drawing/2010/main"/>
                      </a:ext>
                    </a:extLst>
                  </pic:spPr>
                </pic:pic>
              </a:graphicData>
            </a:graphic>
          </wp:inline>
        </w:drawing>
      </w:r>
    </w:p>
    <w:p w14:paraId="79132F79" w14:textId="77777777" w:rsidR="00CA666F" w:rsidRDefault="00CA666F" w:rsidP="00CA666F">
      <w:pPr>
        <w:pStyle w:val="Disclaimer"/>
        <w:ind w:left="0"/>
      </w:pPr>
    </w:p>
    <w:p w14:paraId="70112413" w14:textId="77777777" w:rsidR="00F14E12" w:rsidRDefault="00F14E12" w:rsidP="00EC2E52">
      <w:pPr>
        <w:pStyle w:val="Disclaimer"/>
      </w:pPr>
    </w:p>
    <w:p w14:paraId="5CA1D520" w14:textId="77777777" w:rsidR="00F14E12" w:rsidRDefault="00F14E12" w:rsidP="00EC2E52">
      <w:pPr>
        <w:pStyle w:val="Disclaimer"/>
      </w:pPr>
    </w:p>
    <w:p w14:paraId="477A1FF1" w14:textId="77777777" w:rsidR="00F14E12" w:rsidRDefault="00F14E12" w:rsidP="00EC2E52">
      <w:pPr>
        <w:pStyle w:val="Disclaimer"/>
      </w:pPr>
    </w:p>
    <w:p w14:paraId="332828EF" w14:textId="77777777" w:rsidR="00F14E12" w:rsidRPr="00972640" w:rsidRDefault="00F14E12" w:rsidP="00C02FF5">
      <w:pPr>
        <w:pStyle w:val="Disclaimer"/>
        <w:rPr>
          <w:color w:val="76B900" w:themeColor="accent2"/>
        </w:rPr>
      </w:pPr>
    </w:p>
    <w:p w14:paraId="26B71E22" w14:textId="40600D10" w:rsidR="005B1734" w:rsidRPr="00972640" w:rsidRDefault="005B1734" w:rsidP="00EC2E52">
      <w:pPr>
        <w:pStyle w:val="Disclaimer"/>
        <w:rPr>
          <w:color w:val="76B900" w:themeColor="accent2"/>
        </w:rPr>
      </w:pPr>
      <w:r w:rsidRPr="00972640">
        <w:rPr>
          <w:color w:val="76B900" w:themeColor="accent2"/>
        </w:rPr>
        <w:t xml:space="preserve">This report has been prepared for </w:t>
      </w:r>
      <w:r w:rsidR="0063551F">
        <w:rPr>
          <w:color w:val="76B900" w:themeColor="accent2"/>
        </w:rPr>
        <w:t>the Rail, Tram and Bus Union Australia (</w:t>
      </w:r>
      <w:r w:rsidR="00184C79">
        <w:fldChar w:fldCharType="begin"/>
      </w:r>
      <w:r w:rsidR="00184C79">
        <w:instrText xml:space="preserve"> STYLEREF  "DO NOT USE Client Name"  \* MERGEFORMAT </w:instrText>
      </w:r>
      <w:r w:rsidR="00184C79">
        <w:fldChar w:fldCharType="separate"/>
      </w:r>
      <w:r w:rsidR="00184C79" w:rsidRPr="00184C79">
        <w:rPr>
          <w:color w:val="76B900" w:themeColor="accent2"/>
        </w:rPr>
        <w:t>Rail</w:t>
      </w:r>
      <w:r w:rsidR="00184C79">
        <w:t>, Tram and Bus Union Australia (RTBU Australia)</w:t>
      </w:r>
      <w:r w:rsidR="00184C79">
        <w:fldChar w:fldCharType="end"/>
      </w:r>
      <w:r w:rsidR="00245FAA">
        <w:rPr>
          <w:color w:val="76B900" w:themeColor="accent2"/>
        </w:rPr>
        <w:t>.</w:t>
      </w:r>
      <w:r w:rsidRPr="00972640">
        <w:rPr>
          <w:color w:val="76B900" w:themeColor="accent2"/>
        </w:rPr>
        <w:t xml:space="preserve"> SGS Economics and Planning has taken all due care in the preparation of this report.  However, SGS and its associated consultants are not liable to any person or entity for any damage or loss that has occurred, or may occur, in relation to that person or entity taking or not taking action in respect of any representation, statement, opinion or advice referred to herein.</w:t>
      </w:r>
    </w:p>
    <w:p w14:paraId="5A0BD8DD" w14:textId="77777777" w:rsidR="00F14E12" w:rsidRPr="00972640" w:rsidRDefault="00F14E12" w:rsidP="00EC2E52">
      <w:pPr>
        <w:pStyle w:val="Disclaimer"/>
        <w:rPr>
          <w:color w:val="76B900" w:themeColor="accent2"/>
        </w:rPr>
      </w:pPr>
    </w:p>
    <w:p w14:paraId="138B8050" w14:textId="77777777" w:rsidR="00F14E12" w:rsidRPr="00972640" w:rsidRDefault="00F14E12" w:rsidP="00EC2E52">
      <w:pPr>
        <w:pStyle w:val="Disclaimer"/>
        <w:rPr>
          <w:color w:val="76B900" w:themeColor="accent2"/>
        </w:rPr>
      </w:pPr>
      <w:r w:rsidRPr="00972640">
        <w:rPr>
          <w:color w:val="76B900" w:themeColor="accent2"/>
        </w:rPr>
        <w:t>SGS Economics and Planning Pty Ltd</w:t>
      </w:r>
    </w:p>
    <w:p w14:paraId="69C6315C" w14:textId="77777777" w:rsidR="00F14E12" w:rsidRPr="00972640" w:rsidRDefault="00F14E12" w:rsidP="00EC2E52">
      <w:pPr>
        <w:pStyle w:val="Disclaimer"/>
        <w:rPr>
          <w:color w:val="76B900" w:themeColor="accent2"/>
        </w:rPr>
      </w:pPr>
      <w:r w:rsidRPr="00972640">
        <w:rPr>
          <w:color w:val="76B900" w:themeColor="accent2"/>
        </w:rPr>
        <w:t>ACN 007 437 729</w:t>
      </w:r>
    </w:p>
    <w:p w14:paraId="73608E61" w14:textId="77777777" w:rsidR="00F14E12" w:rsidRPr="00972640" w:rsidRDefault="00184C79" w:rsidP="00EC2E52">
      <w:pPr>
        <w:pStyle w:val="Disclaimer"/>
        <w:rPr>
          <w:color w:val="76B900" w:themeColor="accent2"/>
        </w:rPr>
      </w:pPr>
      <w:hyperlink r:id="rId13" w:history="1">
        <w:r w:rsidR="00F14E12" w:rsidRPr="00972640">
          <w:rPr>
            <w:rStyle w:val="Hyperlink"/>
            <w:color w:val="76B900" w:themeColor="accent2"/>
          </w:rPr>
          <w:t>www.sgsep.com.au</w:t>
        </w:r>
      </w:hyperlink>
    </w:p>
    <w:p w14:paraId="5A431805" w14:textId="77777777" w:rsidR="00F14E12" w:rsidRPr="00972640" w:rsidRDefault="00F14E12" w:rsidP="00EC2E52">
      <w:pPr>
        <w:pStyle w:val="Disclaimer"/>
        <w:rPr>
          <w:color w:val="76B900" w:themeColor="accent2"/>
        </w:rPr>
      </w:pPr>
      <w:r w:rsidRPr="00972640">
        <w:rPr>
          <w:rStyle w:val="Hyperlink"/>
          <w:color w:val="76B900" w:themeColor="accent2"/>
        </w:rPr>
        <w:t xml:space="preserve">Offices in </w:t>
      </w:r>
      <w:r w:rsidR="006F3E62">
        <w:rPr>
          <w:rStyle w:val="Hyperlink"/>
          <w:color w:val="76B900" w:themeColor="accent2"/>
        </w:rPr>
        <w:t>Canberra, Hobart, Melbourne and</w:t>
      </w:r>
      <w:r w:rsidRPr="00972640">
        <w:rPr>
          <w:rStyle w:val="Hyperlink"/>
          <w:color w:val="76B900" w:themeColor="accent2"/>
        </w:rPr>
        <w:t xml:space="preserve"> Sydney</w:t>
      </w:r>
    </w:p>
    <w:p w14:paraId="5AFD7086" w14:textId="77777777" w:rsidR="00F14E12" w:rsidRDefault="00F14E12" w:rsidP="00EC2E52">
      <w:pPr>
        <w:sectPr w:rsidR="00F14E12" w:rsidSect="009C3B43">
          <w:headerReference w:type="default" r:id="rId14"/>
          <w:pgSz w:w="11906" w:h="16838"/>
          <w:pgMar w:top="1701" w:right="1701" w:bottom="1440" w:left="1701" w:header="709" w:footer="709" w:gutter="0"/>
          <w:cols w:space="708"/>
          <w:docGrid w:linePitch="360"/>
        </w:sectPr>
      </w:pPr>
    </w:p>
    <w:p w14:paraId="47D2B66C" w14:textId="77777777" w:rsidR="007A3A88" w:rsidRPr="00522390" w:rsidRDefault="007A3A88" w:rsidP="007528E7">
      <w:pPr>
        <w:pStyle w:val="TOCHeading"/>
      </w:pPr>
      <w:bookmarkStart w:id="1" w:name="_Toc191650906"/>
      <w:r w:rsidRPr="00522390">
        <w:lastRenderedPageBreak/>
        <w:t>TABLE OF CONTENTS</w:t>
      </w:r>
      <w:bookmarkEnd w:id="1"/>
    </w:p>
    <w:p w14:paraId="015ABBF6" w14:textId="77777777" w:rsidR="00FC2782" w:rsidRDefault="006B008F">
      <w:pPr>
        <w:pStyle w:val="TOC1"/>
        <w:rPr>
          <w:b w:val="0"/>
          <w:caps w:val="0"/>
          <w:color w:val="auto"/>
          <w:kern w:val="0"/>
          <w:sz w:val="22"/>
          <w:szCs w:val="22"/>
          <w:lang w:val="en-AU" w:eastAsia="ja-JP"/>
        </w:rPr>
      </w:pPr>
      <w:r w:rsidRPr="008950FC">
        <w:rPr>
          <w:rStyle w:val="Hyperlink"/>
          <w:sz w:val="20"/>
        </w:rPr>
        <w:fldChar w:fldCharType="begin"/>
      </w:r>
      <w:r w:rsidR="009B0E60" w:rsidRPr="008950FC">
        <w:rPr>
          <w:rStyle w:val="Hyperlink"/>
          <w:sz w:val="20"/>
        </w:rPr>
        <w:instrText xml:space="preserve"> TOC \o "1-3" \h \z \u </w:instrText>
      </w:r>
      <w:r w:rsidRPr="008950FC">
        <w:rPr>
          <w:rStyle w:val="Hyperlink"/>
          <w:sz w:val="20"/>
        </w:rPr>
        <w:fldChar w:fldCharType="separate"/>
      </w:r>
      <w:hyperlink w:anchor="_Toc430896822" w:history="1">
        <w:r w:rsidR="00FC2782" w:rsidRPr="00F7643A">
          <w:rPr>
            <w:rStyle w:val="Hyperlink"/>
          </w:rPr>
          <w:t>EXECUTIVE SUMMARY</w:t>
        </w:r>
        <w:r w:rsidR="00FC2782">
          <w:rPr>
            <w:webHidden/>
          </w:rPr>
          <w:tab/>
        </w:r>
        <w:r w:rsidR="00FC2782">
          <w:rPr>
            <w:webHidden/>
          </w:rPr>
          <w:fldChar w:fldCharType="begin"/>
        </w:r>
        <w:r w:rsidR="00FC2782">
          <w:rPr>
            <w:webHidden/>
          </w:rPr>
          <w:instrText xml:space="preserve"> PAGEREF _Toc430896822 \h </w:instrText>
        </w:r>
        <w:r w:rsidR="00FC2782">
          <w:rPr>
            <w:webHidden/>
          </w:rPr>
        </w:r>
        <w:r w:rsidR="00FC2782">
          <w:rPr>
            <w:webHidden/>
          </w:rPr>
          <w:fldChar w:fldCharType="separate"/>
        </w:r>
        <w:r w:rsidR="00184C79">
          <w:rPr>
            <w:webHidden/>
          </w:rPr>
          <w:t>3</w:t>
        </w:r>
        <w:r w:rsidR="00FC2782">
          <w:rPr>
            <w:webHidden/>
          </w:rPr>
          <w:fldChar w:fldCharType="end"/>
        </w:r>
      </w:hyperlink>
    </w:p>
    <w:p w14:paraId="10E97595" w14:textId="77777777" w:rsidR="00FC2782" w:rsidRDefault="00184C79">
      <w:pPr>
        <w:pStyle w:val="TOC1"/>
        <w:rPr>
          <w:b w:val="0"/>
          <w:caps w:val="0"/>
          <w:color w:val="auto"/>
          <w:kern w:val="0"/>
          <w:sz w:val="22"/>
          <w:szCs w:val="22"/>
          <w:lang w:val="en-AU" w:eastAsia="ja-JP"/>
        </w:rPr>
      </w:pPr>
      <w:hyperlink w:anchor="_Toc430896823" w:history="1">
        <w:r w:rsidR="00FC2782" w:rsidRPr="00F7643A">
          <w:rPr>
            <w:rStyle w:val="Hyperlink"/>
          </w:rPr>
          <w:t>1</w:t>
        </w:r>
        <w:r w:rsidR="00FC2782">
          <w:rPr>
            <w:b w:val="0"/>
            <w:caps w:val="0"/>
            <w:color w:val="auto"/>
            <w:kern w:val="0"/>
            <w:sz w:val="22"/>
            <w:szCs w:val="22"/>
            <w:lang w:val="en-AU" w:eastAsia="ja-JP"/>
          </w:rPr>
          <w:tab/>
        </w:r>
        <w:r w:rsidR="00FC2782" w:rsidRPr="00F7643A">
          <w:rPr>
            <w:rStyle w:val="Hyperlink"/>
          </w:rPr>
          <w:t>Introduction</w:t>
        </w:r>
        <w:r w:rsidR="00FC2782">
          <w:rPr>
            <w:webHidden/>
          </w:rPr>
          <w:tab/>
        </w:r>
        <w:r w:rsidR="00FC2782">
          <w:rPr>
            <w:webHidden/>
          </w:rPr>
          <w:fldChar w:fldCharType="begin"/>
        </w:r>
        <w:r w:rsidR="00FC2782">
          <w:rPr>
            <w:webHidden/>
          </w:rPr>
          <w:instrText xml:space="preserve"> PAGEREF _Toc430896823 \h </w:instrText>
        </w:r>
        <w:r w:rsidR="00FC2782">
          <w:rPr>
            <w:webHidden/>
          </w:rPr>
        </w:r>
        <w:r w:rsidR="00FC2782">
          <w:rPr>
            <w:webHidden/>
          </w:rPr>
          <w:fldChar w:fldCharType="separate"/>
        </w:r>
        <w:r>
          <w:rPr>
            <w:webHidden/>
          </w:rPr>
          <w:t>6</w:t>
        </w:r>
        <w:r w:rsidR="00FC2782">
          <w:rPr>
            <w:webHidden/>
          </w:rPr>
          <w:fldChar w:fldCharType="end"/>
        </w:r>
      </w:hyperlink>
    </w:p>
    <w:p w14:paraId="675084DB" w14:textId="77777777" w:rsidR="00FC2782" w:rsidRDefault="00184C79">
      <w:pPr>
        <w:pStyle w:val="TOC2"/>
        <w:rPr>
          <w:color w:val="auto"/>
          <w:kern w:val="0"/>
          <w:sz w:val="22"/>
          <w:szCs w:val="22"/>
          <w:lang w:val="en-AU" w:eastAsia="ja-JP"/>
        </w:rPr>
      </w:pPr>
      <w:hyperlink w:anchor="_Toc430896824" w:history="1">
        <w:r w:rsidR="00FC2782" w:rsidRPr="00F7643A">
          <w:rPr>
            <w:rStyle w:val="Hyperlink"/>
          </w:rPr>
          <w:t>1.1</w:t>
        </w:r>
        <w:r w:rsidR="00FC2782">
          <w:rPr>
            <w:color w:val="auto"/>
            <w:kern w:val="0"/>
            <w:sz w:val="22"/>
            <w:szCs w:val="22"/>
            <w:lang w:val="en-AU" w:eastAsia="ja-JP"/>
          </w:rPr>
          <w:tab/>
        </w:r>
        <w:r w:rsidR="00FC2782" w:rsidRPr="00F7643A">
          <w:rPr>
            <w:rStyle w:val="Hyperlink"/>
          </w:rPr>
          <w:t>Project objectives</w:t>
        </w:r>
        <w:r w:rsidR="00FC2782">
          <w:rPr>
            <w:webHidden/>
          </w:rPr>
          <w:tab/>
        </w:r>
        <w:r w:rsidR="00FC2782">
          <w:rPr>
            <w:webHidden/>
          </w:rPr>
          <w:fldChar w:fldCharType="begin"/>
        </w:r>
        <w:r w:rsidR="00FC2782">
          <w:rPr>
            <w:webHidden/>
          </w:rPr>
          <w:instrText xml:space="preserve"> PAGEREF _Toc430896824 \h </w:instrText>
        </w:r>
        <w:r w:rsidR="00FC2782">
          <w:rPr>
            <w:webHidden/>
          </w:rPr>
        </w:r>
        <w:r w:rsidR="00FC2782">
          <w:rPr>
            <w:webHidden/>
          </w:rPr>
          <w:fldChar w:fldCharType="separate"/>
        </w:r>
        <w:r>
          <w:rPr>
            <w:webHidden/>
          </w:rPr>
          <w:t>6</w:t>
        </w:r>
        <w:r w:rsidR="00FC2782">
          <w:rPr>
            <w:webHidden/>
          </w:rPr>
          <w:fldChar w:fldCharType="end"/>
        </w:r>
      </w:hyperlink>
    </w:p>
    <w:p w14:paraId="1705C5F3" w14:textId="77777777" w:rsidR="00FC2782" w:rsidRDefault="00184C79">
      <w:pPr>
        <w:pStyle w:val="TOC2"/>
        <w:rPr>
          <w:color w:val="auto"/>
          <w:kern w:val="0"/>
          <w:sz w:val="22"/>
          <w:szCs w:val="22"/>
          <w:lang w:val="en-AU" w:eastAsia="ja-JP"/>
        </w:rPr>
      </w:pPr>
      <w:hyperlink w:anchor="_Toc430896825" w:history="1">
        <w:r w:rsidR="00FC2782" w:rsidRPr="00F7643A">
          <w:rPr>
            <w:rStyle w:val="Hyperlink"/>
          </w:rPr>
          <w:t>1.2</w:t>
        </w:r>
        <w:r w:rsidR="00FC2782">
          <w:rPr>
            <w:color w:val="auto"/>
            <w:kern w:val="0"/>
            <w:sz w:val="22"/>
            <w:szCs w:val="22"/>
            <w:lang w:val="en-AU" w:eastAsia="ja-JP"/>
          </w:rPr>
          <w:tab/>
        </w:r>
        <w:r w:rsidR="00FC2782" w:rsidRPr="00F7643A">
          <w:rPr>
            <w:rStyle w:val="Hyperlink"/>
          </w:rPr>
          <w:t>Structure of report</w:t>
        </w:r>
        <w:r w:rsidR="00FC2782">
          <w:rPr>
            <w:webHidden/>
          </w:rPr>
          <w:tab/>
        </w:r>
        <w:r w:rsidR="00FC2782">
          <w:rPr>
            <w:webHidden/>
          </w:rPr>
          <w:fldChar w:fldCharType="begin"/>
        </w:r>
        <w:r w:rsidR="00FC2782">
          <w:rPr>
            <w:webHidden/>
          </w:rPr>
          <w:instrText xml:space="preserve"> PAGEREF _Toc430896825 \h </w:instrText>
        </w:r>
        <w:r w:rsidR="00FC2782">
          <w:rPr>
            <w:webHidden/>
          </w:rPr>
        </w:r>
        <w:r w:rsidR="00FC2782">
          <w:rPr>
            <w:webHidden/>
          </w:rPr>
          <w:fldChar w:fldCharType="separate"/>
        </w:r>
        <w:r>
          <w:rPr>
            <w:webHidden/>
          </w:rPr>
          <w:t>6</w:t>
        </w:r>
        <w:r w:rsidR="00FC2782">
          <w:rPr>
            <w:webHidden/>
          </w:rPr>
          <w:fldChar w:fldCharType="end"/>
        </w:r>
      </w:hyperlink>
    </w:p>
    <w:p w14:paraId="5387CB3A" w14:textId="77777777" w:rsidR="00FC2782" w:rsidRDefault="00184C79">
      <w:pPr>
        <w:pStyle w:val="TOC2"/>
        <w:rPr>
          <w:color w:val="auto"/>
          <w:kern w:val="0"/>
          <w:sz w:val="22"/>
          <w:szCs w:val="22"/>
          <w:lang w:val="en-AU" w:eastAsia="ja-JP"/>
        </w:rPr>
      </w:pPr>
      <w:hyperlink w:anchor="_Toc430896826" w:history="1">
        <w:r w:rsidR="00FC2782" w:rsidRPr="00F7643A">
          <w:rPr>
            <w:rStyle w:val="Hyperlink"/>
          </w:rPr>
          <w:t>1.3</w:t>
        </w:r>
        <w:r w:rsidR="00FC2782">
          <w:rPr>
            <w:color w:val="auto"/>
            <w:kern w:val="0"/>
            <w:sz w:val="22"/>
            <w:szCs w:val="22"/>
            <w:lang w:val="en-AU" w:eastAsia="ja-JP"/>
          </w:rPr>
          <w:tab/>
        </w:r>
        <w:r w:rsidR="00FC2782" w:rsidRPr="00F7643A">
          <w:rPr>
            <w:rStyle w:val="Hyperlink"/>
          </w:rPr>
          <w:t>Slideshow summary of report</w:t>
        </w:r>
        <w:r w:rsidR="00FC2782">
          <w:rPr>
            <w:webHidden/>
          </w:rPr>
          <w:tab/>
        </w:r>
        <w:r w:rsidR="00FC2782">
          <w:rPr>
            <w:webHidden/>
          </w:rPr>
          <w:fldChar w:fldCharType="begin"/>
        </w:r>
        <w:r w:rsidR="00FC2782">
          <w:rPr>
            <w:webHidden/>
          </w:rPr>
          <w:instrText xml:space="preserve"> PAGEREF _Toc430896826 \h </w:instrText>
        </w:r>
        <w:r w:rsidR="00FC2782">
          <w:rPr>
            <w:webHidden/>
          </w:rPr>
        </w:r>
        <w:r w:rsidR="00FC2782">
          <w:rPr>
            <w:webHidden/>
          </w:rPr>
          <w:fldChar w:fldCharType="separate"/>
        </w:r>
        <w:r>
          <w:rPr>
            <w:webHidden/>
          </w:rPr>
          <w:t>6</w:t>
        </w:r>
        <w:r w:rsidR="00FC2782">
          <w:rPr>
            <w:webHidden/>
          </w:rPr>
          <w:fldChar w:fldCharType="end"/>
        </w:r>
      </w:hyperlink>
    </w:p>
    <w:p w14:paraId="1B8C42A5" w14:textId="77777777" w:rsidR="00FC2782" w:rsidRDefault="00184C79">
      <w:pPr>
        <w:pStyle w:val="TOC1"/>
        <w:rPr>
          <w:b w:val="0"/>
          <w:caps w:val="0"/>
          <w:color w:val="auto"/>
          <w:kern w:val="0"/>
          <w:sz w:val="22"/>
          <w:szCs w:val="22"/>
          <w:lang w:val="en-AU" w:eastAsia="ja-JP"/>
        </w:rPr>
      </w:pPr>
      <w:hyperlink w:anchor="_Toc430896827" w:history="1">
        <w:r w:rsidR="00FC2782" w:rsidRPr="00F7643A">
          <w:rPr>
            <w:rStyle w:val="Hyperlink"/>
          </w:rPr>
          <w:t>2</w:t>
        </w:r>
        <w:r w:rsidR="00FC2782">
          <w:rPr>
            <w:b w:val="0"/>
            <w:caps w:val="0"/>
            <w:color w:val="auto"/>
            <w:kern w:val="0"/>
            <w:sz w:val="22"/>
            <w:szCs w:val="22"/>
            <w:lang w:val="en-AU" w:eastAsia="ja-JP"/>
          </w:rPr>
          <w:tab/>
        </w:r>
        <w:r w:rsidR="00FC2782" w:rsidRPr="00F7643A">
          <w:rPr>
            <w:rStyle w:val="Hyperlink"/>
          </w:rPr>
          <w:t>Value Capture</w:t>
        </w:r>
        <w:r w:rsidR="00FC2782">
          <w:rPr>
            <w:webHidden/>
          </w:rPr>
          <w:tab/>
        </w:r>
        <w:r w:rsidR="00FC2782">
          <w:rPr>
            <w:webHidden/>
          </w:rPr>
          <w:fldChar w:fldCharType="begin"/>
        </w:r>
        <w:r w:rsidR="00FC2782">
          <w:rPr>
            <w:webHidden/>
          </w:rPr>
          <w:instrText xml:space="preserve"> PAGEREF _Toc430896827 \h </w:instrText>
        </w:r>
        <w:r w:rsidR="00FC2782">
          <w:rPr>
            <w:webHidden/>
          </w:rPr>
        </w:r>
        <w:r w:rsidR="00FC2782">
          <w:rPr>
            <w:webHidden/>
          </w:rPr>
          <w:fldChar w:fldCharType="separate"/>
        </w:r>
        <w:r>
          <w:rPr>
            <w:webHidden/>
          </w:rPr>
          <w:t>7</w:t>
        </w:r>
        <w:r w:rsidR="00FC2782">
          <w:rPr>
            <w:webHidden/>
          </w:rPr>
          <w:fldChar w:fldCharType="end"/>
        </w:r>
      </w:hyperlink>
    </w:p>
    <w:p w14:paraId="6EE56DDC" w14:textId="77777777" w:rsidR="00FC2782" w:rsidRDefault="00184C79">
      <w:pPr>
        <w:pStyle w:val="TOC2"/>
        <w:rPr>
          <w:color w:val="auto"/>
          <w:kern w:val="0"/>
          <w:sz w:val="22"/>
          <w:szCs w:val="22"/>
          <w:lang w:val="en-AU" w:eastAsia="ja-JP"/>
        </w:rPr>
      </w:pPr>
      <w:hyperlink w:anchor="_Toc430896828" w:history="1">
        <w:r w:rsidR="00FC2782" w:rsidRPr="00F7643A">
          <w:rPr>
            <w:rStyle w:val="Hyperlink"/>
          </w:rPr>
          <w:t>2.1</w:t>
        </w:r>
        <w:r w:rsidR="00FC2782">
          <w:rPr>
            <w:color w:val="auto"/>
            <w:kern w:val="0"/>
            <w:sz w:val="22"/>
            <w:szCs w:val="22"/>
            <w:lang w:val="en-AU" w:eastAsia="ja-JP"/>
          </w:rPr>
          <w:tab/>
        </w:r>
        <w:r w:rsidR="00FC2782" w:rsidRPr="00F7643A">
          <w:rPr>
            <w:rStyle w:val="Hyperlink"/>
          </w:rPr>
          <w:t>Forms of Value Capture</w:t>
        </w:r>
        <w:r w:rsidR="00FC2782">
          <w:rPr>
            <w:webHidden/>
          </w:rPr>
          <w:tab/>
        </w:r>
        <w:r w:rsidR="00FC2782">
          <w:rPr>
            <w:webHidden/>
          </w:rPr>
          <w:fldChar w:fldCharType="begin"/>
        </w:r>
        <w:r w:rsidR="00FC2782">
          <w:rPr>
            <w:webHidden/>
          </w:rPr>
          <w:instrText xml:space="preserve"> PAGEREF _Toc430896828 \h </w:instrText>
        </w:r>
        <w:r w:rsidR="00FC2782">
          <w:rPr>
            <w:webHidden/>
          </w:rPr>
        </w:r>
        <w:r w:rsidR="00FC2782">
          <w:rPr>
            <w:webHidden/>
          </w:rPr>
          <w:fldChar w:fldCharType="separate"/>
        </w:r>
        <w:r>
          <w:rPr>
            <w:webHidden/>
          </w:rPr>
          <w:t>7</w:t>
        </w:r>
        <w:r w:rsidR="00FC2782">
          <w:rPr>
            <w:webHidden/>
          </w:rPr>
          <w:fldChar w:fldCharType="end"/>
        </w:r>
      </w:hyperlink>
    </w:p>
    <w:p w14:paraId="72B47A6B" w14:textId="77777777" w:rsidR="00FC2782" w:rsidRDefault="00184C79">
      <w:pPr>
        <w:pStyle w:val="TOC2"/>
        <w:rPr>
          <w:color w:val="auto"/>
          <w:kern w:val="0"/>
          <w:sz w:val="22"/>
          <w:szCs w:val="22"/>
          <w:lang w:val="en-AU" w:eastAsia="ja-JP"/>
        </w:rPr>
      </w:pPr>
      <w:hyperlink w:anchor="_Toc430896829" w:history="1">
        <w:r w:rsidR="00FC2782" w:rsidRPr="00F7643A">
          <w:rPr>
            <w:rStyle w:val="Hyperlink"/>
            <w:lang w:val="en-AU" w:eastAsia="en-US"/>
          </w:rPr>
          <w:t>2.2</w:t>
        </w:r>
        <w:r w:rsidR="00FC2782">
          <w:rPr>
            <w:color w:val="auto"/>
            <w:kern w:val="0"/>
            <w:sz w:val="22"/>
            <w:szCs w:val="22"/>
            <w:lang w:val="en-AU" w:eastAsia="ja-JP"/>
          </w:rPr>
          <w:tab/>
        </w:r>
        <w:r w:rsidR="00FC2782" w:rsidRPr="00F7643A">
          <w:rPr>
            <w:rStyle w:val="Hyperlink"/>
            <w:lang w:val="en-AU" w:eastAsia="en-US"/>
          </w:rPr>
          <w:t>Tax Increment Financing</w:t>
        </w:r>
        <w:r w:rsidR="00FC2782">
          <w:rPr>
            <w:webHidden/>
          </w:rPr>
          <w:tab/>
        </w:r>
        <w:r w:rsidR="00FC2782">
          <w:rPr>
            <w:webHidden/>
          </w:rPr>
          <w:fldChar w:fldCharType="begin"/>
        </w:r>
        <w:r w:rsidR="00FC2782">
          <w:rPr>
            <w:webHidden/>
          </w:rPr>
          <w:instrText xml:space="preserve"> PAGEREF _Toc430896829 \h </w:instrText>
        </w:r>
        <w:r w:rsidR="00FC2782">
          <w:rPr>
            <w:webHidden/>
          </w:rPr>
        </w:r>
        <w:r w:rsidR="00FC2782">
          <w:rPr>
            <w:webHidden/>
          </w:rPr>
          <w:fldChar w:fldCharType="separate"/>
        </w:r>
        <w:r>
          <w:rPr>
            <w:webHidden/>
          </w:rPr>
          <w:t>9</w:t>
        </w:r>
        <w:r w:rsidR="00FC2782">
          <w:rPr>
            <w:webHidden/>
          </w:rPr>
          <w:fldChar w:fldCharType="end"/>
        </w:r>
      </w:hyperlink>
    </w:p>
    <w:p w14:paraId="10C9517C" w14:textId="33098026" w:rsidR="00FC2782" w:rsidRDefault="00184C79">
      <w:pPr>
        <w:pStyle w:val="TOC2"/>
        <w:rPr>
          <w:color w:val="auto"/>
          <w:kern w:val="0"/>
          <w:sz w:val="22"/>
          <w:szCs w:val="22"/>
          <w:lang w:val="en-AU" w:eastAsia="ja-JP"/>
        </w:rPr>
      </w:pPr>
      <w:hyperlink w:anchor="_Toc430896830" w:history="1">
        <w:r w:rsidR="00FC2782" w:rsidRPr="00F7643A">
          <w:rPr>
            <w:rStyle w:val="Hyperlink"/>
          </w:rPr>
          <w:t>2.</w:t>
        </w:r>
        <w:r w:rsidR="00154945">
          <w:rPr>
            <w:rStyle w:val="Hyperlink"/>
          </w:rPr>
          <w:t>3</w:t>
        </w:r>
        <w:r w:rsidR="00FC2782">
          <w:rPr>
            <w:color w:val="auto"/>
            <w:kern w:val="0"/>
            <w:sz w:val="22"/>
            <w:szCs w:val="22"/>
            <w:lang w:val="en-AU" w:eastAsia="ja-JP"/>
          </w:rPr>
          <w:tab/>
        </w:r>
        <w:r w:rsidR="00FC2782" w:rsidRPr="00F7643A">
          <w:rPr>
            <w:rStyle w:val="Hyperlink"/>
          </w:rPr>
          <w:t>The Role of Farebox Revenue</w:t>
        </w:r>
        <w:r w:rsidR="00FC2782">
          <w:rPr>
            <w:webHidden/>
          </w:rPr>
          <w:tab/>
        </w:r>
        <w:r w:rsidR="00FC2782">
          <w:rPr>
            <w:webHidden/>
          </w:rPr>
          <w:fldChar w:fldCharType="begin"/>
        </w:r>
        <w:r w:rsidR="00FC2782">
          <w:rPr>
            <w:webHidden/>
          </w:rPr>
          <w:instrText xml:space="preserve"> PAGEREF _Toc430896830 \h </w:instrText>
        </w:r>
        <w:r w:rsidR="00FC2782">
          <w:rPr>
            <w:webHidden/>
          </w:rPr>
        </w:r>
        <w:r w:rsidR="00FC2782">
          <w:rPr>
            <w:webHidden/>
          </w:rPr>
          <w:fldChar w:fldCharType="separate"/>
        </w:r>
        <w:r>
          <w:rPr>
            <w:webHidden/>
          </w:rPr>
          <w:t>10</w:t>
        </w:r>
        <w:r w:rsidR="00FC2782">
          <w:rPr>
            <w:webHidden/>
          </w:rPr>
          <w:fldChar w:fldCharType="end"/>
        </w:r>
      </w:hyperlink>
    </w:p>
    <w:p w14:paraId="1647CA35" w14:textId="4800A489" w:rsidR="00FC2782" w:rsidRDefault="00184C79">
      <w:pPr>
        <w:pStyle w:val="TOC2"/>
        <w:rPr>
          <w:color w:val="auto"/>
          <w:kern w:val="0"/>
          <w:sz w:val="22"/>
          <w:szCs w:val="22"/>
          <w:lang w:val="en-AU" w:eastAsia="ja-JP"/>
        </w:rPr>
      </w:pPr>
      <w:hyperlink w:anchor="_Toc430896831" w:history="1">
        <w:r w:rsidR="00154945">
          <w:rPr>
            <w:rStyle w:val="Hyperlink"/>
          </w:rPr>
          <w:t>2.4</w:t>
        </w:r>
        <w:r w:rsidR="00FC2782">
          <w:rPr>
            <w:color w:val="auto"/>
            <w:kern w:val="0"/>
            <w:sz w:val="22"/>
            <w:szCs w:val="22"/>
            <w:lang w:val="en-AU" w:eastAsia="ja-JP"/>
          </w:rPr>
          <w:tab/>
        </w:r>
        <w:r w:rsidR="00FC2782" w:rsidRPr="00F7643A">
          <w:rPr>
            <w:rStyle w:val="Hyperlink"/>
          </w:rPr>
          <w:t>Value Capture Framework</w:t>
        </w:r>
        <w:r w:rsidR="00FC2782">
          <w:rPr>
            <w:webHidden/>
          </w:rPr>
          <w:tab/>
        </w:r>
        <w:r w:rsidR="00FC2782">
          <w:rPr>
            <w:webHidden/>
          </w:rPr>
          <w:fldChar w:fldCharType="begin"/>
        </w:r>
        <w:r w:rsidR="00FC2782">
          <w:rPr>
            <w:webHidden/>
          </w:rPr>
          <w:instrText xml:space="preserve"> PAGEREF _Toc430896831 \h </w:instrText>
        </w:r>
        <w:r w:rsidR="00FC2782">
          <w:rPr>
            <w:webHidden/>
          </w:rPr>
        </w:r>
        <w:r w:rsidR="00FC2782">
          <w:rPr>
            <w:webHidden/>
          </w:rPr>
          <w:fldChar w:fldCharType="separate"/>
        </w:r>
        <w:r>
          <w:rPr>
            <w:webHidden/>
          </w:rPr>
          <w:t>11</w:t>
        </w:r>
        <w:r w:rsidR="00FC2782">
          <w:rPr>
            <w:webHidden/>
          </w:rPr>
          <w:fldChar w:fldCharType="end"/>
        </w:r>
      </w:hyperlink>
    </w:p>
    <w:p w14:paraId="5B2503A8" w14:textId="47E6175A" w:rsidR="00FC2782" w:rsidRDefault="00184C79">
      <w:pPr>
        <w:pStyle w:val="TOC2"/>
        <w:rPr>
          <w:color w:val="auto"/>
          <w:kern w:val="0"/>
          <w:sz w:val="22"/>
          <w:szCs w:val="22"/>
          <w:lang w:val="en-AU" w:eastAsia="ja-JP"/>
        </w:rPr>
      </w:pPr>
      <w:hyperlink w:anchor="_Toc430896832" w:history="1">
        <w:r w:rsidR="00154945">
          <w:rPr>
            <w:rStyle w:val="Hyperlink"/>
          </w:rPr>
          <w:t>2.5</w:t>
        </w:r>
        <w:r w:rsidR="00FC2782">
          <w:rPr>
            <w:color w:val="auto"/>
            <w:kern w:val="0"/>
            <w:sz w:val="22"/>
            <w:szCs w:val="22"/>
            <w:lang w:val="en-AU" w:eastAsia="ja-JP"/>
          </w:rPr>
          <w:tab/>
        </w:r>
        <w:r w:rsidR="00FC2782" w:rsidRPr="00F7643A">
          <w:rPr>
            <w:rStyle w:val="Hyperlink"/>
          </w:rPr>
          <w:t>Conclusion</w:t>
        </w:r>
        <w:r w:rsidR="00FC2782">
          <w:rPr>
            <w:webHidden/>
          </w:rPr>
          <w:tab/>
        </w:r>
        <w:r w:rsidR="00FC2782">
          <w:rPr>
            <w:webHidden/>
          </w:rPr>
          <w:fldChar w:fldCharType="begin"/>
        </w:r>
        <w:r w:rsidR="00FC2782">
          <w:rPr>
            <w:webHidden/>
          </w:rPr>
          <w:instrText xml:space="preserve"> PAGEREF _Toc430896832 \h </w:instrText>
        </w:r>
        <w:r w:rsidR="00FC2782">
          <w:rPr>
            <w:webHidden/>
          </w:rPr>
        </w:r>
        <w:r w:rsidR="00FC2782">
          <w:rPr>
            <w:webHidden/>
          </w:rPr>
          <w:fldChar w:fldCharType="separate"/>
        </w:r>
        <w:r>
          <w:rPr>
            <w:webHidden/>
          </w:rPr>
          <w:t>15</w:t>
        </w:r>
        <w:r w:rsidR="00FC2782">
          <w:rPr>
            <w:webHidden/>
          </w:rPr>
          <w:fldChar w:fldCharType="end"/>
        </w:r>
      </w:hyperlink>
    </w:p>
    <w:p w14:paraId="360A2AE9" w14:textId="77777777" w:rsidR="00FC2782" w:rsidRDefault="00184C79">
      <w:pPr>
        <w:pStyle w:val="TOC1"/>
        <w:rPr>
          <w:b w:val="0"/>
          <w:caps w:val="0"/>
          <w:color w:val="auto"/>
          <w:kern w:val="0"/>
          <w:sz w:val="22"/>
          <w:szCs w:val="22"/>
          <w:lang w:val="en-AU" w:eastAsia="ja-JP"/>
        </w:rPr>
      </w:pPr>
      <w:hyperlink w:anchor="_Toc430896833" w:history="1">
        <w:r w:rsidR="00FC2782" w:rsidRPr="00F7643A">
          <w:rPr>
            <w:rStyle w:val="Hyperlink"/>
          </w:rPr>
          <w:t>3</w:t>
        </w:r>
        <w:r w:rsidR="00FC2782">
          <w:rPr>
            <w:b w:val="0"/>
            <w:caps w:val="0"/>
            <w:color w:val="auto"/>
            <w:kern w:val="0"/>
            <w:sz w:val="22"/>
            <w:szCs w:val="22"/>
            <w:lang w:val="en-AU" w:eastAsia="ja-JP"/>
          </w:rPr>
          <w:tab/>
        </w:r>
        <w:r w:rsidR="00FC2782" w:rsidRPr="00F7643A">
          <w:rPr>
            <w:rStyle w:val="Hyperlink"/>
          </w:rPr>
          <w:t>evidence of Uplift in property values</w:t>
        </w:r>
        <w:r w:rsidR="00FC2782">
          <w:rPr>
            <w:webHidden/>
          </w:rPr>
          <w:tab/>
        </w:r>
        <w:r w:rsidR="00FC2782">
          <w:rPr>
            <w:webHidden/>
          </w:rPr>
          <w:fldChar w:fldCharType="begin"/>
        </w:r>
        <w:r w:rsidR="00FC2782">
          <w:rPr>
            <w:webHidden/>
          </w:rPr>
          <w:instrText xml:space="preserve"> PAGEREF _Toc430896833 \h </w:instrText>
        </w:r>
        <w:r w:rsidR="00FC2782">
          <w:rPr>
            <w:webHidden/>
          </w:rPr>
        </w:r>
        <w:r w:rsidR="00FC2782">
          <w:rPr>
            <w:webHidden/>
          </w:rPr>
          <w:fldChar w:fldCharType="separate"/>
        </w:r>
        <w:r>
          <w:rPr>
            <w:webHidden/>
          </w:rPr>
          <w:t>16</w:t>
        </w:r>
        <w:r w:rsidR="00FC2782">
          <w:rPr>
            <w:webHidden/>
          </w:rPr>
          <w:fldChar w:fldCharType="end"/>
        </w:r>
      </w:hyperlink>
    </w:p>
    <w:p w14:paraId="3F1CEF2E" w14:textId="77777777" w:rsidR="00FC2782" w:rsidRDefault="00184C79">
      <w:pPr>
        <w:pStyle w:val="TOC2"/>
        <w:rPr>
          <w:color w:val="auto"/>
          <w:kern w:val="0"/>
          <w:sz w:val="22"/>
          <w:szCs w:val="22"/>
          <w:lang w:val="en-AU" w:eastAsia="ja-JP"/>
        </w:rPr>
      </w:pPr>
      <w:hyperlink w:anchor="_Toc430896834" w:history="1">
        <w:r w:rsidR="00FC2782" w:rsidRPr="00F7643A">
          <w:rPr>
            <w:rStyle w:val="Hyperlink"/>
          </w:rPr>
          <w:t>3.1</w:t>
        </w:r>
        <w:r w:rsidR="00FC2782">
          <w:rPr>
            <w:color w:val="auto"/>
            <w:kern w:val="0"/>
            <w:sz w:val="22"/>
            <w:szCs w:val="22"/>
            <w:lang w:val="en-AU" w:eastAsia="ja-JP"/>
          </w:rPr>
          <w:tab/>
        </w:r>
        <w:r w:rsidR="00FC2782" w:rsidRPr="00F7643A">
          <w:rPr>
            <w:rStyle w:val="Hyperlink"/>
          </w:rPr>
          <w:t>Case Studies - impact of light rail on property values</w:t>
        </w:r>
        <w:r w:rsidR="00FC2782">
          <w:rPr>
            <w:webHidden/>
          </w:rPr>
          <w:tab/>
        </w:r>
        <w:r w:rsidR="00FC2782">
          <w:rPr>
            <w:webHidden/>
          </w:rPr>
          <w:fldChar w:fldCharType="begin"/>
        </w:r>
        <w:r w:rsidR="00FC2782">
          <w:rPr>
            <w:webHidden/>
          </w:rPr>
          <w:instrText xml:space="preserve"> PAGEREF _Toc430896834 \h </w:instrText>
        </w:r>
        <w:r w:rsidR="00FC2782">
          <w:rPr>
            <w:webHidden/>
          </w:rPr>
        </w:r>
        <w:r w:rsidR="00FC2782">
          <w:rPr>
            <w:webHidden/>
          </w:rPr>
          <w:fldChar w:fldCharType="separate"/>
        </w:r>
        <w:r>
          <w:rPr>
            <w:webHidden/>
          </w:rPr>
          <w:t>18</w:t>
        </w:r>
        <w:r w:rsidR="00FC2782">
          <w:rPr>
            <w:webHidden/>
          </w:rPr>
          <w:fldChar w:fldCharType="end"/>
        </w:r>
      </w:hyperlink>
    </w:p>
    <w:p w14:paraId="54109CF0" w14:textId="77777777" w:rsidR="00FC2782" w:rsidRDefault="00184C79">
      <w:pPr>
        <w:pStyle w:val="TOC2"/>
        <w:rPr>
          <w:color w:val="auto"/>
          <w:kern w:val="0"/>
          <w:sz w:val="22"/>
          <w:szCs w:val="22"/>
          <w:lang w:val="en-AU" w:eastAsia="ja-JP"/>
        </w:rPr>
      </w:pPr>
      <w:hyperlink w:anchor="_Toc430896835" w:history="1">
        <w:r w:rsidR="00FC2782" w:rsidRPr="00F7643A">
          <w:rPr>
            <w:rStyle w:val="Hyperlink"/>
            <w:lang w:val="en-AU"/>
          </w:rPr>
          <w:t>3.2</w:t>
        </w:r>
        <w:r w:rsidR="00FC2782">
          <w:rPr>
            <w:color w:val="auto"/>
            <w:kern w:val="0"/>
            <w:sz w:val="22"/>
            <w:szCs w:val="22"/>
            <w:lang w:val="en-AU" w:eastAsia="ja-JP"/>
          </w:rPr>
          <w:tab/>
        </w:r>
        <w:r w:rsidR="00FC2782" w:rsidRPr="00F7643A">
          <w:rPr>
            <w:rStyle w:val="Hyperlink"/>
            <w:lang w:val="en-AU"/>
          </w:rPr>
          <w:t>Swanston Street, Melbourne</w:t>
        </w:r>
        <w:r w:rsidR="00FC2782">
          <w:rPr>
            <w:webHidden/>
          </w:rPr>
          <w:tab/>
        </w:r>
        <w:r w:rsidR="00FC2782">
          <w:rPr>
            <w:webHidden/>
          </w:rPr>
          <w:fldChar w:fldCharType="begin"/>
        </w:r>
        <w:r w:rsidR="00FC2782">
          <w:rPr>
            <w:webHidden/>
          </w:rPr>
          <w:instrText xml:space="preserve"> PAGEREF _Toc430896835 \h </w:instrText>
        </w:r>
        <w:r w:rsidR="00FC2782">
          <w:rPr>
            <w:webHidden/>
          </w:rPr>
        </w:r>
        <w:r w:rsidR="00FC2782">
          <w:rPr>
            <w:webHidden/>
          </w:rPr>
          <w:fldChar w:fldCharType="separate"/>
        </w:r>
        <w:r>
          <w:rPr>
            <w:webHidden/>
          </w:rPr>
          <w:t>19</w:t>
        </w:r>
        <w:r w:rsidR="00FC2782">
          <w:rPr>
            <w:webHidden/>
          </w:rPr>
          <w:fldChar w:fldCharType="end"/>
        </w:r>
      </w:hyperlink>
    </w:p>
    <w:p w14:paraId="1C618C3D" w14:textId="77777777" w:rsidR="00FC2782" w:rsidRDefault="00184C79">
      <w:pPr>
        <w:pStyle w:val="TOC2"/>
        <w:rPr>
          <w:color w:val="auto"/>
          <w:kern w:val="0"/>
          <w:sz w:val="22"/>
          <w:szCs w:val="22"/>
          <w:lang w:val="en-AU" w:eastAsia="ja-JP"/>
        </w:rPr>
      </w:pPr>
      <w:hyperlink w:anchor="_Toc430896836" w:history="1">
        <w:r w:rsidR="00FC2782" w:rsidRPr="00F7643A">
          <w:rPr>
            <w:rStyle w:val="Hyperlink"/>
            <w:lang w:val="en-AU"/>
          </w:rPr>
          <w:t>3.3</w:t>
        </w:r>
        <w:r w:rsidR="00FC2782">
          <w:rPr>
            <w:color w:val="auto"/>
            <w:kern w:val="0"/>
            <w:sz w:val="22"/>
            <w:szCs w:val="22"/>
            <w:lang w:val="en-AU" w:eastAsia="ja-JP"/>
          </w:rPr>
          <w:tab/>
        </w:r>
        <w:r w:rsidR="00FC2782" w:rsidRPr="00F7643A">
          <w:rPr>
            <w:rStyle w:val="Hyperlink"/>
            <w:lang w:val="en-AU"/>
          </w:rPr>
          <w:t>London Docklands Light Rail</w:t>
        </w:r>
        <w:r w:rsidR="00FC2782">
          <w:rPr>
            <w:webHidden/>
          </w:rPr>
          <w:tab/>
        </w:r>
        <w:r w:rsidR="00FC2782">
          <w:rPr>
            <w:webHidden/>
          </w:rPr>
          <w:fldChar w:fldCharType="begin"/>
        </w:r>
        <w:r w:rsidR="00FC2782">
          <w:rPr>
            <w:webHidden/>
          </w:rPr>
          <w:instrText xml:space="preserve"> PAGEREF _Toc430896836 \h </w:instrText>
        </w:r>
        <w:r w:rsidR="00FC2782">
          <w:rPr>
            <w:webHidden/>
          </w:rPr>
        </w:r>
        <w:r w:rsidR="00FC2782">
          <w:rPr>
            <w:webHidden/>
          </w:rPr>
          <w:fldChar w:fldCharType="separate"/>
        </w:r>
        <w:r>
          <w:rPr>
            <w:webHidden/>
          </w:rPr>
          <w:t>20</w:t>
        </w:r>
        <w:r w:rsidR="00FC2782">
          <w:rPr>
            <w:webHidden/>
          </w:rPr>
          <w:fldChar w:fldCharType="end"/>
        </w:r>
      </w:hyperlink>
    </w:p>
    <w:p w14:paraId="654DCCF6" w14:textId="59EE315C" w:rsidR="00FC2782" w:rsidRDefault="00184C79">
      <w:pPr>
        <w:pStyle w:val="TOC2"/>
        <w:rPr>
          <w:color w:val="auto"/>
          <w:kern w:val="0"/>
          <w:sz w:val="22"/>
          <w:szCs w:val="22"/>
          <w:lang w:val="en-AU" w:eastAsia="ja-JP"/>
        </w:rPr>
      </w:pPr>
      <w:hyperlink w:anchor="_Toc430896837" w:history="1">
        <w:r w:rsidR="00154945">
          <w:rPr>
            <w:rStyle w:val="Hyperlink"/>
            <w:lang w:val="en-AU"/>
          </w:rPr>
          <w:t>3.4</w:t>
        </w:r>
        <w:r w:rsidR="00FC2782">
          <w:rPr>
            <w:color w:val="auto"/>
            <w:kern w:val="0"/>
            <w:sz w:val="22"/>
            <w:szCs w:val="22"/>
            <w:lang w:val="en-AU" w:eastAsia="ja-JP"/>
          </w:rPr>
          <w:tab/>
        </w:r>
        <w:r w:rsidR="00FC2782" w:rsidRPr="00F7643A">
          <w:rPr>
            <w:rStyle w:val="Hyperlink"/>
            <w:lang w:val="en-AU"/>
          </w:rPr>
          <w:t>Conclusion</w:t>
        </w:r>
        <w:r w:rsidR="00FC2782">
          <w:rPr>
            <w:webHidden/>
          </w:rPr>
          <w:tab/>
        </w:r>
        <w:r w:rsidR="00FC2782">
          <w:rPr>
            <w:webHidden/>
          </w:rPr>
          <w:fldChar w:fldCharType="begin"/>
        </w:r>
        <w:r w:rsidR="00FC2782">
          <w:rPr>
            <w:webHidden/>
          </w:rPr>
          <w:instrText xml:space="preserve"> PAGEREF _Toc430896837 \h </w:instrText>
        </w:r>
        <w:r w:rsidR="00FC2782">
          <w:rPr>
            <w:webHidden/>
          </w:rPr>
        </w:r>
        <w:r w:rsidR="00FC2782">
          <w:rPr>
            <w:webHidden/>
          </w:rPr>
          <w:fldChar w:fldCharType="separate"/>
        </w:r>
        <w:r>
          <w:rPr>
            <w:webHidden/>
          </w:rPr>
          <w:t>21</w:t>
        </w:r>
        <w:r w:rsidR="00FC2782">
          <w:rPr>
            <w:webHidden/>
          </w:rPr>
          <w:fldChar w:fldCharType="end"/>
        </w:r>
      </w:hyperlink>
    </w:p>
    <w:p w14:paraId="74BCDA2C" w14:textId="77777777" w:rsidR="00FC2782" w:rsidRDefault="00184C79">
      <w:pPr>
        <w:pStyle w:val="TOC1"/>
        <w:rPr>
          <w:b w:val="0"/>
          <w:caps w:val="0"/>
          <w:color w:val="auto"/>
          <w:kern w:val="0"/>
          <w:sz w:val="22"/>
          <w:szCs w:val="22"/>
          <w:lang w:val="en-AU" w:eastAsia="ja-JP"/>
        </w:rPr>
      </w:pPr>
      <w:hyperlink w:anchor="_Toc430896838" w:history="1">
        <w:r w:rsidR="00FC2782" w:rsidRPr="00F7643A">
          <w:rPr>
            <w:rStyle w:val="Hyperlink"/>
          </w:rPr>
          <w:t>4</w:t>
        </w:r>
        <w:r w:rsidR="00FC2782">
          <w:rPr>
            <w:b w:val="0"/>
            <w:caps w:val="0"/>
            <w:color w:val="auto"/>
            <w:kern w:val="0"/>
            <w:sz w:val="22"/>
            <w:szCs w:val="22"/>
            <w:lang w:val="en-AU" w:eastAsia="ja-JP"/>
          </w:rPr>
          <w:tab/>
        </w:r>
        <w:r w:rsidR="00FC2782" w:rsidRPr="00F7643A">
          <w:rPr>
            <w:rStyle w:val="Hyperlink"/>
          </w:rPr>
          <w:t>value capture - case studies</w:t>
        </w:r>
        <w:r w:rsidR="00FC2782">
          <w:rPr>
            <w:webHidden/>
          </w:rPr>
          <w:tab/>
        </w:r>
        <w:r w:rsidR="00FC2782">
          <w:rPr>
            <w:webHidden/>
          </w:rPr>
          <w:fldChar w:fldCharType="begin"/>
        </w:r>
        <w:r w:rsidR="00FC2782">
          <w:rPr>
            <w:webHidden/>
          </w:rPr>
          <w:instrText xml:space="preserve"> PAGEREF _Toc430896838 \h </w:instrText>
        </w:r>
        <w:r w:rsidR="00FC2782">
          <w:rPr>
            <w:webHidden/>
          </w:rPr>
        </w:r>
        <w:r w:rsidR="00FC2782">
          <w:rPr>
            <w:webHidden/>
          </w:rPr>
          <w:fldChar w:fldCharType="separate"/>
        </w:r>
        <w:r>
          <w:rPr>
            <w:webHidden/>
          </w:rPr>
          <w:t>22</w:t>
        </w:r>
        <w:r w:rsidR="00FC2782">
          <w:rPr>
            <w:webHidden/>
          </w:rPr>
          <w:fldChar w:fldCharType="end"/>
        </w:r>
      </w:hyperlink>
    </w:p>
    <w:p w14:paraId="0C0ABDE7" w14:textId="77777777" w:rsidR="00FC2782" w:rsidRDefault="00184C79">
      <w:pPr>
        <w:pStyle w:val="TOC2"/>
        <w:rPr>
          <w:color w:val="auto"/>
          <w:kern w:val="0"/>
          <w:sz w:val="22"/>
          <w:szCs w:val="22"/>
          <w:lang w:val="en-AU" w:eastAsia="ja-JP"/>
        </w:rPr>
      </w:pPr>
      <w:hyperlink w:anchor="_Toc430896839" w:history="1">
        <w:r w:rsidR="00FC2782" w:rsidRPr="00F7643A">
          <w:rPr>
            <w:rStyle w:val="Hyperlink"/>
          </w:rPr>
          <w:t>4.1</w:t>
        </w:r>
        <w:r w:rsidR="00FC2782">
          <w:rPr>
            <w:color w:val="auto"/>
            <w:kern w:val="0"/>
            <w:sz w:val="22"/>
            <w:szCs w:val="22"/>
            <w:lang w:val="en-AU" w:eastAsia="ja-JP"/>
          </w:rPr>
          <w:tab/>
        </w:r>
        <w:r w:rsidR="00FC2782" w:rsidRPr="00F7643A">
          <w:rPr>
            <w:rStyle w:val="Hyperlink"/>
          </w:rPr>
          <w:t>Economic Benefits of New Public Transport Infrastructure</w:t>
        </w:r>
        <w:r w:rsidR="00FC2782">
          <w:rPr>
            <w:webHidden/>
          </w:rPr>
          <w:tab/>
        </w:r>
        <w:r w:rsidR="00FC2782">
          <w:rPr>
            <w:webHidden/>
          </w:rPr>
          <w:fldChar w:fldCharType="begin"/>
        </w:r>
        <w:r w:rsidR="00FC2782">
          <w:rPr>
            <w:webHidden/>
          </w:rPr>
          <w:instrText xml:space="preserve"> PAGEREF _Toc430896839 \h </w:instrText>
        </w:r>
        <w:r w:rsidR="00FC2782">
          <w:rPr>
            <w:webHidden/>
          </w:rPr>
        </w:r>
        <w:r w:rsidR="00FC2782">
          <w:rPr>
            <w:webHidden/>
          </w:rPr>
          <w:fldChar w:fldCharType="separate"/>
        </w:r>
        <w:r>
          <w:rPr>
            <w:webHidden/>
          </w:rPr>
          <w:t>22</w:t>
        </w:r>
        <w:r w:rsidR="00FC2782">
          <w:rPr>
            <w:webHidden/>
          </w:rPr>
          <w:fldChar w:fldCharType="end"/>
        </w:r>
      </w:hyperlink>
    </w:p>
    <w:p w14:paraId="1323FA66" w14:textId="77777777" w:rsidR="00FC2782" w:rsidRDefault="00184C79">
      <w:pPr>
        <w:pStyle w:val="TOC2"/>
        <w:rPr>
          <w:color w:val="auto"/>
          <w:kern w:val="0"/>
          <w:sz w:val="22"/>
          <w:szCs w:val="22"/>
          <w:lang w:val="en-AU" w:eastAsia="ja-JP"/>
        </w:rPr>
      </w:pPr>
      <w:hyperlink w:anchor="_Toc430896840" w:history="1">
        <w:r w:rsidR="00FC2782" w:rsidRPr="00F7643A">
          <w:rPr>
            <w:rStyle w:val="Hyperlink"/>
          </w:rPr>
          <w:t>4.2</w:t>
        </w:r>
        <w:r w:rsidR="00FC2782">
          <w:rPr>
            <w:color w:val="auto"/>
            <w:kern w:val="0"/>
            <w:sz w:val="22"/>
            <w:szCs w:val="22"/>
            <w:lang w:val="en-AU" w:eastAsia="ja-JP"/>
          </w:rPr>
          <w:tab/>
        </w:r>
        <w:r w:rsidR="00FC2782" w:rsidRPr="00F7643A">
          <w:rPr>
            <w:rStyle w:val="Hyperlink"/>
          </w:rPr>
          <w:t>Crossrail, London – Benefit Rates Supplement</w:t>
        </w:r>
        <w:r w:rsidR="00FC2782">
          <w:rPr>
            <w:webHidden/>
          </w:rPr>
          <w:tab/>
        </w:r>
        <w:r w:rsidR="00FC2782">
          <w:rPr>
            <w:webHidden/>
          </w:rPr>
          <w:fldChar w:fldCharType="begin"/>
        </w:r>
        <w:r w:rsidR="00FC2782">
          <w:rPr>
            <w:webHidden/>
          </w:rPr>
          <w:instrText xml:space="preserve"> PAGEREF _Toc430896840 \h </w:instrText>
        </w:r>
        <w:r w:rsidR="00FC2782">
          <w:rPr>
            <w:webHidden/>
          </w:rPr>
        </w:r>
        <w:r w:rsidR="00FC2782">
          <w:rPr>
            <w:webHidden/>
          </w:rPr>
          <w:fldChar w:fldCharType="separate"/>
        </w:r>
        <w:r>
          <w:rPr>
            <w:webHidden/>
          </w:rPr>
          <w:t>23</w:t>
        </w:r>
        <w:r w:rsidR="00FC2782">
          <w:rPr>
            <w:webHidden/>
          </w:rPr>
          <w:fldChar w:fldCharType="end"/>
        </w:r>
      </w:hyperlink>
    </w:p>
    <w:p w14:paraId="6649C65C" w14:textId="77777777" w:rsidR="00FC2782" w:rsidRDefault="00184C79">
      <w:pPr>
        <w:pStyle w:val="TOC2"/>
        <w:rPr>
          <w:color w:val="auto"/>
          <w:kern w:val="0"/>
          <w:sz w:val="22"/>
          <w:szCs w:val="22"/>
          <w:lang w:val="en-AU" w:eastAsia="ja-JP"/>
        </w:rPr>
      </w:pPr>
      <w:hyperlink w:anchor="_Toc430896841" w:history="1">
        <w:r w:rsidR="00FC2782" w:rsidRPr="00F7643A">
          <w:rPr>
            <w:rStyle w:val="Hyperlink"/>
          </w:rPr>
          <w:t>4.3</w:t>
        </w:r>
        <w:r w:rsidR="00FC2782">
          <w:rPr>
            <w:color w:val="auto"/>
            <w:kern w:val="0"/>
            <w:sz w:val="22"/>
            <w:szCs w:val="22"/>
            <w:lang w:val="en-AU" w:eastAsia="ja-JP"/>
          </w:rPr>
          <w:tab/>
        </w:r>
        <w:r w:rsidR="00FC2782" w:rsidRPr="00F7643A">
          <w:rPr>
            <w:rStyle w:val="Hyperlink"/>
          </w:rPr>
          <w:t>Hudson Yards, New York – Blending Value Capture Mechanisms</w:t>
        </w:r>
        <w:r w:rsidR="00FC2782">
          <w:rPr>
            <w:webHidden/>
          </w:rPr>
          <w:tab/>
        </w:r>
        <w:r w:rsidR="00FC2782">
          <w:rPr>
            <w:webHidden/>
          </w:rPr>
          <w:fldChar w:fldCharType="begin"/>
        </w:r>
        <w:r w:rsidR="00FC2782">
          <w:rPr>
            <w:webHidden/>
          </w:rPr>
          <w:instrText xml:space="preserve"> PAGEREF _Toc430896841 \h </w:instrText>
        </w:r>
        <w:r w:rsidR="00FC2782">
          <w:rPr>
            <w:webHidden/>
          </w:rPr>
        </w:r>
        <w:r w:rsidR="00FC2782">
          <w:rPr>
            <w:webHidden/>
          </w:rPr>
          <w:fldChar w:fldCharType="separate"/>
        </w:r>
        <w:r>
          <w:rPr>
            <w:webHidden/>
          </w:rPr>
          <w:t>25</w:t>
        </w:r>
        <w:r w:rsidR="00FC2782">
          <w:rPr>
            <w:webHidden/>
          </w:rPr>
          <w:fldChar w:fldCharType="end"/>
        </w:r>
      </w:hyperlink>
    </w:p>
    <w:p w14:paraId="374BB72D" w14:textId="77777777" w:rsidR="00FC2782" w:rsidRDefault="00184C79">
      <w:pPr>
        <w:pStyle w:val="TOC2"/>
        <w:rPr>
          <w:color w:val="auto"/>
          <w:kern w:val="0"/>
          <w:sz w:val="22"/>
          <w:szCs w:val="22"/>
          <w:lang w:val="en-AU" w:eastAsia="ja-JP"/>
        </w:rPr>
      </w:pPr>
      <w:hyperlink w:anchor="_Toc430896842" w:history="1">
        <w:r w:rsidR="00FC2782" w:rsidRPr="00F7643A">
          <w:rPr>
            <w:rStyle w:val="Hyperlink"/>
          </w:rPr>
          <w:t>4.4</w:t>
        </w:r>
        <w:r w:rsidR="00FC2782">
          <w:rPr>
            <w:color w:val="auto"/>
            <w:kern w:val="0"/>
            <w:sz w:val="22"/>
            <w:szCs w:val="22"/>
            <w:lang w:val="en-AU" w:eastAsia="ja-JP"/>
          </w:rPr>
          <w:tab/>
        </w:r>
        <w:r w:rsidR="00FC2782" w:rsidRPr="00F7643A">
          <w:rPr>
            <w:rStyle w:val="Hyperlink"/>
          </w:rPr>
          <w:t>Chicago Rapid Transit Stations – Tax Increment Funding</w:t>
        </w:r>
        <w:r w:rsidR="00FC2782">
          <w:rPr>
            <w:webHidden/>
          </w:rPr>
          <w:tab/>
        </w:r>
        <w:r w:rsidR="00FC2782">
          <w:rPr>
            <w:webHidden/>
          </w:rPr>
          <w:fldChar w:fldCharType="begin"/>
        </w:r>
        <w:r w:rsidR="00FC2782">
          <w:rPr>
            <w:webHidden/>
          </w:rPr>
          <w:instrText xml:space="preserve"> PAGEREF _Toc430896842 \h </w:instrText>
        </w:r>
        <w:r w:rsidR="00FC2782">
          <w:rPr>
            <w:webHidden/>
          </w:rPr>
        </w:r>
        <w:r w:rsidR="00FC2782">
          <w:rPr>
            <w:webHidden/>
          </w:rPr>
          <w:fldChar w:fldCharType="separate"/>
        </w:r>
        <w:r>
          <w:rPr>
            <w:webHidden/>
          </w:rPr>
          <w:t>28</w:t>
        </w:r>
        <w:r w:rsidR="00FC2782">
          <w:rPr>
            <w:webHidden/>
          </w:rPr>
          <w:fldChar w:fldCharType="end"/>
        </w:r>
      </w:hyperlink>
    </w:p>
    <w:p w14:paraId="6EBF0792" w14:textId="77777777" w:rsidR="00FC2782" w:rsidRDefault="00184C79">
      <w:pPr>
        <w:pStyle w:val="TOC2"/>
        <w:rPr>
          <w:color w:val="auto"/>
          <w:kern w:val="0"/>
          <w:sz w:val="22"/>
          <w:szCs w:val="22"/>
          <w:lang w:val="en-AU" w:eastAsia="ja-JP"/>
        </w:rPr>
      </w:pPr>
      <w:hyperlink w:anchor="_Toc430896843" w:history="1">
        <w:r w:rsidR="00FC2782" w:rsidRPr="00F7643A">
          <w:rPr>
            <w:rStyle w:val="Hyperlink"/>
          </w:rPr>
          <w:t>4.5</w:t>
        </w:r>
        <w:r w:rsidR="00FC2782">
          <w:rPr>
            <w:color w:val="auto"/>
            <w:kern w:val="0"/>
            <w:sz w:val="22"/>
            <w:szCs w:val="22"/>
            <w:lang w:val="en-AU" w:eastAsia="ja-JP"/>
          </w:rPr>
          <w:tab/>
        </w:r>
        <w:r w:rsidR="00FC2782" w:rsidRPr="00F7643A">
          <w:rPr>
            <w:rStyle w:val="Hyperlink"/>
          </w:rPr>
          <w:t>Hong Kong – “Rail + Property” Development</w:t>
        </w:r>
        <w:r w:rsidR="00FC2782">
          <w:rPr>
            <w:webHidden/>
          </w:rPr>
          <w:tab/>
        </w:r>
        <w:r w:rsidR="00FC2782">
          <w:rPr>
            <w:webHidden/>
          </w:rPr>
          <w:fldChar w:fldCharType="begin"/>
        </w:r>
        <w:r w:rsidR="00FC2782">
          <w:rPr>
            <w:webHidden/>
          </w:rPr>
          <w:instrText xml:space="preserve"> PAGEREF _Toc430896843 \h </w:instrText>
        </w:r>
        <w:r w:rsidR="00FC2782">
          <w:rPr>
            <w:webHidden/>
          </w:rPr>
        </w:r>
        <w:r w:rsidR="00FC2782">
          <w:rPr>
            <w:webHidden/>
          </w:rPr>
          <w:fldChar w:fldCharType="separate"/>
        </w:r>
        <w:r>
          <w:rPr>
            <w:webHidden/>
          </w:rPr>
          <w:t>29</w:t>
        </w:r>
        <w:r w:rsidR="00FC2782">
          <w:rPr>
            <w:webHidden/>
          </w:rPr>
          <w:fldChar w:fldCharType="end"/>
        </w:r>
      </w:hyperlink>
    </w:p>
    <w:p w14:paraId="31925E28" w14:textId="77777777" w:rsidR="00FC2782" w:rsidRDefault="00184C79">
      <w:pPr>
        <w:pStyle w:val="TOC2"/>
        <w:rPr>
          <w:color w:val="auto"/>
          <w:kern w:val="0"/>
          <w:sz w:val="22"/>
          <w:szCs w:val="22"/>
          <w:lang w:val="en-AU" w:eastAsia="ja-JP"/>
        </w:rPr>
      </w:pPr>
      <w:hyperlink w:anchor="_Toc430896844" w:history="1">
        <w:r w:rsidR="00FC2782" w:rsidRPr="00F7643A">
          <w:rPr>
            <w:rStyle w:val="Hyperlink"/>
          </w:rPr>
          <w:t>4.6</w:t>
        </w:r>
        <w:r w:rsidR="00FC2782">
          <w:rPr>
            <w:color w:val="auto"/>
            <w:kern w:val="0"/>
            <w:sz w:val="22"/>
            <w:szCs w:val="22"/>
            <w:lang w:val="en-AU" w:eastAsia="ja-JP"/>
          </w:rPr>
          <w:tab/>
        </w:r>
        <w:r w:rsidR="00FC2782" w:rsidRPr="00F7643A">
          <w:rPr>
            <w:rStyle w:val="Hyperlink"/>
          </w:rPr>
          <w:t>Singapore - SMRT</w:t>
        </w:r>
        <w:r w:rsidR="00FC2782">
          <w:rPr>
            <w:webHidden/>
          </w:rPr>
          <w:tab/>
        </w:r>
        <w:r w:rsidR="00FC2782">
          <w:rPr>
            <w:webHidden/>
          </w:rPr>
          <w:fldChar w:fldCharType="begin"/>
        </w:r>
        <w:r w:rsidR="00FC2782">
          <w:rPr>
            <w:webHidden/>
          </w:rPr>
          <w:instrText xml:space="preserve"> PAGEREF _Toc430896844 \h </w:instrText>
        </w:r>
        <w:r w:rsidR="00FC2782">
          <w:rPr>
            <w:webHidden/>
          </w:rPr>
        </w:r>
        <w:r w:rsidR="00FC2782">
          <w:rPr>
            <w:webHidden/>
          </w:rPr>
          <w:fldChar w:fldCharType="separate"/>
        </w:r>
        <w:r>
          <w:rPr>
            <w:webHidden/>
          </w:rPr>
          <w:t>30</w:t>
        </w:r>
        <w:r w:rsidR="00FC2782">
          <w:rPr>
            <w:webHidden/>
          </w:rPr>
          <w:fldChar w:fldCharType="end"/>
        </w:r>
      </w:hyperlink>
    </w:p>
    <w:p w14:paraId="5732F095" w14:textId="77777777" w:rsidR="00FC2782" w:rsidRDefault="00184C79">
      <w:pPr>
        <w:pStyle w:val="TOC2"/>
        <w:rPr>
          <w:color w:val="auto"/>
          <w:kern w:val="0"/>
          <w:sz w:val="22"/>
          <w:szCs w:val="22"/>
          <w:lang w:val="en-AU" w:eastAsia="ja-JP"/>
        </w:rPr>
      </w:pPr>
      <w:hyperlink w:anchor="_Toc430896845" w:history="1">
        <w:r w:rsidR="00FC2782" w:rsidRPr="00F7643A">
          <w:rPr>
            <w:rStyle w:val="Hyperlink"/>
          </w:rPr>
          <w:t>4.7</w:t>
        </w:r>
        <w:r w:rsidR="00FC2782">
          <w:rPr>
            <w:color w:val="auto"/>
            <w:kern w:val="0"/>
            <w:sz w:val="22"/>
            <w:szCs w:val="22"/>
            <w:lang w:val="en-AU" w:eastAsia="ja-JP"/>
          </w:rPr>
          <w:tab/>
        </w:r>
        <w:r w:rsidR="00FC2782" w:rsidRPr="00F7643A">
          <w:rPr>
            <w:rStyle w:val="Hyperlink"/>
          </w:rPr>
          <w:t>Melbourne City Loop – Betterment Tax</w:t>
        </w:r>
        <w:r w:rsidR="00FC2782">
          <w:rPr>
            <w:webHidden/>
          </w:rPr>
          <w:tab/>
        </w:r>
        <w:r w:rsidR="00FC2782">
          <w:rPr>
            <w:webHidden/>
          </w:rPr>
          <w:fldChar w:fldCharType="begin"/>
        </w:r>
        <w:r w:rsidR="00FC2782">
          <w:rPr>
            <w:webHidden/>
          </w:rPr>
          <w:instrText xml:space="preserve"> PAGEREF _Toc430896845 \h </w:instrText>
        </w:r>
        <w:r w:rsidR="00FC2782">
          <w:rPr>
            <w:webHidden/>
          </w:rPr>
        </w:r>
        <w:r w:rsidR="00FC2782">
          <w:rPr>
            <w:webHidden/>
          </w:rPr>
          <w:fldChar w:fldCharType="separate"/>
        </w:r>
        <w:r>
          <w:rPr>
            <w:webHidden/>
          </w:rPr>
          <w:t>31</w:t>
        </w:r>
        <w:r w:rsidR="00FC2782">
          <w:rPr>
            <w:webHidden/>
          </w:rPr>
          <w:fldChar w:fldCharType="end"/>
        </w:r>
      </w:hyperlink>
    </w:p>
    <w:p w14:paraId="58446BFA" w14:textId="77777777" w:rsidR="00FC2782" w:rsidRDefault="00184C79">
      <w:pPr>
        <w:pStyle w:val="TOC2"/>
        <w:rPr>
          <w:color w:val="auto"/>
          <w:kern w:val="0"/>
          <w:sz w:val="22"/>
          <w:szCs w:val="22"/>
          <w:lang w:val="en-AU" w:eastAsia="ja-JP"/>
        </w:rPr>
      </w:pPr>
      <w:hyperlink w:anchor="_Toc430896846" w:history="1">
        <w:r w:rsidR="00FC2782" w:rsidRPr="00F7643A">
          <w:rPr>
            <w:rStyle w:val="Hyperlink"/>
          </w:rPr>
          <w:t>4.8</w:t>
        </w:r>
        <w:r w:rsidR="00FC2782">
          <w:rPr>
            <w:color w:val="auto"/>
            <w:kern w:val="0"/>
            <w:sz w:val="22"/>
            <w:szCs w:val="22"/>
            <w:lang w:val="en-AU" w:eastAsia="ja-JP"/>
          </w:rPr>
          <w:tab/>
        </w:r>
        <w:r w:rsidR="00FC2782" w:rsidRPr="00F7643A">
          <w:rPr>
            <w:rStyle w:val="Hyperlink"/>
          </w:rPr>
          <w:t>Gold Coast Light Rail – Broad-based Transport Levy</w:t>
        </w:r>
        <w:r w:rsidR="00FC2782">
          <w:rPr>
            <w:webHidden/>
          </w:rPr>
          <w:tab/>
        </w:r>
        <w:r w:rsidR="00FC2782">
          <w:rPr>
            <w:webHidden/>
          </w:rPr>
          <w:fldChar w:fldCharType="begin"/>
        </w:r>
        <w:r w:rsidR="00FC2782">
          <w:rPr>
            <w:webHidden/>
          </w:rPr>
          <w:instrText xml:space="preserve"> PAGEREF _Toc430896846 \h </w:instrText>
        </w:r>
        <w:r w:rsidR="00FC2782">
          <w:rPr>
            <w:webHidden/>
          </w:rPr>
        </w:r>
        <w:r w:rsidR="00FC2782">
          <w:rPr>
            <w:webHidden/>
          </w:rPr>
          <w:fldChar w:fldCharType="separate"/>
        </w:r>
        <w:r>
          <w:rPr>
            <w:webHidden/>
          </w:rPr>
          <w:t>31</w:t>
        </w:r>
        <w:r w:rsidR="00FC2782">
          <w:rPr>
            <w:webHidden/>
          </w:rPr>
          <w:fldChar w:fldCharType="end"/>
        </w:r>
      </w:hyperlink>
    </w:p>
    <w:p w14:paraId="53EF4C95" w14:textId="77777777" w:rsidR="00FC2782" w:rsidRDefault="00184C79">
      <w:pPr>
        <w:pStyle w:val="TOC2"/>
        <w:rPr>
          <w:color w:val="auto"/>
          <w:kern w:val="0"/>
          <w:sz w:val="22"/>
          <w:szCs w:val="22"/>
          <w:lang w:val="en-AU" w:eastAsia="ja-JP"/>
        </w:rPr>
      </w:pPr>
      <w:hyperlink w:anchor="_Toc430896847" w:history="1">
        <w:r w:rsidR="00FC2782" w:rsidRPr="00F7643A">
          <w:rPr>
            <w:rStyle w:val="Hyperlink"/>
          </w:rPr>
          <w:t>4.9</w:t>
        </w:r>
        <w:r w:rsidR="00FC2782">
          <w:rPr>
            <w:color w:val="auto"/>
            <w:kern w:val="0"/>
            <w:sz w:val="22"/>
            <w:szCs w:val="22"/>
            <w:lang w:val="en-AU" w:eastAsia="ja-JP"/>
          </w:rPr>
          <w:tab/>
        </w:r>
        <w:r w:rsidR="00FC2782" w:rsidRPr="00F7643A">
          <w:rPr>
            <w:rStyle w:val="Hyperlink"/>
          </w:rPr>
          <w:t>Conclusion</w:t>
        </w:r>
        <w:r w:rsidR="00FC2782">
          <w:rPr>
            <w:webHidden/>
          </w:rPr>
          <w:tab/>
        </w:r>
        <w:r w:rsidR="00FC2782">
          <w:rPr>
            <w:webHidden/>
          </w:rPr>
          <w:fldChar w:fldCharType="begin"/>
        </w:r>
        <w:r w:rsidR="00FC2782">
          <w:rPr>
            <w:webHidden/>
          </w:rPr>
          <w:instrText xml:space="preserve"> PAGEREF _Toc430896847 \h </w:instrText>
        </w:r>
        <w:r w:rsidR="00FC2782">
          <w:rPr>
            <w:webHidden/>
          </w:rPr>
        </w:r>
        <w:r w:rsidR="00FC2782">
          <w:rPr>
            <w:webHidden/>
          </w:rPr>
          <w:fldChar w:fldCharType="separate"/>
        </w:r>
        <w:r>
          <w:rPr>
            <w:webHidden/>
          </w:rPr>
          <w:t>32</w:t>
        </w:r>
        <w:r w:rsidR="00FC2782">
          <w:rPr>
            <w:webHidden/>
          </w:rPr>
          <w:fldChar w:fldCharType="end"/>
        </w:r>
      </w:hyperlink>
    </w:p>
    <w:p w14:paraId="1E59C626" w14:textId="77777777" w:rsidR="00FC2782" w:rsidRDefault="00184C79">
      <w:pPr>
        <w:pStyle w:val="TOC1"/>
        <w:rPr>
          <w:b w:val="0"/>
          <w:caps w:val="0"/>
          <w:color w:val="auto"/>
          <w:kern w:val="0"/>
          <w:sz w:val="22"/>
          <w:szCs w:val="22"/>
          <w:lang w:val="en-AU" w:eastAsia="ja-JP"/>
        </w:rPr>
      </w:pPr>
      <w:hyperlink w:anchor="_Toc430896848" w:history="1">
        <w:r w:rsidR="00FC2782" w:rsidRPr="00F7643A">
          <w:rPr>
            <w:rStyle w:val="Hyperlink"/>
          </w:rPr>
          <w:t>5</w:t>
        </w:r>
        <w:r w:rsidR="00FC2782">
          <w:rPr>
            <w:b w:val="0"/>
            <w:caps w:val="0"/>
            <w:color w:val="auto"/>
            <w:kern w:val="0"/>
            <w:sz w:val="22"/>
            <w:szCs w:val="22"/>
            <w:lang w:val="en-AU" w:eastAsia="ja-JP"/>
          </w:rPr>
          <w:tab/>
        </w:r>
        <w:r w:rsidR="00FC2782" w:rsidRPr="00F7643A">
          <w:rPr>
            <w:rStyle w:val="Hyperlink"/>
          </w:rPr>
          <w:t>Securing investment</w:t>
        </w:r>
        <w:r w:rsidR="00FC2782">
          <w:rPr>
            <w:webHidden/>
          </w:rPr>
          <w:tab/>
        </w:r>
        <w:r w:rsidR="00FC2782">
          <w:rPr>
            <w:webHidden/>
          </w:rPr>
          <w:fldChar w:fldCharType="begin"/>
        </w:r>
        <w:r w:rsidR="00FC2782">
          <w:rPr>
            <w:webHidden/>
          </w:rPr>
          <w:instrText xml:space="preserve"> PAGEREF _Toc430896848 \h </w:instrText>
        </w:r>
        <w:r w:rsidR="00FC2782">
          <w:rPr>
            <w:webHidden/>
          </w:rPr>
        </w:r>
        <w:r w:rsidR="00FC2782">
          <w:rPr>
            <w:webHidden/>
          </w:rPr>
          <w:fldChar w:fldCharType="separate"/>
        </w:r>
        <w:r>
          <w:rPr>
            <w:webHidden/>
          </w:rPr>
          <w:t>34</w:t>
        </w:r>
        <w:r w:rsidR="00FC2782">
          <w:rPr>
            <w:webHidden/>
          </w:rPr>
          <w:fldChar w:fldCharType="end"/>
        </w:r>
      </w:hyperlink>
    </w:p>
    <w:p w14:paraId="7513675C" w14:textId="77777777" w:rsidR="00FC2782" w:rsidRDefault="00184C79">
      <w:pPr>
        <w:pStyle w:val="TOC2"/>
        <w:rPr>
          <w:color w:val="auto"/>
          <w:kern w:val="0"/>
          <w:sz w:val="22"/>
          <w:szCs w:val="22"/>
          <w:lang w:val="en-AU" w:eastAsia="ja-JP"/>
        </w:rPr>
      </w:pPr>
      <w:hyperlink w:anchor="_Toc430896849" w:history="1">
        <w:r w:rsidR="00FC2782" w:rsidRPr="00F7643A">
          <w:rPr>
            <w:rStyle w:val="Hyperlink"/>
          </w:rPr>
          <w:t>5.1</w:t>
        </w:r>
        <w:r w:rsidR="00FC2782">
          <w:rPr>
            <w:color w:val="auto"/>
            <w:kern w:val="0"/>
            <w:sz w:val="22"/>
            <w:szCs w:val="22"/>
            <w:lang w:val="en-AU" w:eastAsia="ja-JP"/>
          </w:rPr>
          <w:tab/>
        </w:r>
        <w:r w:rsidR="00FC2782" w:rsidRPr="00F7643A">
          <w:rPr>
            <w:rStyle w:val="Hyperlink"/>
          </w:rPr>
          <w:t>Government Debt Levels in Australia</w:t>
        </w:r>
        <w:r w:rsidR="00FC2782">
          <w:rPr>
            <w:webHidden/>
          </w:rPr>
          <w:tab/>
        </w:r>
        <w:r w:rsidR="00FC2782">
          <w:rPr>
            <w:webHidden/>
          </w:rPr>
          <w:fldChar w:fldCharType="begin"/>
        </w:r>
        <w:r w:rsidR="00FC2782">
          <w:rPr>
            <w:webHidden/>
          </w:rPr>
          <w:instrText xml:space="preserve"> PAGEREF _Toc430896849 \h </w:instrText>
        </w:r>
        <w:r w:rsidR="00FC2782">
          <w:rPr>
            <w:webHidden/>
          </w:rPr>
        </w:r>
        <w:r w:rsidR="00FC2782">
          <w:rPr>
            <w:webHidden/>
          </w:rPr>
          <w:fldChar w:fldCharType="separate"/>
        </w:r>
        <w:r>
          <w:rPr>
            <w:webHidden/>
          </w:rPr>
          <w:t>34</w:t>
        </w:r>
        <w:r w:rsidR="00FC2782">
          <w:rPr>
            <w:webHidden/>
          </w:rPr>
          <w:fldChar w:fldCharType="end"/>
        </w:r>
      </w:hyperlink>
    </w:p>
    <w:p w14:paraId="0471202C" w14:textId="77777777" w:rsidR="00FC2782" w:rsidRDefault="00184C79">
      <w:pPr>
        <w:pStyle w:val="TOC2"/>
        <w:rPr>
          <w:color w:val="auto"/>
          <w:kern w:val="0"/>
          <w:sz w:val="22"/>
          <w:szCs w:val="22"/>
          <w:lang w:val="en-AU" w:eastAsia="ja-JP"/>
        </w:rPr>
      </w:pPr>
      <w:hyperlink w:anchor="_Toc430896850" w:history="1">
        <w:r w:rsidR="00FC2782" w:rsidRPr="00F7643A">
          <w:rPr>
            <w:rStyle w:val="Hyperlink"/>
          </w:rPr>
          <w:t>5.2</w:t>
        </w:r>
        <w:r w:rsidR="00FC2782">
          <w:rPr>
            <w:color w:val="auto"/>
            <w:kern w:val="0"/>
            <w:sz w:val="22"/>
            <w:szCs w:val="22"/>
            <w:lang w:val="en-AU" w:eastAsia="ja-JP"/>
          </w:rPr>
          <w:tab/>
        </w:r>
        <w:r w:rsidR="00FC2782" w:rsidRPr="00F7643A">
          <w:rPr>
            <w:rStyle w:val="Hyperlink"/>
          </w:rPr>
          <w:t>Market Scale and Capacity</w:t>
        </w:r>
        <w:r w:rsidR="00FC2782">
          <w:rPr>
            <w:webHidden/>
          </w:rPr>
          <w:tab/>
        </w:r>
        <w:r w:rsidR="00FC2782">
          <w:rPr>
            <w:webHidden/>
          </w:rPr>
          <w:fldChar w:fldCharType="begin"/>
        </w:r>
        <w:r w:rsidR="00FC2782">
          <w:rPr>
            <w:webHidden/>
          </w:rPr>
          <w:instrText xml:space="preserve"> PAGEREF _Toc430896850 \h </w:instrText>
        </w:r>
        <w:r w:rsidR="00FC2782">
          <w:rPr>
            <w:webHidden/>
          </w:rPr>
        </w:r>
        <w:r w:rsidR="00FC2782">
          <w:rPr>
            <w:webHidden/>
          </w:rPr>
          <w:fldChar w:fldCharType="separate"/>
        </w:r>
        <w:r>
          <w:rPr>
            <w:webHidden/>
          </w:rPr>
          <w:t>35</w:t>
        </w:r>
        <w:r w:rsidR="00FC2782">
          <w:rPr>
            <w:webHidden/>
          </w:rPr>
          <w:fldChar w:fldCharType="end"/>
        </w:r>
      </w:hyperlink>
    </w:p>
    <w:p w14:paraId="02EBF31B" w14:textId="77777777" w:rsidR="00FC2782" w:rsidRDefault="00184C79">
      <w:pPr>
        <w:pStyle w:val="TOC2"/>
        <w:rPr>
          <w:color w:val="auto"/>
          <w:kern w:val="0"/>
          <w:sz w:val="22"/>
          <w:szCs w:val="22"/>
          <w:lang w:val="en-AU" w:eastAsia="ja-JP"/>
        </w:rPr>
      </w:pPr>
      <w:hyperlink w:anchor="_Toc430896851" w:history="1">
        <w:r w:rsidR="00FC2782" w:rsidRPr="00F7643A">
          <w:rPr>
            <w:rStyle w:val="Hyperlink"/>
          </w:rPr>
          <w:t>5.3</w:t>
        </w:r>
        <w:r w:rsidR="00FC2782">
          <w:rPr>
            <w:color w:val="auto"/>
            <w:kern w:val="0"/>
            <w:sz w:val="22"/>
            <w:szCs w:val="22"/>
            <w:lang w:val="en-AU" w:eastAsia="ja-JP"/>
          </w:rPr>
          <w:tab/>
        </w:r>
        <w:r w:rsidR="00FC2782" w:rsidRPr="00F7643A">
          <w:rPr>
            <w:rStyle w:val="Hyperlink"/>
          </w:rPr>
          <w:t>Public Private Partnerships (PPPs)</w:t>
        </w:r>
        <w:r w:rsidR="00FC2782">
          <w:rPr>
            <w:webHidden/>
          </w:rPr>
          <w:tab/>
        </w:r>
        <w:r w:rsidR="00FC2782">
          <w:rPr>
            <w:webHidden/>
          </w:rPr>
          <w:fldChar w:fldCharType="begin"/>
        </w:r>
        <w:r w:rsidR="00FC2782">
          <w:rPr>
            <w:webHidden/>
          </w:rPr>
          <w:instrText xml:space="preserve"> PAGEREF _Toc430896851 \h </w:instrText>
        </w:r>
        <w:r w:rsidR="00FC2782">
          <w:rPr>
            <w:webHidden/>
          </w:rPr>
        </w:r>
        <w:r w:rsidR="00FC2782">
          <w:rPr>
            <w:webHidden/>
          </w:rPr>
          <w:fldChar w:fldCharType="separate"/>
        </w:r>
        <w:r>
          <w:rPr>
            <w:webHidden/>
          </w:rPr>
          <w:t>37</w:t>
        </w:r>
        <w:r w:rsidR="00FC2782">
          <w:rPr>
            <w:webHidden/>
          </w:rPr>
          <w:fldChar w:fldCharType="end"/>
        </w:r>
      </w:hyperlink>
    </w:p>
    <w:p w14:paraId="30DA1259" w14:textId="77777777" w:rsidR="00FC2782" w:rsidRDefault="00184C79">
      <w:pPr>
        <w:pStyle w:val="TOC2"/>
        <w:rPr>
          <w:color w:val="auto"/>
          <w:kern w:val="0"/>
          <w:sz w:val="22"/>
          <w:szCs w:val="22"/>
          <w:lang w:val="en-AU" w:eastAsia="ja-JP"/>
        </w:rPr>
      </w:pPr>
      <w:hyperlink w:anchor="_Toc430896852" w:history="1">
        <w:r w:rsidR="00FC2782" w:rsidRPr="00F7643A">
          <w:rPr>
            <w:rStyle w:val="Hyperlink"/>
          </w:rPr>
          <w:t>5.4</w:t>
        </w:r>
        <w:r w:rsidR="00FC2782">
          <w:rPr>
            <w:color w:val="auto"/>
            <w:kern w:val="0"/>
            <w:sz w:val="22"/>
            <w:szCs w:val="22"/>
            <w:lang w:val="en-AU" w:eastAsia="ja-JP"/>
          </w:rPr>
          <w:tab/>
        </w:r>
        <w:r w:rsidR="00FC2782" w:rsidRPr="00F7643A">
          <w:rPr>
            <w:rStyle w:val="Hyperlink"/>
          </w:rPr>
          <w:t>Conclusion</w:t>
        </w:r>
        <w:r w:rsidR="00FC2782">
          <w:rPr>
            <w:webHidden/>
          </w:rPr>
          <w:tab/>
        </w:r>
        <w:r w:rsidR="00FC2782">
          <w:rPr>
            <w:webHidden/>
          </w:rPr>
          <w:fldChar w:fldCharType="begin"/>
        </w:r>
        <w:r w:rsidR="00FC2782">
          <w:rPr>
            <w:webHidden/>
          </w:rPr>
          <w:instrText xml:space="preserve"> PAGEREF _Toc430896852 \h </w:instrText>
        </w:r>
        <w:r w:rsidR="00FC2782">
          <w:rPr>
            <w:webHidden/>
          </w:rPr>
        </w:r>
        <w:r w:rsidR="00FC2782">
          <w:rPr>
            <w:webHidden/>
          </w:rPr>
          <w:fldChar w:fldCharType="separate"/>
        </w:r>
        <w:r>
          <w:rPr>
            <w:webHidden/>
          </w:rPr>
          <w:t>38</w:t>
        </w:r>
        <w:r w:rsidR="00FC2782">
          <w:rPr>
            <w:webHidden/>
          </w:rPr>
          <w:fldChar w:fldCharType="end"/>
        </w:r>
      </w:hyperlink>
    </w:p>
    <w:p w14:paraId="38FEBB5F" w14:textId="77777777" w:rsidR="00FC2782" w:rsidRDefault="00184C79">
      <w:pPr>
        <w:pStyle w:val="TOC1"/>
        <w:rPr>
          <w:b w:val="0"/>
          <w:caps w:val="0"/>
          <w:color w:val="auto"/>
          <w:kern w:val="0"/>
          <w:sz w:val="22"/>
          <w:szCs w:val="22"/>
          <w:lang w:val="en-AU" w:eastAsia="ja-JP"/>
        </w:rPr>
      </w:pPr>
      <w:hyperlink w:anchor="_Toc430896853" w:history="1">
        <w:r w:rsidR="00FC2782" w:rsidRPr="00F7643A">
          <w:rPr>
            <w:rStyle w:val="Hyperlink"/>
          </w:rPr>
          <w:t>6</w:t>
        </w:r>
        <w:r w:rsidR="00FC2782">
          <w:rPr>
            <w:b w:val="0"/>
            <w:caps w:val="0"/>
            <w:color w:val="auto"/>
            <w:kern w:val="0"/>
            <w:sz w:val="22"/>
            <w:szCs w:val="22"/>
            <w:lang w:val="en-AU" w:eastAsia="ja-JP"/>
          </w:rPr>
          <w:tab/>
        </w:r>
        <w:r w:rsidR="00FC2782" w:rsidRPr="00F7643A">
          <w:rPr>
            <w:rStyle w:val="Hyperlink"/>
          </w:rPr>
          <w:t>the challenge facing australian cities</w:t>
        </w:r>
        <w:r w:rsidR="00FC2782">
          <w:rPr>
            <w:webHidden/>
          </w:rPr>
          <w:tab/>
        </w:r>
        <w:r w:rsidR="00FC2782">
          <w:rPr>
            <w:webHidden/>
          </w:rPr>
          <w:fldChar w:fldCharType="begin"/>
        </w:r>
        <w:r w:rsidR="00FC2782">
          <w:rPr>
            <w:webHidden/>
          </w:rPr>
          <w:instrText xml:space="preserve"> PAGEREF _Toc430896853 \h </w:instrText>
        </w:r>
        <w:r w:rsidR="00FC2782">
          <w:rPr>
            <w:webHidden/>
          </w:rPr>
        </w:r>
        <w:r w:rsidR="00FC2782">
          <w:rPr>
            <w:webHidden/>
          </w:rPr>
          <w:fldChar w:fldCharType="separate"/>
        </w:r>
        <w:r>
          <w:rPr>
            <w:webHidden/>
          </w:rPr>
          <w:t>39</w:t>
        </w:r>
        <w:r w:rsidR="00FC2782">
          <w:rPr>
            <w:webHidden/>
          </w:rPr>
          <w:fldChar w:fldCharType="end"/>
        </w:r>
      </w:hyperlink>
    </w:p>
    <w:p w14:paraId="1F671098" w14:textId="77777777" w:rsidR="00FC2782" w:rsidRDefault="00184C79">
      <w:pPr>
        <w:pStyle w:val="TOC2"/>
        <w:rPr>
          <w:color w:val="auto"/>
          <w:kern w:val="0"/>
          <w:sz w:val="22"/>
          <w:szCs w:val="22"/>
          <w:lang w:val="en-AU" w:eastAsia="ja-JP"/>
        </w:rPr>
      </w:pPr>
      <w:hyperlink w:anchor="_Toc430896854" w:history="1">
        <w:r w:rsidR="00FC2782" w:rsidRPr="00F7643A">
          <w:rPr>
            <w:rStyle w:val="Hyperlink"/>
          </w:rPr>
          <w:t>6.1</w:t>
        </w:r>
        <w:r w:rsidR="00FC2782">
          <w:rPr>
            <w:color w:val="auto"/>
            <w:kern w:val="0"/>
            <w:sz w:val="22"/>
            <w:szCs w:val="22"/>
            <w:lang w:val="en-AU" w:eastAsia="ja-JP"/>
          </w:rPr>
          <w:tab/>
        </w:r>
        <w:r w:rsidR="00FC2782" w:rsidRPr="00F7643A">
          <w:rPr>
            <w:rStyle w:val="Hyperlink"/>
          </w:rPr>
          <w:t>Urban Renewal Principles</w:t>
        </w:r>
        <w:r w:rsidR="00FC2782">
          <w:rPr>
            <w:webHidden/>
          </w:rPr>
          <w:tab/>
        </w:r>
        <w:r w:rsidR="00FC2782">
          <w:rPr>
            <w:webHidden/>
          </w:rPr>
          <w:fldChar w:fldCharType="begin"/>
        </w:r>
        <w:r w:rsidR="00FC2782">
          <w:rPr>
            <w:webHidden/>
          </w:rPr>
          <w:instrText xml:space="preserve"> PAGEREF _Toc430896854 \h </w:instrText>
        </w:r>
        <w:r w:rsidR="00FC2782">
          <w:rPr>
            <w:webHidden/>
          </w:rPr>
        </w:r>
        <w:r w:rsidR="00FC2782">
          <w:rPr>
            <w:webHidden/>
          </w:rPr>
          <w:fldChar w:fldCharType="separate"/>
        </w:r>
        <w:r>
          <w:rPr>
            <w:webHidden/>
          </w:rPr>
          <w:t>40</w:t>
        </w:r>
        <w:r w:rsidR="00FC2782">
          <w:rPr>
            <w:webHidden/>
          </w:rPr>
          <w:fldChar w:fldCharType="end"/>
        </w:r>
      </w:hyperlink>
    </w:p>
    <w:p w14:paraId="4FF44BF8" w14:textId="77777777" w:rsidR="00FC2782" w:rsidRDefault="00184C79">
      <w:pPr>
        <w:pStyle w:val="TOC2"/>
        <w:rPr>
          <w:color w:val="auto"/>
          <w:kern w:val="0"/>
          <w:sz w:val="22"/>
          <w:szCs w:val="22"/>
          <w:lang w:val="en-AU" w:eastAsia="ja-JP"/>
        </w:rPr>
      </w:pPr>
      <w:hyperlink w:anchor="_Toc430896855" w:history="1">
        <w:r w:rsidR="00FC2782" w:rsidRPr="00F7643A">
          <w:rPr>
            <w:rStyle w:val="Hyperlink"/>
          </w:rPr>
          <w:t>6.2</w:t>
        </w:r>
        <w:r w:rsidR="00FC2782">
          <w:rPr>
            <w:color w:val="auto"/>
            <w:kern w:val="0"/>
            <w:sz w:val="22"/>
            <w:szCs w:val="22"/>
            <w:lang w:val="en-AU" w:eastAsia="ja-JP"/>
          </w:rPr>
          <w:tab/>
        </w:r>
        <w:r w:rsidR="00FC2782" w:rsidRPr="00F7643A">
          <w:rPr>
            <w:rStyle w:val="Hyperlink"/>
          </w:rPr>
          <w:t>Core principles of urban renewal</w:t>
        </w:r>
        <w:r w:rsidR="00FC2782">
          <w:rPr>
            <w:webHidden/>
          </w:rPr>
          <w:tab/>
        </w:r>
        <w:r w:rsidR="00FC2782">
          <w:rPr>
            <w:webHidden/>
          </w:rPr>
          <w:fldChar w:fldCharType="begin"/>
        </w:r>
        <w:r w:rsidR="00FC2782">
          <w:rPr>
            <w:webHidden/>
          </w:rPr>
          <w:instrText xml:space="preserve"> PAGEREF _Toc430896855 \h </w:instrText>
        </w:r>
        <w:r w:rsidR="00FC2782">
          <w:rPr>
            <w:webHidden/>
          </w:rPr>
        </w:r>
        <w:r w:rsidR="00FC2782">
          <w:rPr>
            <w:webHidden/>
          </w:rPr>
          <w:fldChar w:fldCharType="separate"/>
        </w:r>
        <w:r>
          <w:rPr>
            <w:webHidden/>
          </w:rPr>
          <w:t>41</w:t>
        </w:r>
        <w:r w:rsidR="00FC2782">
          <w:rPr>
            <w:webHidden/>
          </w:rPr>
          <w:fldChar w:fldCharType="end"/>
        </w:r>
      </w:hyperlink>
    </w:p>
    <w:p w14:paraId="6A133E23" w14:textId="77777777" w:rsidR="00FC2782" w:rsidRDefault="00184C79">
      <w:pPr>
        <w:pStyle w:val="TOC2"/>
        <w:rPr>
          <w:color w:val="auto"/>
          <w:kern w:val="0"/>
          <w:sz w:val="22"/>
          <w:szCs w:val="22"/>
          <w:lang w:val="en-AU" w:eastAsia="ja-JP"/>
        </w:rPr>
      </w:pPr>
      <w:hyperlink w:anchor="_Toc430896856" w:history="1">
        <w:r w:rsidR="00FC2782" w:rsidRPr="00F7643A">
          <w:rPr>
            <w:rStyle w:val="Hyperlink"/>
          </w:rPr>
          <w:t>6.3</w:t>
        </w:r>
        <w:r w:rsidR="00FC2782">
          <w:rPr>
            <w:color w:val="auto"/>
            <w:kern w:val="0"/>
            <w:sz w:val="22"/>
            <w:szCs w:val="22"/>
            <w:lang w:val="en-AU" w:eastAsia="ja-JP"/>
          </w:rPr>
          <w:tab/>
        </w:r>
        <w:r w:rsidR="00FC2782" w:rsidRPr="00F7643A">
          <w:rPr>
            <w:rStyle w:val="Hyperlink"/>
          </w:rPr>
          <w:t>Process related principles</w:t>
        </w:r>
        <w:r w:rsidR="00FC2782">
          <w:rPr>
            <w:webHidden/>
          </w:rPr>
          <w:tab/>
        </w:r>
        <w:r w:rsidR="00FC2782">
          <w:rPr>
            <w:webHidden/>
          </w:rPr>
          <w:fldChar w:fldCharType="begin"/>
        </w:r>
        <w:r w:rsidR="00FC2782">
          <w:rPr>
            <w:webHidden/>
          </w:rPr>
          <w:instrText xml:space="preserve"> PAGEREF _Toc430896856 \h </w:instrText>
        </w:r>
        <w:r w:rsidR="00FC2782">
          <w:rPr>
            <w:webHidden/>
          </w:rPr>
        </w:r>
        <w:r w:rsidR="00FC2782">
          <w:rPr>
            <w:webHidden/>
          </w:rPr>
          <w:fldChar w:fldCharType="separate"/>
        </w:r>
        <w:r>
          <w:rPr>
            <w:webHidden/>
          </w:rPr>
          <w:t>42</w:t>
        </w:r>
        <w:r w:rsidR="00FC2782">
          <w:rPr>
            <w:webHidden/>
          </w:rPr>
          <w:fldChar w:fldCharType="end"/>
        </w:r>
      </w:hyperlink>
    </w:p>
    <w:p w14:paraId="7F43A4C5" w14:textId="77777777" w:rsidR="00FC2782" w:rsidRDefault="00184C79">
      <w:pPr>
        <w:pStyle w:val="TOC2"/>
        <w:rPr>
          <w:color w:val="auto"/>
          <w:kern w:val="0"/>
          <w:sz w:val="22"/>
          <w:szCs w:val="22"/>
          <w:lang w:val="en-AU" w:eastAsia="ja-JP"/>
        </w:rPr>
      </w:pPr>
      <w:hyperlink w:anchor="_Toc430896857" w:history="1">
        <w:r w:rsidR="00FC2782" w:rsidRPr="00F7643A">
          <w:rPr>
            <w:rStyle w:val="Hyperlink"/>
          </w:rPr>
          <w:t>6.4</w:t>
        </w:r>
        <w:r w:rsidR="00FC2782">
          <w:rPr>
            <w:color w:val="auto"/>
            <w:kern w:val="0"/>
            <w:sz w:val="22"/>
            <w:szCs w:val="22"/>
            <w:lang w:val="en-AU" w:eastAsia="ja-JP"/>
          </w:rPr>
          <w:tab/>
        </w:r>
        <w:r w:rsidR="00FC2782" w:rsidRPr="00F7643A">
          <w:rPr>
            <w:rStyle w:val="Hyperlink"/>
          </w:rPr>
          <w:t>Adelaide</w:t>
        </w:r>
        <w:r w:rsidR="00FC2782">
          <w:rPr>
            <w:webHidden/>
          </w:rPr>
          <w:tab/>
        </w:r>
        <w:r w:rsidR="00FC2782">
          <w:rPr>
            <w:webHidden/>
          </w:rPr>
          <w:fldChar w:fldCharType="begin"/>
        </w:r>
        <w:r w:rsidR="00FC2782">
          <w:rPr>
            <w:webHidden/>
          </w:rPr>
          <w:instrText xml:space="preserve"> PAGEREF _Toc430896857 \h </w:instrText>
        </w:r>
        <w:r w:rsidR="00FC2782">
          <w:rPr>
            <w:webHidden/>
          </w:rPr>
        </w:r>
        <w:r w:rsidR="00FC2782">
          <w:rPr>
            <w:webHidden/>
          </w:rPr>
          <w:fldChar w:fldCharType="separate"/>
        </w:r>
        <w:r>
          <w:rPr>
            <w:webHidden/>
          </w:rPr>
          <w:t>43</w:t>
        </w:r>
        <w:r w:rsidR="00FC2782">
          <w:rPr>
            <w:webHidden/>
          </w:rPr>
          <w:fldChar w:fldCharType="end"/>
        </w:r>
      </w:hyperlink>
    </w:p>
    <w:p w14:paraId="61151486" w14:textId="77777777" w:rsidR="00FC2782" w:rsidRDefault="00184C79">
      <w:pPr>
        <w:pStyle w:val="TOC2"/>
        <w:rPr>
          <w:color w:val="auto"/>
          <w:kern w:val="0"/>
          <w:sz w:val="22"/>
          <w:szCs w:val="22"/>
          <w:lang w:val="en-AU" w:eastAsia="ja-JP"/>
        </w:rPr>
      </w:pPr>
      <w:hyperlink w:anchor="_Toc430896858" w:history="1">
        <w:r w:rsidR="00FC2782" w:rsidRPr="00F7643A">
          <w:rPr>
            <w:rStyle w:val="Hyperlink"/>
          </w:rPr>
          <w:t>6.5</w:t>
        </w:r>
        <w:r w:rsidR="00FC2782">
          <w:rPr>
            <w:color w:val="auto"/>
            <w:kern w:val="0"/>
            <w:sz w:val="22"/>
            <w:szCs w:val="22"/>
            <w:lang w:val="en-AU" w:eastAsia="ja-JP"/>
          </w:rPr>
          <w:tab/>
        </w:r>
        <w:r w:rsidR="00FC2782" w:rsidRPr="00F7643A">
          <w:rPr>
            <w:rStyle w:val="Hyperlink"/>
          </w:rPr>
          <w:t>Brisbane (South East Queensland)</w:t>
        </w:r>
        <w:r w:rsidR="00FC2782">
          <w:rPr>
            <w:webHidden/>
          </w:rPr>
          <w:tab/>
        </w:r>
        <w:r w:rsidR="00FC2782">
          <w:rPr>
            <w:webHidden/>
          </w:rPr>
          <w:fldChar w:fldCharType="begin"/>
        </w:r>
        <w:r w:rsidR="00FC2782">
          <w:rPr>
            <w:webHidden/>
          </w:rPr>
          <w:instrText xml:space="preserve"> PAGEREF _Toc430896858 \h </w:instrText>
        </w:r>
        <w:r w:rsidR="00FC2782">
          <w:rPr>
            <w:webHidden/>
          </w:rPr>
        </w:r>
        <w:r w:rsidR="00FC2782">
          <w:rPr>
            <w:webHidden/>
          </w:rPr>
          <w:fldChar w:fldCharType="separate"/>
        </w:r>
        <w:r>
          <w:rPr>
            <w:webHidden/>
          </w:rPr>
          <w:t>44</w:t>
        </w:r>
        <w:r w:rsidR="00FC2782">
          <w:rPr>
            <w:webHidden/>
          </w:rPr>
          <w:fldChar w:fldCharType="end"/>
        </w:r>
      </w:hyperlink>
    </w:p>
    <w:p w14:paraId="00C1355F" w14:textId="77777777" w:rsidR="00FC2782" w:rsidRDefault="00184C79">
      <w:pPr>
        <w:pStyle w:val="TOC2"/>
        <w:rPr>
          <w:color w:val="auto"/>
          <w:kern w:val="0"/>
          <w:sz w:val="22"/>
          <w:szCs w:val="22"/>
          <w:lang w:val="en-AU" w:eastAsia="ja-JP"/>
        </w:rPr>
      </w:pPr>
      <w:hyperlink w:anchor="_Toc430896859" w:history="1">
        <w:r w:rsidR="00FC2782" w:rsidRPr="00F7643A">
          <w:rPr>
            <w:rStyle w:val="Hyperlink"/>
          </w:rPr>
          <w:t>6.6</w:t>
        </w:r>
        <w:r w:rsidR="00FC2782">
          <w:rPr>
            <w:color w:val="auto"/>
            <w:kern w:val="0"/>
            <w:sz w:val="22"/>
            <w:szCs w:val="22"/>
            <w:lang w:val="en-AU" w:eastAsia="ja-JP"/>
          </w:rPr>
          <w:tab/>
        </w:r>
        <w:r w:rsidR="00FC2782" w:rsidRPr="00F7643A">
          <w:rPr>
            <w:rStyle w:val="Hyperlink"/>
          </w:rPr>
          <w:t>Melbourne</w:t>
        </w:r>
        <w:r w:rsidR="00FC2782">
          <w:rPr>
            <w:webHidden/>
          </w:rPr>
          <w:tab/>
        </w:r>
        <w:r w:rsidR="00FC2782">
          <w:rPr>
            <w:webHidden/>
          </w:rPr>
          <w:fldChar w:fldCharType="begin"/>
        </w:r>
        <w:r w:rsidR="00FC2782">
          <w:rPr>
            <w:webHidden/>
          </w:rPr>
          <w:instrText xml:space="preserve"> PAGEREF _Toc430896859 \h </w:instrText>
        </w:r>
        <w:r w:rsidR="00FC2782">
          <w:rPr>
            <w:webHidden/>
          </w:rPr>
        </w:r>
        <w:r w:rsidR="00FC2782">
          <w:rPr>
            <w:webHidden/>
          </w:rPr>
          <w:fldChar w:fldCharType="separate"/>
        </w:r>
        <w:r>
          <w:rPr>
            <w:webHidden/>
          </w:rPr>
          <w:t>45</w:t>
        </w:r>
        <w:r w:rsidR="00FC2782">
          <w:rPr>
            <w:webHidden/>
          </w:rPr>
          <w:fldChar w:fldCharType="end"/>
        </w:r>
      </w:hyperlink>
    </w:p>
    <w:p w14:paraId="0F292514" w14:textId="77777777" w:rsidR="00FC2782" w:rsidRDefault="00184C79">
      <w:pPr>
        <w:pStyle w:val="TOC2"/>
        <w:rPr>
          <w:color w:val="auto"/>
          <w:kern w:val="0"/>
          <w:sz w:val="22"/>
          <w:szCs w:val="22"/>
          <w:lang w:val="en-AU" w:eastAsia="ja-JP"/>
        </w:rPr>
      </w:pPr>
      <w:hyperlink w:anchor="_Toc430896860" w:history="1">
        <w:r w:rsidR="00FC2782" w:rsidRPr="00F7643A">
          <w:rPr>
            <w:rStyle w:val="Hyperlink"/>
          </w:rPr>
          <w:t>6.7</w:t>
        </w:r>
        <w:r w:rsidR="00FC2782">
          <w:rPr>
            <w:color w:val="auto"/>
            <w:kern w:val="0"/>
            <w:sz w:val="22"/>
            <w:szCs w:val="22"/>
            <w:lang w:val="en-AU" w:eastAsia="ja-JP"/>
          </w:rPr>
          <w:tab/>
        </w:r>
        <w:r w:rsidR="00FC2782" w:rsidRPr="00F7643A">
          <w:rPr>
            <w:rStyle w:val="Hyperlink"/>
          </w:rPr>
          <w:t>Perth</w:t>
        </w:r>
        <w:r w:rsidR="00FC2782">
          <w:rPr>
            <w:webHidden/>
          </w:rPr>
          <w:tab/>
        </w:r>
        <w:r w:rsidR="00FC2782">
          <w:rPr>
            <w:webHidden/>
          </w:rPr>
          <w:fldChar w:fldCharType="begin"/>
        </w:r>
        <w:r w:rsidR="00FC2782">
          <w:rPr>
            <w:webHidden/>
          </w:rPr>
          <w:instrText xml:space="preserve"> PAGEREF _Toc430896860 \h </w:instrText>
        </w:r>
        <w:r w:rsidR="00FC2782">
          <w:rPr>
            <w:webHidden/>
          </w:rPr>
        </w:r>
        <w:r w:rsidR="00FC2782">
          <w:rPr>
            <w:webHidden/>
          </w:rPr>
          <w:fldChar w:fldCharType="separate"/>
        </w:r>
        <w:r>
          <w:rPr>
            <w:webHidden/>
          </w:rPr>
          <w:t>45</w:t>
        </w:r>
        <w:r w:rsidR="00FC2782">
          <w:rPr>
            <w:webHidden/>
          </w:rPr>
          <w:fldChar w:fldCharType="end"/>
        </w:r>
      </w:hyperlink>
    </w:p>
    <w:p w14:paraId="38802026" w14:textId="77777777" w:rsidR="00FC2782" w:rsidRDefault="00184C79">
      <w:pPr>
        <w:pStyle w:val="TOC2"/>
        <w:rPr>
          <w:color w:val="auto"/>
          <w:kern w:val="0"/>
          <w:sz w:val="22"/>
          <w:szCs w:val="22"/>
          <w:lang w:val="en-AU" w:eastAsia="ja-JP"/>
        </w:rPr>
      </w:pPr>
      <w:hyperlink w:anchor="_Toc430896861" w:history="1">
        <w:r w:rsidR="00FC2782" w:rsidRPr="00F7643A">
          <w:rPr>
            <w:rStyle w:val="Hyperlink"/>
          </w:rPr>
          <w:t>6.8</w:t>
        </w:r>
        <w:r w:rsidR="00FC2782">
          <w:rPr>
            <w:color w:val="auto"/>
            <w:kern w:val="0"/>
            <w:sz w:val="22"/>
            <w:szCs w:val="22"/>
            <w:lang w:val="en-AU" w:eastAsia="ja-JP"/>
          </w:rPr>
          <w:tab/>
        </w:r>
        <w:r w:rsidR="00FC2782" w:rsidRPr="00F7643A">
          <w:rPr>
            <w:rStyle w:val="Hyperlink"/>
          </w:rPr>
          <w:t>Sydney</w:t>
        </w:r>
        <w:r w:rsidR="00FC2782">
          <w:rPr>
            <w:webHidden/>
          </w:rPr>
          <w:tab/>
        </w:r>
        <w:r w:rsidR="00FC2782">
          <w:rPr>
            <w:webHidden/>
          </w:rPr>
          <w:fldChar w:fldCharType="begin"/>
        </w:r>
        <w:r w:rsidR="00FC2782">
          <w:rPr>
            <w:webHidden/>
          </w:rPr>
          <w:instrText xml:space="preserve"> PAGEREF _Toc430896861 \h </w:instrText>
        </w:r>
        <w:r w:rsidR="00FC2782">
          <w:rPr>
            <w:webHidden/>
          </w:rPr>
        </w:r>
        <w:r w:rsidR="00FC2782">
          <w:rPr>
            <w:webHidden/>
          </w:rPr>
          <w:fldChar w:fldCharType="separate"/>
        </w:r>
        <w:r>
          <w:rPr>
            <w:webHidden/>
          </w:rPr>
          <w:t>47</w:t>
        </w:r>
        <w:r w:rsidR="00FC2782">
          <w:rPr>
            <w:webHidden/>
          </w:rPr>
          <w:fldChar w:fldCharType="end"/>
        </w:r>
      </w:hyperlink>
    </w:p>
    <w:p w14:paraId="265E1368" w14:textId="6FE7CC53" w:rsidR="00FC2782" w:rsidRDefault="00184C79">
      <w:pPr>
        <w:pStyle w:val="TOC2"/>
        <w:rPr>
          <w:color w:val="auto"/>
          <w:kern w:val="0"/>
          <w:sz w:val="22"/>
          <w:szCs w:val="22"/>
          <w:lang w:val="en-AU" w:eastAsia="ja-JP"/>
        </w:rPr>
      </w:pPr>
      <w:hyperlink w:anchor="_Toc430896862" w:history="1">
        <w:r w:rsidR="00154945">
          <w:rPr>
            <w:rStyle w:val="Hyperlink"/>
          </w:rPr>
          <w:t>6.9</w:t>
        </w:r>
        <w:r w:rsidR="00FC2782">
          <w:rPr>
            <w:color w:val="auto"/>
            <w:kern w:val="0"/>
            <w:sz w:val="22"/>
            <w:szCs w:val="22"/>
            <w:lang w:val="en-AU" w:eastAsia="ja-JP"/>
          </w:rPr>
          <w:tab/>
        </w:r>
        <w:r w:rsidR="00FC2782" w:rsidRPr="00F7643A">
          <w:rPr>
            <w:rStyle w:val="Hyperlink"/>
          </w:rPr>
          <w:t>Conclusion</w:t>
        </w:r>
        <w:r w:rsidR="00FC2782">
          <w:rPr>
            <w:webHidden/>
          </w:rPr>
          <w:tab/>
        </w:r>
        <w:r w:rsidR="00FC2782">
          <w:rPr>
            <w:webHidden/>
          </w:rPr>
          <w:fldChar w:fldCharType="begin"/>
        </w:r>
        <w:r w:rsidR="00FC2782">
          <w:rPr>
            <w:webHidden/>
          </w:rPr>
          <w:instrText xml:space="preserve"> PAGEREF _Toc430896862 \h </w:instrText>
        </w:r>
        <w:r w:rsidR="00FC2782">
          <w:rPr>
            <w:webHidden/>
          </w:rPr>
        </w:r>
        <w:r w:rsidR="00FC2782">
          <w:rPr>
            <w:webHidden/>
          </w:rPr>
          <w:fldChar w:fldCharType="separate"/>
        </w:r>
        <w:r>
          <w:rPr>
            <w:webHidden/>
          </w:rPr>
          <w:t>50</w:t>
        </w:r>
        <w:r w:rsidR="00FC2782">
          <w:rPr>
            <w:webHidden/>
          </w:rPr>
          <w:fldChar w:fldCharType="end"/>
        </w:r>
      </w:hyperlink>
    </w:p>
    <w:p w14:paraId="021B447E" w14:textId="77777777" w:rsidR="00FC2782" w:rsidRDefault="00184C79">
      <w:pPr>
        <w:pStyle w:val="TOC1"/>
        <w:rPr>
          <w:b w:val="0"/>
          <w:caps w:val="0"/>
          <w:color w:val="auto"/>
          <w:kern w:val="0"/>
          <w:sz w:val="22"/>
          <w:szCs w:val="22"/>
          <w:lang w:val="en-AU" w:eastAsia="ja-JP"/>
        </w:rPr>
      </w:pPr>
      <w:hyperlink w:anchor="_Toc430896863" w:history="1">
        <w:r w:rsidR="00FC2782" w:rsidRPr="00F7643A">
          <w:rPr>
            <w:rStyle w:val="Hyperlink"/>
          </w:rPr>
          <w:t>7</w:t>
        </w:r>
        <w:r w:rsidR="00FC2782">
          <w:rPr>
            <w:b w:val="0"/>
            <w:caps w:val="0"/>
            <w:color w:val="auto"/>
            <w:kern w:val="0"/>
            <w:sz w:val="22"/>
            <w:szCs w:val="22"/>
            <w:lang w:val="en-AU" w:eastAsia="ja-JP"/>
          </w:rPr>
          <w:tab/>
        </w:r>
        <w:r w:rsidR="00FC2782" w:rsidRPr="00F7643A">
          <w:rPr>
            <w:rStyle w:val="Hyperlink"/>
          </w:rPr>
          <w:t>embedding value capture in australia</w:t>
        </w:r>
        <w:r w:rsidR="00FC2782">
          <w:rPr>
            <w:webHidden/>
          </w:rPr>
          <w:tab/>
        </w:r>
        <w:r w:rsidR="00FC2782">
          <w:rPr>
            <w:webHidden/>
          </w:rPr>
          <w:fldChar w:fldCharType="begin"/>
        </w:r>
        <w:r w:rsidR="00FC2782">
          <w:rPr>
            <w:webHidden/>
          </w:rPr>
          <w:instrText xml:space="preserve"> PAGEREF _Toc430896863 \h </w:instrText>
        </w:r>
        <w:r w:rsidR="00FC2782">
          <w:rPr>
            <w:webHidden/>
          </w:rPr>
        </w:r>
        <w:r w:rsidR="00FC2782">
          <w:rPr>
            <w:webHidden/>
          </w:rPr>
          <w:fldChar w:fldCharType="separate"/>
        </w:r>
        <w:r>
          <w:rPr>
            <w:webHidden/>
          </w:rPr>
          <w:t>51</w:t>
        </w:r>
        <w:r w:rsidR="00FC2782">
          <w:rPr>
            <w:webHidden/>
          </w:rPr>
          <w:fldChar w:fldCharType="end"/>
        </w:r>
      </w:hyperlink>
    </w:p>
    <w:p w14:paraId="6B1F42BA" w14:textId="77777777" w:rsidR="00FC2782" w:rsidRDefault="00184C79">
      <w:pPr>
        <w:pStyle w:val="TOC2"/>
        <w:rPr>
          <w:color w:val="auto"/>
          <w:kern w:val="0"/>
          <w:sz w:val="22"/>
          <w:szCs w:val="22"/>
          <w:lang w:val="en-AU" w:eastAsia="ja-JP"/>
        </w:rPr>
      </w:pPr>
      <w:hyperlink w:anchor="_Toc430896864" w:history="1">
        <w:r w:rsidR="00FC2782" w:rsidRPr="00F7643A">
          <w:rPr>
            <w:rStyle w:val="Hyperlink"/>
          </w:rPr>
          <w:t>7.1</w:t>
        </w:r>
        <w:r w:rsidR="00FC2782">
          <w:rPr>
            <w:color w:val="auto"/>
            <w:kern w:val="0"/>
            <w:sz w:val="22"/>
            <w:szCs w:val="22"/>
            <w:lang w:val="en-AU" w:eastAsia="ja-JP"/>
          </w:rPr>
          <w:tab/>
        </w:r>
        <w:r w:rsidR="00FC2782" w:rsidRPr="00F7643A">
          <w:rPr>
            <w:rStyle w:val="Hyperlink"/>
          </w:rPr>
          <w:t>Value Capture Core Criteria</w:t>
        </w:r>
        <w:r w:rsidR="00FC2782">
          <w:rPr>
            <w:webHidden/>
          </w:rPr>
          <w:tab/>
        </w:r>
        <w:r w:rsidR="00FC2782">
          <w:rPr>
            <w:webHidden/>
          </w:rPr>
          <w:fldChar w:fldCharType="begin"/>
        </w:r>
        <w:r w:rsidR="00FC2782">
          <w:rPr>
            <w:webHidden/>
          </w:rPr>
          <w:instrText xml:space="preserve"> PAGEREF _Toc430896864 \h </w:instrText>
        </w:r>
        <w:r w:rsidR="00FC2782">
          <w:rPr>
            <w:webHidden/>
          </w:rPr>
        </w:r>
        <w:r w:rsidR="00FC2782">
          <w:rPr>
            <w:webHidden/>
          </w:rPr>
          <w:fldChar w:fldCharType="separate"/>
        </w:r>
        <w:r>
          <w:rPr>
            <w:webHidden/>
          </w:rPr>
          <w:t>51</w:t>
        </w:r>
        <w:r w:rsidR="00FC2782">
          <w:rPr>
            <w:webHidden/>
          </w:rPr>
          <w:fldChar w:fldCharType="end"/>
        </w:r>
      </w:hyperlink>
    </w:p>
    <w:p w14:paraId="294FD92D" w14:textId="77777777" w:rsidR="00FC2782" w:rsidRDefault="00184C79">
      <w:pPr>
        <w:pStyle w:val="TOC2"/>
        <w:rPr>
          <w:color w:val="auto"/>
          <w:kern w:val="0"/>
          <w:sz w:val="22"/>
          <w:szCs w:val="22"/>
          <w:lang w:val="en-AU" w:eastAsia="ja-JP"/>
        </w:rPr>
      </w:pPr>
      <w:hyperlink w:anchor="_Toc430896865" w:history="1">
        <w:r w:rsidR="00FC2782" w:rsidRPr="00F7643A">
          <w:rPr>
            <w:rStyle w:val="Hyperlink"/>
          </w:rPr>
          <w:t>7.2</w:t>
        </w:r>
        <w:r w:rsidR="00FC2782">
          <w:rPr>
            <w:color w:val="auto"/>
            <w:kern w:val="0"/>
            <w:sz w:val="22"/>
            <w:szCs w:val="22"/>
            <w:lang w:val="en-AU" w:eastAsia="ja-JP"/>
          </w:rPr>
          <w:tab/>
        </w:r>
        <w:r w:rsidR="00FC2782" w:rsidRPr="00F7643A">
          <w:rPr>
            <w:rStyle w:val="Hyperlink"/>
          </w:rPr>
          <w:t>Governance</w:t>
        </w:r>
        <w:r w:rsidR="00FC2782">
          <w:rPr>
            <w:webHidden/>
          </w:rPr>
          <w:tab/>
        </w:r>
        <w:r w:rsidR="00FC2782">
          <w:rPr>
            <w:webHidden/>
          </w:rPr>
          <w:fldChar w:fldCharType="begin"/>
        </w:r>
        <w:r w:rsidR="00FC2782">
          <w:rPr>
            <w:webHidden/>
          </w:rPr>
          <w:instrText xml:space="preserve"> PAGEREF _Toc430896865 \h </w:instrText>
        </w:r>
        <w:r w:rsidR="00FC2782">
          <w:rPr>
            <w:webHidden/>
          </w:rPr>
        </w:r>
        <w:r w:rsidR="00FC2782">
          <w:rPr>
            <w:webHidden/>
          </w:rPr>
          <w:fldChar w:fldCharType="separate"/>
        </w:r>
        <w:r>
          <w:rPr>
            <w:webHidden/>
          </w:rPr>
          <w:t>52</w:t>
        </w:r>
        <w:r w:rsidR="00FC2782">
          <w:rPr>
            <w:webHidden/>
          </w:rPr>
          <w:fldChar w:fldCharType="end"/>
        </w:r>
      </w:hyperlink>
    </w:p>
    <w:p w14:paraId="774B6AA3" w14:textId="77777777" w:rsidR="00FC2782" w:rsidRDefault="00184C79">
      <w:pPr>
        <w:pStyle w:val="TOC2"/>
        <w:rPr>
          <w:color w:val="auto"/>
          <w:kern w:val="0"/>
          <w:sz w:val="22"/>
          <w:szCs w:val="22"/>
          <w:lang w:val="en-AU" w:eastAsia="ja-JP"/>
        </w:rPr>
      </w:pPr>
      <w:hyperlink w:anchor="_Toc430896866" w:history="1">
        <w:r w:rsidR="00FC2782" w:rsidRPr="00F7643A">
          <w:rPr>
            <w:rStyle w:val="Hyperlink"/>
          </w:rPr>
          <w:t>7.3</w:t>
        </w:r>
        <w:r w:rsidR="00FC2782">
          <w:rPr>
            <w:color w:val="auto"/>
            <w:kern w:val="0"/>
            <w:sz w:val="22"/>
            <w:szCs w:val="22"/>
            <w:lang w:val="en-AU" w:eastAsia="ja-JP"/>
          </w:rPr>
          <w:tab/>
        </w:r>
        <w:r w:rsidR="00FC2782" w:rsidRPr="00F7643A">
          <w:rPr>
            <w:rStyle w:val="Hyperlink"/>
          </w:rPr>
          <w:t>Conclusion</w:t>
        </w:r>
        <w:r w:rsidR="00FC2782">
          <w:rPr>
            <w:webHidden/>
          </w:rPr>
          <w:tab/>
        </w:r>
        <w:r w:rsidR="00FC2782">
          <w:rPr>
            <w:webHidden/>
          </w:rPr>
          <w:fldChar w:fldCharType="begin"/>
        </w:r>
        <w:r w:rsidR="00FC2782">
          <w:rPr>
            <w:webHidden/>
          </w:rPr>
          <w:instrText xml:space="preserve"> PAGEREF _Toc430896866 \h </w:instrText>
        </w:r>
        <w:r w:rsidR="00FC2782">
          <w:rPr>
            <w:webHidden/>
          </w:rPr>
        </w:r>
        <w:r w:rsidR="00FC2782">
          <w:rPr>
            <w:webHidden/>
          </w:rPr>
          <w:fldChar w:fldCharType="separate"/>
        </w:r>
        <w:r>
          <w:rPr>
            <w:webHidden/>
          </w:rPr>
          <w:t>53</w:t>
        </w:r>
        <w:r w:rsidR="00FC2782">
          <w:rPr>
            <w:webHidden/>
          </w:rPr>
          <w:fldChar w:fldCharType="end"/>
        </w:r>
      </w:hyperlink>
    </w:p>
    <w:p w14:paraId="33A5E031" w14:textId="77777777" w:rsidR="00AB0685" w:rsidRDefault="006B008F" w:rsidP="00EC2E52">
      <w:r w:rsidRPr="008950FC">
        <w:rPr>
          <w:rStyle w:val="Hyperlink"/>
          <w:sz w:val="20"/>
        </w:rPr>
        <w:fldChar w:fldCharType="end"/>
      </w:r>
    </w:p>
    <w:p w14:paraId="7D968F2A" w14:textId="7D8AB078" w:rsidR="00E82F86" w:rsidRDefault="00E82F86">
      <w:r>
        <w:br w:type="page"/>
      </w:r>
    </w:p>
    <w:p w14:paraId="620C7FBB" w14:textId="39BB876E" w:rsidR="00E4454D" w:rsidRDefault="00E82F86" w:rsidP="00E4454D">
      <w:pPr>
        <w:pStyle w:val="ListofFiguresandTables"/>
        <w:ind w:right="5333"/>
      </w:pPr>
      <w:r>
        <w:lastRenderedPageBreak/>
        <w:t>L</w:t>
      </w:r>
      <w:r w:rsidR="00E4454D">
        <w:t xml:space="preserve">ist of figures </w:t>
      </w:r>
    </w:p>
    <w:p w14:paraId="6880C4FB" w14:textId="77777777" w:rsidR="00926505" w:rsidRDefault="00E4454D">
      <w:pPr>
        <w:pStyle w:val="TableofFigures"/>
        <w:rPr>
          <w:caps w:val="0"/>
          <w:noProof/>
          <w:spacing w:val="0"/>
          <w:kern w:val="0"/>
          <w:sz w:val="22"/>
          <w:szCs w:val="22"/>
          <w:lang w:val="en-AU" w:eastAsia="ja-JP"/>
        </w:rPr>
      </w:pPr>
      <w:r>
        <w:rPr>
          <w:sz w:val="17"/>
          <w:szCs w:val="17"/>
          <w:lang w:eastAsia="en-US"/>
        </w:rPr>
        <w:fldChar w:fldCharType="begin"/>
      </w:r>
      <w:r>
        <w:rPr>
          <w:sz w:val="17"/>
          <w:szCs w:val="17"/>
          <w:lang w:eastAsia="en-US"/>
        </w:rPr>
        <w:instrText xml:space="preserve"> TOC \h \z \c "Figure" </w:instrText>
      </w:r>
      <w:r>
        <w:rPr>
          <w:sz w:val="17"/>
          <w:szCs w:val="17"/>
          <w:lang w:eastAsia="en-US"/>
        </w:rPr>
        <w:fldChar w:fldCharType="separate"/>
      </w:r>
      <w:hyperlink w:anchor="_Toc430896553" w:history="1">
        <w:r w:rsidR="00926505" w:rsidRPr="0032207B">
          <w:rPr>
            <w:rStyle w:val="Hyperlink"/>
            <w:noProof/>
          </w:rPr>
          <w:t>Figure 1. economic benefits of public transport infrastructure</w:t>
        </w:r>
        <w:r w:rsidR="00926505">
          <w:rPr>
            <w:noProof/>
            <w:webHidden/>
          </w:rPr>
          <w:tab/>
        </w:r>
        <w:r w:rsidR="00926505">
          <w:rPr>
            <w:noProof/>
            <w:webHidden/>
          </w:rPr>
          <w:fldChar w:fldCharType="begin"/>
        </w:r>
        <w:r w:rsidR="00926505">
          <w:rPr>
            <w:noProof/>
            <w:webHidden/>
          </w:rPr>
          <w:instrText xml:space="preserve"> PAGEREF _Toc430896553 \h </w:instrText>
        </w:r>
        <w:r w:rsidR="00926505">
          <w:rPr>
            <w:noProof/>
            <w:webHidden/>
          </w:rPr>
        </w:r>
        <w:r w:rsidR="00926505">
          <w:rPr>
            <w:noProof/>
            <w:webHidden/>
          </w:rPr>
          <w:fldChar w:fldCharType="separate"/>
        </w:r>
        <w:r w:rsidR="00184C79">
          <w:rPr>
            <w:noProof/>
            <w:webHidden/>
          </w:rPr>
          <w:t>22</w:t>
        </w:r>
        <w:r w:rsidR="00926505">
          <w:rPr>
            <w:noProof/>
            <w:webHidden/>
          </w:rPr>
          <w:fldChar w:fldCharType="end"/>
        </w:r>
      </w:hyperlink>
    </w:p>
    <w:p w14:paraId="2F11BDE8" w14:textId="77777777" w:rsidR="00926505" w:rsidRDefault="00184C79">
      <w:pPr>
        <w:pStyle w:val="TableofFigures"/>
        <w:rPr>
          <w:caps w:val="0"/>
          <w:noProof/>
          <w:spacing w:val="0"/>
          <w:kern w:val="0"/>
          <w:sz w:val="22"/>
          <w:szCs w:val="22"/>
          <w:lang w:val="en-AU" w:eastAsia="ja-JP"/>
        </w:rPr>
      </w:pPr>
      <w:hyperlink w:anchor="_Toc430896554" w:history="1">
        <w:r w:rsidR="00926505" w:rsidRPr="0032207B">
          <w:rPr>
            <w:rStyle w:val="Hyperlink"/>
            <w:noProof/>
          </w:rPr>
          <w:t>Figure 2. crossrail london</w:t>
        </w:r>
        <w:r w:rsidR="00926505">
          <w:rPr>
            <w:noProof/>
            <w:webHidden/>
          </w:rPr>
          <w:tab/>
        </w:r>
        <w:r w:rsidR="00926505">
          <w:rPr>
            <w:noProof/>
            <w:webHidden/>
          </w:rPr>
          <w:fldChar w:fldCharType="begin"/>
        </w:r>
        <w:r w:rsidR="00926505">
          <w:rPr>
            <w:noProof/>
            <w:webHidden/>
          </w:rPr>
          <w:instrText xml:space="preserve"> PAGEREF _Toc430896554 \h </w:instrText>
        </w:r>
        <w:r w:rsidR="00926505">
          <w:rPr>
            <w:noProof/>
            <w:webHidden/>
          </w:rPr>
        </w:r>
        <w:r w:rsidR="00926505">
          <w:rPr>
            <w:noProof/>
            <w:webHidden/>
          </w:rPr>
          <w:fldChar w:fldCharType="separate"/>
        </w:r>
        <w:r>
          <w:rPr>
            <w:noProof/>
            <w:webHidden/>
          </w:rPr>
          <w:t>23</w:t>
        </w:r>
        <w:r w:rsidR="00926505">
          <w:rPr>
            <w:noProof/>
            <w:webHidden/>
          </w:rPr>
          <w:fldChar w:fldCharType="end"/>
        </w:r>
      </w:hyperlink>
    </w:p>
    <w:p w14:paraId="56AF3643" w14:textId="77777777" w:rsidR="00926505" w:rsidRDefault="00184C79">
      <w:pPr>
        <w:pStyle w:val="TableofFigures"/>
        <w:rPr>
          <w:caps w:val="0"/>
          <w:noProof/>
          <w:spacing w:val="0"/>
          <w:kern w:val="0"/>
          <w:sz w:val="22"/>
          <w:szCs w:val="22"/>
          <w:lang w:val="en-AU" w:eastAsia="ja-JP"/>
        </w:rPr>
      </w:pPr>
      <w:hyperlink w:anchor="_Toc430896555" w:history="1">
        <w:r w:rsidR="00926505" w:rsidRPr="0032207B">
          <w:rPr>
            <w:rStyle w:val="Hyperlink"/>
            <w:noProof/>
          </w:rPr>
          <w:t>Figure 3.</w:t>
        </w:r>
        <w:r w:rsidR="00926505">
          <w:rPr>
            <w:caps w:val="0"/>
            <w:noProof/>
            <w:spacing w:val="0"/>
            <w:kern w:val="0"/>
            <w:sz w:val="22"/>
            <w:szCs w:val="22"/>
            <w:lang w:val="en-AU" w:eastAsia="ja-JP"/>
          </w:rPr>
          <w:tab/>
        </w:r>
        <w:r w:rsidR="00926505" w:rsidRPr="0032207B">
          <w:rPr>
            <w:rStyle w:val="Hyperlink"/>
            <w:noProof/>
          </w:rPr>
          <w:t>funding structure of crossrail</w:t>
        </w:r>
        <w:r w:rsidR="00926505">
          <w:rPr>
            <w:noProof/>
            <w:webHidden/>
          </w:rPr>
          <w:tab/>
        </w:r>
        <w:r w:rsidR="00926505">
          <w:rPr>
            <w:noProof/>
            <w:webHidden/>
          </w:rPr>
          <w:fldChar w:fldCharType="begin"/>
        </w:r>
        <w:r w:rsidR="00926505">
          <w:rPr>
            <w:noProof/>
            <w:webHidden/>
          </w:rPr>
          <w:instrText xml:space="preserve"> PAGEREF _Toc430896555 \h </w:instrText>
        </w:r>
        <w:r w:rsidR="00926505">
          <w:rPr>
            <w:noProof/>
            <w:webHidden/>
          </w:rPr>
        </w:r>
        <w:r w:rsidR="00926505">
          <w:rPr>
            <w:noProof/>
            <w:webHidden/>
          </w:rPr>
          <w:fldChar w:fldCharType="separate"/>
        </w:r>
        <w:r>
          <w:rPr>
            <w:noProof/>
            <w:webHidden/>
          </w:rPr>
          <w:t>24</w:t>
        </w:r>
        <w:r w:rsidR="00926505">
          <w:rPr>
            <w:noProof/>
            <w:webHidden/>
          </w:rPr>
          <w:fldChar w:fldCharType="end"/>
        </w:r>
      </w:hyperlink>
    </w:p>
    <w:p w14:paraId="1AC17F09" w14:textId="77777777" w:rsidR="00926505" w:rsidRDefault="00184C79">
      <w:pPr>
        <w:pStyle w:val="TableofFigures"/>
        <w:rPr>
          <w:caps w:val="0"/>
          <w:noProof/>
          <w:spacing w:val="0"/>
          <w:kern w:val="0"/>
          <w:sz w:val="22"/>
          <w:szCs w:val="22"/>
          <w:lang w:val="en-AU" w:eastAsia="ja-JP"/>
        </w:rPr>
      </w:pPr>
      <w:hyperlink w:anchor="_Toc430896556" w:history="1">
        <w:r w:rsidR="00926505" w:rsidRPr="0032207B">
          <w:rPr>
            <w:rStyle w:val="Hyperlink"/>
            <w:noProof/>
          </w:rPr>
          <w:t>Figure 4. travel time improvements from crossrail</w:t>
        </w:r>
        <w:r w:rsidR="00926505">
          <w:rPr>
            <w:noProof/>
            <w:webHidden/>
          </w:rPr>
          <w:tab/>
        </w:r>
        <w:r w:rsidR="00926505">
          <w:rPr>
            <w:noProof/>
            <w:webHidden/>
          </w:rPr>
          <w:fldChar w:fldCharType="begin"/>
        </w:r>
        <w:r w:rsidR="00926505">
          <w:rPr>
            <w:noProof/>
            <w:webHidden/>
          </w:rPr>
          <w:instrText xml:space="preserve"> PAGEREF _Toc430896556 \h </w:instrText>
        </w:r>
        <w:r w:rsidR="00926505">
          <w:rPr>
            <w:noProof/>
            <w:webHidden/>
          </w:rPr>
        </w:r>
        <w:r w:rsidR="00926505">
          <w:rPr>
            <w:noProof/>
            <w:webHidden/>
          </w:rPr>
          <w:fldChar w:fldCharType="separate"/>
        </w:r>
        <w:r>
          <w:rPr>
            <w:noProof/>
            <w:webHidden/>
          </w:rPr>
          <w:t>24</w:t>
        </w:r>
        <w:r w:rsidR="00926505">
          <w:rPr>
            <w:noProof/>
            <w:webHidden/>
          </w:rPr>
          <w:fldChar w:fldCharType="end"/>
        </w:r>
      </w:hyperlink>
    </w:p>
    <w:p w14:paraId="0C3335D1" w14:textId="77777777" w:rsidR="00926505" w:rsidRDefault="00184C79">
      <w:pPr>
        <w:pStyle w:val="TableofFigures"/>
        <w:rPr>
          <w:caps w:val="0"/>
          <w:noProof/>
          <w:spacing w:val="0"/>
          <w:kern w:val="0"/>
          <w:sz w:val="22"/>
          <w:szCs w:val="22"/>
          <w:lang w:val="en-AU" w:eastAsia="ja-JP"/>
        </w:rPr>
      </w:pPr>
      <w:hyperlink w:anchor="_Toc430896557" w:history="1">
        <w:r w:rsidR="00926505" w:rsidRPr="0032207B">
          <w:rPr>
            <w:rStyle w:val="Hyperlink"/>
            <w:noProof/>
          </w:rPr>
          <w:t>Figure 5.</w:t>
        </w:r>
        <w:r w:rsidR="00926505">
          <w:rPr>
            <w:caps w:val="0"/>
            <w:noProof/>
            <w:spacing w:val="0"/>
            <w:kern w:val="0"/>
            <w:sz w:val="22"/>
            <w:szCs w:val="22"/>
            <w:lang w:val="en-AU" w:eastAsia="ja-JP"/>
          </w:rPr>
          <w:tab/>
        </w:r>
        <w:r w:rsidR="00926505" w:rsidRPr="0032207B">
          <w:rPr>
            <w:rStyle w:val="Hyperlink"/>
            <w:noProof/>
          </w:rPr>
          <w:t>site plan of hudson yards</w:t>
        </w:r>
        <w:r w:rsidR="00926505">
          <w:rPr>
            <w:noProof/>
            <w:webHidden/>
          </w:rPr>
          <w:tab/>
        </w:r>
        <w:r w:rsidR="00926505">
          <w:rPr>
            <w:noProof/>
            <w:webHidden/>
          </w:rPr>
          <w:fldChar w:fldCharType="begin"/>
        </w:r>
        <w:r w:rsidR="00926505">
          <w:rPr>
            <w:noProof/>
            <w:webHidden/>
          </w:rPr>
          <w:instrText xml:space="preserve"> PAGEREF _Toc430896557 \h </w:instrText>
        </w:r>
        <w:r w:rsidR="00926505">
          <w:rPr>
            <w:noProof/>
            <w:webHidden/>
          </w:rPr>
        </w:r>
        <w:r w:rsidR="00926505">
          <w:rPr>
            <w:noProof/>
            <w:webHidden/>
          </w:rPr>
          <w:fldChar w:fldCharType="separate"/>
        </w:r>
        <w:r>
          <w:rPr>
            <w:noProof/>
            <w:webHidden/>
          </w:rPr>
          <w:t>26</w:t>
        </w:r>
        <w:r w:rsidR="00926505">
          <w:rPr>
            <w:noProof/>
            <w:webHidden/>
          </w:rPr>
          <w:fldChar w:fldCharType="end"/>
        </w:r>
      </w:hyperlink>
    </w:p>
    <w:p w14:paraId="23A45996" w14:textId="77777777" w:rsidR="00926505" w:rsidRDefault="00184C79">
      <w:pPr>
        <w:pStyle w:val="TableofFigures"/>
        <w:rPr>
          <w:caps w:val="0"/>
          <w:noProof/>
          <w:spacing w:val="0"/>
          <w:kern w:val="0"/>
          <w:sz w:val="22"/>
          <w:szCs w:val="22"/>
          <w:lang w:val="en-AU" w:eastAsia="ja-JP"/>
        </w:rPr>
      </w:pPr>
      <w:hyperlink w:anchor="_Toc430896558" w:history="1">
        <w:r w:rsidR="00926505" w:rsidRPr="0032207B">
          <w:rPr>
            <w:rStyle w:val="Hyperlink"/>
            <w:noProof/>
          </w:rPr>
          <w:t>Figure 6.</w:t>
        </w:r>
        <w:r w:rsidR="00926505">
          <w:rPr>
            <w:caps w:val="0"/>
            <w:noProof/>
            <w:spacing w:val="0"/>
            <w:kern w:val="0"/>
            <w:sz w:val="22"/>
            <w:szCs w:val="22"/>
            <w:lang w:val="en-AU" w:eastAsia="ja-JP"/>
          </w:rPr>
          <w:tab/>
        </w:r>
        <w:r w:rsidR="00926505" w:rsidRPr="0032207B">
          <w:rPr>
            <w:rStyle w:val="Hyperlink"/>
            <w:noProof/>
          </w:rPr>
          <w:t>build out of hudson yards</w:t>
        </w:r>
        <w:r w:rsidR="00926505">
          <w:rPr>
            <w:noProof/>
            <w:webHidden/>
          </w:rPr>
          <w:tab/>
        </w:r>
        <w:r w:rsidR="00926505">
          <w:rPr>
            <w:noProof/>
            <w:webHidden/>
          </w:rPr>
          <w:fldChar w:fldCharType="begin"/>
        </w:r>
        <w:r w:rsidR="00926505">
          <w:rPr>
            <w:noProof/>
            <w:webHidden/>
          </w:rPr>
          <w:instrText xml:space="preserve"> PAGEREF _Toc430896558 \h </w:instrText>
        </w:r>
        <w:r w:rsidR="00926505">
          <w:rPr>
            <w:noProof/>
            <w:webHidden/>
          </w:rPr>
        </w:r>
        <w:r w:rsidR="00926505">
          <w:rPr>
            <w:noProof/>
            <w:webHidden/>
          </w:rPr>
          <w:fldChar w:fldCharType="separate"/>
        </w:r>
        <w:r>
          <w:rPr>
            <w:noProof/>
            <w:webHidden/>
          </w:rPr>
          <w:t>27</w:t>
        </w:r>
        <w:r w:rsidR="00926505">
          <w:rPr>
            <w:noProof/>
            <w:webHidden/>
          </w:rPr>
          <w:fldChar w:fldCharType="end"/>
        </w:r>
      </w:hyperlink>
    </w:p>
    <w:p w14:paraId="730D8DFB" w14:textId="77777777" w:rsidR="00926505" w:rsidRDefault="00184C79">
      <w:pPr>
        <w:pStyle w:val="TableofFigures"/>
        <w:rPr>
          <w:caps w:val="0"/>
          <w:noProof/>
          <w:spacing w:val="0"/>
          <w:kern w:val="0"/>
          <w:sz w:val="22"/>
          <w:szCs w:val="22"/>
          <w:lang w:val="en-AU" w:eastAsia="ja-JP"/>
        </w:rPr>
      </w:pPr>
      <w:hyperlink w:anchor="_Toc430896559" w:history="1">
        <w:r w:rsidR="00926505" w:rsidRPr="0032207B">
          <w:rPr>
            <w:rStyle w:val="Hyperlink"/>
            <w:noProof/>
          </w:rPr>
          <w:t>Figure 7.</w:t>
        </w:r>
        <w:r w:rsidR="00926505">
          <w:rPr>
            <w:caps w:val="0"/>
            <w:noProof/>
            <w:spacing w:val="0"/>
            <w:kern w:val="0"/>
            <w:sz w:val="22"/>
            <w:szCs w:val="22"/>
            <w:lang w:val="en-AU" w:eastAsia="ja-JP"/>
          </w:rPr>
          <w:tab/>
        </w:r>
        <w:r w:rsidR="00926505" w:rsidRPr="0032207B">
          <w:rPr>
            <w:rStyle w:val="Hyperlink"/>
            <w:noProof/>
          </w:rPr>
          <w:t>progress in tif districts chicago</w:t>
        </w:r>
        <w:r w:rsidR="00926505">
          <w:rPr>
            <w:noProof/>
            <w:webHidden/>
          </w:rPr>
          <w:tab/>
        </w:r>
        <w:r w:rsidR="00926505">
          <w:rPr>
            <w:noProof/>
            <w:webHidden/>
          </w:rPr>
          <w:fldChar w:fldCharType="begin"/>
        </w:r>
        <w:r w:rsidR="00926505">
          <w:rPr>
            <w:noProof/>
            <w:webHidden/>
          </w:rPr>
          <w:instrText xml:space="preserve"> PAGEREF _Toc430896559 \h </w:instrText>
        </w:r>
        <w:r w:rsidR="00926505">
          <w:rPr>
            <w:noProof/>
            <w:webHidden/>
          </w:rPr>
        </w:r>
        <w:r w:rsidR="00926505">
          <w:rPr>
            <w:noProof/>
            <w:webHidden/>
          </w:rPr>
          <w:fldChar w:fldCharType="separate"/>
        </w:r>
        <w:r>
          <w:rPr>
            <w:noProof/>
            <w:webHidden/>
          </w:rPr>
          <w:t>29</w:t>
        </w:r>
        <w:r w:rsidR="00926505">
          <w:rPr>
            <w:noProof/>
            <w:webHidden/>
          </w:rPr>
          <w:fldChar w:fldCharType="end"/>
        </w:r>
      </w:hyperlink>
    </w:p>
    <w:p w14:paraId="6A0CC2C1" w14:textId="77777777" w:rsidR="00926505" w:rsidRDefault="00184C79">
      <w:pPr>
        <w:pStyle w:val="TableofFigures"/>
        <w:rPr>
          <w:caps w:val="0"/>
          <w:noProof/>
          <w:spacing w:val="0"/>
          <w:kern w:val="0"/>
          <w:sz w:val="22"/>
          <w:szCs w:val="22"/>
          <w:lang w:val="en-AU" w:eastAsia="ja-JP"/>
        </w:rPr>
      </w:pPr>
      <w:hyperlink w:anchor="_Toc430896560" w:history="1">
        <w:r w:rsidR="00926505" w:rsidRPr="0032207B">
          <w:rPr>
            <w:rStyle w:val="Hyperlink"/>
            <w:noProof/>
          </w:rPr>
          <w:t>Figure 8.</w:t>
        </w:r>
        <w:r w:rsidR="00926505">
          <w:rPr>
            <w:caps w:val="0"/>
            <w:noProof/>
            <w:spacing w:val="0"/>
            <w:kern w:val="0"/>
            <w:sz w:val="22"/>
            <w:szCs w:val="22"/>
            <w:lang w:val="en-AU" w:eastAsia="ja-JP"/>
          </w:rPr>
          <w:tab/>
        </w:r>
        <w:r w:rsidR="00926505" w:rsidRPr="0032207B">
          <w:rPr>
            <w:rStyle w:val="Hyperlink"/>
            <w:noProof/>
          </w:rPr>
          <w:t>context map – gold coast light rail</w:t>
        </w:r>
        <w:r w:rsidR="00926505">
          <w:rPr>
            <w:noProof/>
            <w:webHidden/>
          </w:rPr>
          <w:tab/>
        </w:r>
        <w:r w:rsidR="00926505">
          <w:rPr>
            <w:noProof/>
            <w:webHidden/>
          </w:rPr>
          <w:fldChar w:fldCharType="begin"/>
        </w:r>
        <w:r w:rsidR="00926505">
          <w:rPr>
            <w:noProof/>
            <w:webHidden/>
          </w:rPr>
          <w:instrText xml:space="preserve"> PAGEREF _Toc430896560 \h </w:instrText>
        </w:r>
        <w:r w:rsidR="00926505">
          <w:rPr>
            <w:noProof/>
            <w:webHidden/>
          </w:rPr>
        </w:r>
        <w:r w:rsidR="00926505">
          <w:rPr>
            <w:noProof/>
            <w:webHidden/>
          </w:rPr>
          <w:fldChar w:fldCharType="separate"/>
        </w:r>
        <w:r>
          <w:rPr>
            <w:noProof/>
            <w:webHidden/>
          </w:rPr>
          <w:t>32</w:t>
        </w:r>
        <w:r w:rsidR="00926505">
          <w:rPr>
            <w:noProof/>
            <w:webHidden/>
          </w:rPr>
          <w:fldChar w:fldCharType="end"/>
        </w:r>
      </w:hyperlink>
    </w:p>
    <w:p w14:paraId="06984799" w14:textId="77777777" w:rsidR="00926505" w:rsidRDefault="00184C79">
      <w:pPr>
        <w:pStyle w:val="TableofFigures"/>
        <w:rPr>
          <w:caps w:val="0"/>
          <w:noProof/>
          <w:spacing w:val="0"/>
          <w:kern w:val="0"/>
          <w:sz w:val="22"/>
          <w:szCs w:val="22"/>
          <w:lang w:val="en-AU" w:eastAsia="ja-JP"/>
        </w:rPr>
      </w:pPr>
      <w:hyperlink w:anchor="_Toc430896561" w:history="1">
        <w:r w:rsidR="00926505" w:rsidRPr="0032207B">
          <w:rPr>
            <w:rStyle w:val="Hyperlink"/>
            <w:noProof/>
          </w:rPr>
          <w:t>Figure 9. Typical PPP Structure</w:t>
        </w:r>
        <w:r w:rsidR="00926505">
          <w:rPr>
            <w:noProof/>
            <w:webHidden/>
          </w:rPr>
          <w:tab/>
        </w:r>
        <w:r w:rsidR="00926505">
          <w:rPr>
            <w:noProof/>
            <w:webHidden/>
          </w:rPr>
          <w:fldChar w:fldCharType="begin"/>
        </w:r>
        <w:r w:rsidR="00926505">
          <w:rPr>
            <w:noProof/>
            <w:webHidden/>
          </w:rPr>
          <w:instrText xml:space="preserve"> PAGEREF _Toc430896561 \h </w:instrText>
        </w:r>
        <w:r w:rsidR="00926505">
          <w:rPr>
            <w:noProof/>
            <w:webHidden/>
          </w:rPr>
        </w:r>
        <w:r w:rsidR="00926505">
          <w:rPr>
            <w:noProof/>
            <w:webHidden/>
          </w:rPr>
          <w:fldChar w:fldCharType="separate"/>
        </w:r>
        <w:r>
          <w:rPr>
            <w:noProof/>
            <w:webHidden/>
          </w:rPr>
          <w:t>37</w:t>
        </w:r>
        <w:r w:rsidR="00926505">
          <w:rPr>
            <w:noProof/>
            <w:webHidden/>
          </w:rPr>
          <w:fldChar w:fldCharType="end"/>
        </w:r>
      </w:hyperlink>
    </w:p>
    <w:p w14:paraId="1AFF7820" w14:textId="77777777" w:rsidR="00926505" w:rsidRDefault="00184C79">
      <w:pPr>
        <w:pStyle w:val="TableofFigures"/>
        <w:rPr>
          <w:caps w:val="0"/>
          <w:noProof/>
          <w:spacing w:val="0"/>
          <w:kern w:val="0"/>
          <w:sz w:val="22"/>
          <w:szCs w:val="22"/>
          <w:lang w:val="en-AU" w:eastAsia="ja-JP"/>
        </w:rPr>
      </w:pPr>
      <w:hyperlink w:anchor="_Toc430896562" w:history="1">
        <w:r w:rsidR="00926505" w:rsidRPr="0032207B">
          <w:rPr>
            <w:rStyle w:val="Hyperlink"/>
            <w:noProof/>
          </w:rPr>
          <w:t>Figure 10. PROPOSED ADELINK - Adelaide Light Rail network</w:t>
        </w:r>
        <w:r w:rsidR="00926505">
          <w:rPr>
            <w:noProof/>
            <w:webHidden/>
          </w:rPr>
          <w:tab/>
        </w:r>
        <w:r w:rsidR="00926505">
          <w:rPr>
            <w:noProof/>
            <w:webHidden/>
          </w:rPr>
          <w:fldChar w:fldCharType="begin"/>
        </w:r>
        <w:r w:rsidR="00926505">
          <w:rPr>
            <w:noProof/>
            <w:webHidden/>
          </w:rPr>
          <w:instrText xml:space="preserve"> PAGEREF _Toc430896562 \h </w:instrText>
        </w:r>
        <w:r w:rsidR="00926505">
          <w:rPr>
            <w:noProof/>
            <w:webHidden/>
          </w:rPr>
        </w:r>
        <w:r w:rsidR="00926505">
          <w:rPr>
            <w:noProof/>
            <w:webHidden/>
          </w:rPr>
          <w:fldChar w:fldCharType="separate"/>
        </w:r>
        <w:r>
          <w:rPr>
            <w:noProof/>
            <w:webHidden/>
          </w:rPr>
          <w:t>43</w:t>
        </w:r>
        <w:r w:rsidR="00926505">
          <w:rPr>
            <w:noProof/>
            <w:webHidden/>
          </w:rPr>
          <w:fldChar w:fldCharType="end"/>
        </w:r>
      </w:hyperlink>
    </w:p>
    <w:p w14:paraId="55B0184C" w14:textId="77777777" w:rsidR="00926505" w:rsidRDefault="00184C79">
      <w:pPr>
        <w:pStyle w:val="TableofFigures"/>
        <w:rPr>
          <w:caps w:val="0"/>
          <w:noProof/>
          <w:spacing w:val="0"/>
          <w:kern w:val="0"/>
          <w:sz w:val="22"/>
          <w:szCs w:val="22"/>
          <w:lang w:val="en-AU" w:eastAsia="ja-JP"/>
        </w:rPr>
      </w:pPr>
      <w:hyperlink w:anchor="_Toc430896563" w:history="1">
        <w:r w:rsidR="00926505" w:rsidRPr="0032207B">
          <w:rPr>
            <w:rStyle w:val="Hyperlink"/>
            <w:noProof/>
          </w:rPr>
          <w:t>Figure 11. Perth – PROPOSED MAX Light Rail Network</w:t>
        </w:r>
        <w:r w:rsidR="00926505">
          <w:rPr>
            <w:noProof/>
            <w:webHidden/>
          </w:rPr>
          <w:tab/>
        </w:r>
        <w:r w:rsidR="00926505">
          <w:rPr>
            <w:noProof/>
            <w:webHidden/>
          </w:rPr>
          <w:fldChar w:fldCharType="begin"/>
        </w:r>
        <w:r w:rsidR="00926505">
          <w:rPr>
            <w:noProof/>
            <w:webHidden/>
          </w:rPr>
          <w:instrText xml:space="preserve"> PAGEREF _Toc430896563 \h </w:instrText>
        </w:r>
        <w:r w:rsidR="00926505">
          <w:rPr>
            <w:noProof/>
            <w:webHidden/>
          </w:rPr>
        </w:r>
        <w:r w:rsidR="00926505">
          <w:rPr>
            <w:noProof/>
            <w:webHidden/>
          </w:rPr>
          <w:fldChar w:fldCharType="separate"/>
        </w:r>
        <w:r>
          <w:rPr>
            <w:noProof/>
            <w:webHidden/>
          </w:rPr>
          <w:t>46</w:t>
        </w:r>
        <w:r w:rsidR="00926505">
          <w:rPr>
            <w:noProof/>
            <w:webHidden/>
          </w:rPr>
          <w:fldChar w:fldCharType="end"/>
        </w:r>
      </w:hyperlink>
    </w:p>
    <w:p w14:paraId="5FA1100C" w14:textId="77777777" w:rsidR="00926505" w:rsidRDefault="00184C79">
      <w:pPr>
        <w:pStyle w:val="TableofFigures"/>
        <w:rPr>
          <w:caps w:val="0"/>
          <w:noProof/>
          <w:spacing w:val="0"/>
          <w:kern w:val="0"/>
          <w:sz w:val="22"/>
          <w:szCs w:val="22"/>
          <w:lang w:val="en-AU" w:eastAsia="ja-JP"/>
        </w:rPr>
      </w:pPr>
      <w:hyperlink w:anchor="_Toc430896564" w:history="1">
        <w:r w:rsidR="00926505" w:rsidRPr="0032207B">
          <w:rPr>
            <w:rStyle w:val="Hyperlink"/>
            <w:noProof/>
          </w:rPr>
          <w:t>Figure 12. australian cities proportion of financial services sector</w:t>
        </w:r>
        <w:r w:rsidR="00926505">
          <w:rPr>
            <w:noProof/>
            <w:webHidden/>
          </w:rPr>
          <w:tab/>
        </w:r>
        <w:r w:rsidR="00926505">
          <w:rPr>
            <w:noProof/>
            <w:webHidden/>
          </w:rPr>
          <w:fldChar w:fldCharType="begin"/>
        </w:r>
        <w:r w:rsidR="00926505">
          <w:rPr>
            <w:noProof/>
            <w:webHidden/>
          </w:rPr>
          <w:instrText xml:space="preserve"> PAGEREF _Toc430896564 \h </w:instrText>
        </w:r>
        <w:r w:rsidR="00926505">
          <w:rPr>
            <w:noProof/>
            <w:webHidden/>
          </w:rPr>
        </w:r>
        <w:r w:rsidR="00926505">
          <w:rPr>
            <w:noProof/>
            <w:webHidden/>
          </w:rPr>
          <w:fldChar w:fldCharType="separate"/>
        </w:r>
        <w:r>
          <w:rPr>
            <w:noProof/>
            <w:webHidden/>
          </w:rPr>
          <w:t>47</w:t>
        </w:r>
        <w:r w:rsidR="00926505">
          <w:rPr>
            <w:noProof/>
            <w:webHidden/>
          </w:rPr>
          <w:fldChar w:fldCharType="end"/>
        </w:r>
      </w:hyperlink>
    </w:p>
    <w:p w14:paraId="40F1808A" w14:textId="77777777" w:rsidR="00926505" w:rsidRDefault="00184C79">
      <w:pPr>
        <w:pStyle w:val="TableofFigures"/>
        <w:rPr>
          <w:caps w:val="0"/>
          <w:noProof/>
          <w:spacing w:val="0"/>
          <w:kern w:val="0"/>
          <w:sz w:val="22"/>
          <w:szCs w:val="22"/>
          <w:lang w:val="en-AU" w:eastAsia="ja-JP"/>
        </w:rPr>
      </w:pPr>
      <w:hyperlink w:anchor="_Toc430896565" w:history="1">
        <w:r w:rsidR="00926505" w:rsidRPr="0032207B">
          <w:rPr>
            <w:rStyle w:val="Hyperlink"/>
            <w:noProof/>
          </w:rPr>
          <w:t>Figure 13. sydney – job distribution</w:t>
        </w:r>
        <w:r w:rsidR="00926505">
          <w:rPr>
            <w:noProof/>
            <w:webHidden/>
          </w:rPr>
          <w:tab/>
        </w:r>
        <w:r w:rsidR="00926505">
          <w:rPr>
            <w:noProof/>
            <w:webHidden/>
          </w:rPr>
          <w:fldChar w:fldCharType="begin"/>
        </w:r>
        <w:r w:rsidR="00926505">
          <w:rPr>
            <w:noProof/>
            <w:webHidden/>
          </w:rPr>
          <w:instrText xml:space="preserve"> PAGEREF _Toc430896565 \h </w:instrText>
        </w:r>
        <w:r w:rsidR="00926505">
          <w:rPr>
            <w:noProof/>
            <w:webHidden/>
          </w:rPr>
        </w:r>
        <w:r w:rsidR="00926505">
          <w:rPr>
            <w:noProof/>
            <w:webHidden/>
          </w:rPr>
          <w:fldChar w:fldCharType="separate"/>
        </w:r>
        <w:r>
          <w:rPr>
            <w:noProof/>
            <w:webHidden/>
          </w:rPr>
          <w:t>48</w:t>
        </w:r>
        <w:r w:rsidR="00926505">
          <w:rPr>
            <w:noProof/>
            <w:webHidden/>
          </w:rPr>
          <w:fldChar w:fldCharType="end"/>
        </w:r>
      </w:hyperlink>
    </w:p>
    <w:p w14:paraId="048D0B1E" w14:textId="77777777" w:rsidR="00E4454D" w:rsidRDefault="00E4454D" w:rsidP="00E4454D">
      <w:pPr>
        <w:tabs>
          <w:tab w:val="left" w:pos="8108"/>
        </w:tabs>
        <w:ind w:right="-1"/>
        <w:rPr>
          <w:lang w:eastAsia="en-US"/>
        </w:rPr>
      </w:pPr>
      <w:r>
        <w:rPr>
          <w:sz w:val="17"/>
          <w:szCs w:val="17"/>
          <w:lang w:eastAsia="en-US"/>
        </w:rPr>
        <w:fldChar w:fldCharType="end"/>
      </w:r>
    </w:p>
    <w:p w14:paraId="31F032B9" w14:textId="77777777" w:rsidR="00E4454D" w:rsidRDefault="00E4454D" w:rsidP="00E4454D">
      <w:pPr>
        <w:pStyle w:val="ListofFiguresandTables"/>
      </w:pPr>
      <w:r>
        <w:t>list of tables</w:t>
      </w:r>
    </w:p>
    <w:p w14:paraId="0BE01409" w14:textId="77777777" w:rsidR="00926505" w:rsidRDefault="00E4454D">
      <w:pPr>
        <w:pStyle w:val="TableofFigures"/>
        <w:rPr>
          <w:caps w:val="0"/>
          <w:noProof/>
          <w:spacing w:val="0"/>
          <w:kern w:val="0"/>
          <w:sz w:val="22"/>
          <w:szCs w:val="22"/>
          <w:lang w:val="en-AU" w:eastAsia="ja-JP"/>
        </w:rPr>
      </w:pPr>
      <w:r>
        <w:rPr>
          <w:rStyle w:val="Hyperlink"/>
          <w:noProof/>
          <w:szCs w:val="17"/>
        </w:rPr>
        <w:fldChar w:fldCharType="begin"/>
      </w:r>
      <w:r>
        <w:rPr>
          <w:rStyle w:val="Hyperlink"/>
          <w:noProof/>
          <w:szCs w:val="17"/>
        </w:rPr>
        <w:instrText xml:space="preserve"> TOC \h \z \c "Table" </w:instrText>
      </w:r>
      <w:r>
        <w:rPr>
          <w:rStyle w:val="Hyperlink"/>
          <w:noProof/>
          <w:szCs w:val="17"/>
        </w:rPr>
        <w:fldChar w:fldCharType="separate"/>
      </w:r>
      <w:hyperlink w:anchor="_Toc430896535" w:history="1">
        <w:r w:rsidR="00926505" w:rsidRPr="00127326">
          <w:rPr>
            <w:rStyle w:val="Hyperlink"/>
            <w:noProof/>
          </w:rPr>
          <w:t>Table 1.</w:t>
        </w:r>
        <w:r w:rsidR="00926505" w:rsidRPr="00127326">
          <w:rPr>
            <w:rStyle w:val="Hyperlink"/>
            <w:b/>
            <w:noProof/>
          </w:rPr>
          <w:t xml:space="preserve"> </w:t>
        </w:r>
        <w:r w:rsidR="00926505" w:rsidRPr="00127326">
          <w:rPr>
            <w:rStyle w:val="Hyperlink"/>
            <w:noProof/>
          </w:rPr>
          <w:t>NEW PUBLIC TRANSPORT INFRASTRUCTURE BENEFICIARIES</w:t>
        </w:r>
        <w:r w:rsidR="00926505">
          <w:rPr>
            <w:noProof/>
            <w:webHidden/>
          </w:rPr>
          <w:tab/>
        </w:r>
        <w:r w:rsidR="00926505">
          <w:rPr>
            <w:noProof/>
            <w:webHidden/>
          </w:rPr>
          <w:fldChar w:fldCharType="begin"/>
        </w:r>
        <w:r w:rsidR="00926505">
          <w:rPr>
            <w:noProof/>
            <w:webHidden/>
          </w:rPr>
          <w:instrText xml:space="preserve"> PAGEREF _Toc430896535 \h </w:instrText>
        </w:r>
        <w:r w:rsidR="00926505">
          <w:rPr>
            <w:noProof/>
            <w:webHidden/>
          </w:rPr>
        </w:r>
        <w:r w:rsidR="00926505">
          <w:rPr>
            <w:noProof/>
            <w:webHidden/>
          </w:rPr>
          <w:fldChar w:fldCharType="separate"/>
        </w:r>
        <w:r w:rsidR="00184C79">
          <w:rPr>
            <w:noProof/>
            <w:webHidden/>
          </w:rPr>
          <w:t>7</w:t>
        </w:r>
        <w:r w:rsidR="00926505">
          <w:rPr>
            <w:noProof/>
            <w:webHidden/>
          </w:rPr>
          <w:fldChar w:fldCharType="end"/>
        </w:r>
      </w:hyperlink>
    </w:p>
    <w:p w14:paraId="2E6D5C96" w14:textId="77777777" w:rsidR="00926505" w:rsidRDefault="00184C79">
      <w:pPr>
        <w:pStyle w:val="TableofFigures"/>
        <w:rPr>
          <w:caps w:val="0"/>
          <w:noProof/>
          <w:spacing w:val="0"/>
          <w:kern w:val="0"/>
          <w:sz w:val="22"/>
          <w:szCs w:val="22"/>
          <w:lang w:val="en-AU" w:eastAsia="ja-JP"/>
        </w:rPr>
      </w:pPr>
      <w:hyperlink w:anchor="_Toc430896536" w:history="1">
        <w:r w:rsidR="00926505" w:rsidRPr="00127326">
          <w:rPr>
            <w:rStyle w:val="Hyperlink"/>
            <w:noProof/>
          </w:rPr>
          <w:t>Table 2. value caPTURE MECHANISMS</w:t>
        </w:r>
        <w:r w:rsidR="00926505">
          <w:rPr>
            <w:noProof/>
            <w:webHidden/>
          </w:rPr>
          <w:tab/>
        </w:r>
        <w:r w:rsidR="00926505">
          <w:rPr>
            <w:noProof/>
            <w:webHidden/>
          </w:rPr>
          <w:fldChar w:fldCharType="begin"/>
        </w:r>
        <w:r w:rsidR="00926505">
          <w:rPr>
            <w:noProof/>
            <w:webHidden/>
          </w:rPr>
          <w:instrText xml:space="preserve"> PAGEREF _Toc430896536 \h </w:instrText>
        </w:r>
        <w:r w:rsidR="00926505">
          <w:rPr>
            <w:noProof/>
            <w:webHidden/>
          </w:rPr>
        </w:r>
        <w:r w:rsidR="00926505">
          <w:rPr>
            <w:noProof/>
            <w:webHidden/>
          </w:rPr>
          <w:fldChar w:fldCharType="separate"/>
        </w:r>
        <w:r>
          <w:rPr>
            <w:noProof/>
            <w:webHidden/>
          </w:rPr>
          <w:t>8</w:t>
        </w:r>
        <w:r w:rsidR="00926505">
          <w:rPr>
            <w:noProof/>
            <w:webHidden/>
          </w:rPr>
          <w:fldChar w:fldCharType="end"/>
        </w:r>
      </w:hyperlink>
    </w:p>
    <w:p w14:paraId="3485ACA0" w14:textId="77777777" w:rsidR="00926505" w:rsidRDefault="00184C79">
      <w:pPr>
        <w:pStyle w:val="TableofFigures"/>
        <w:rPr>
          <w:caps w:val="0"/>
          <w:noProof/>
          <w:spacing w:val="0"/>
          <w:kern w:val="0"/>
          <w:sz w:val="22"/>
          <w:szCs w:val="22"/>
          <w:lang w:val="en-AU" w:eastAsia="ja-JP"/>
        </w:rPr>
      </w:pPr>
      <w:hyperlink w:anchor="_Toc430896537" w:history="1">
        <w:r w:rsidR="00926505" w:rsidRPr="00127326">
          <w:rPr>
            <w:rStyle w:val="Hyperlink"/>
            <w:noProof/>
          </w:rPr>
          <w:t>TABLE 3. ratio of farebox recovery of operating costs</w:t>
        </w:r>
        <w:r w:rsidR="00926505">
          <w:rPr>
            <w:noProof/>
            <w:webHidden/>
          </w:rPr>
          <w:tab/>
        </w:r>
        <w:r w:rsidR="00926505">
          <w:rPr>
            <w:noProof/>
            <w:webHidden/>
          </w:rPr>
          <w:fldChar w:fldCharType="begin"/>
        </w:r>
        <w:r w:rsidR="00926505">
          <w:rPr>
            <w:noProof/>
            <w:webHidden/>
          </w:rPr>
          <w:instrText xml:space="preserve"> PAGEREF _Toc430896537 \h </w:instrText>
        </w:r>
        <w:r w:rsidR="00926505">
          <w:rPr>
            <w:noProof/>
            <w:webHidden/>
          </w:rPr>
        </w:r>
        <w:r w:rsidR="00926505">
          <w:rPr>
            <w:noProof/>
            <w:webHidden/>
          </w:rPr>
          <w:fldChar w:fldCharType="separate"/>
        </w:r>
        <w:r>
          <w:rPr>
            <w:noProof/>
            <w:webHidden/>
          </w:rPr>
          <w:t>10</w:t>
        </w:r>
        <w:r w:rsidR="00926505">
          <w:rPr>
            <w:noProof/>
            <w:webHidden/>
          </w:rPr>
          <w:fldChar w:fldCharType="end"/>
        </w:r>
      </w:hyperlink>
    </w:p>
    <w:p w14:paraId="073C5091" w14:textId="77777777" w:rsidR="00926505" w:rsidRDefault="00184C79">
      <w:pPr>
        <w:pStyle w:val="TableofFigures"/>
        <w:rPr>
          <w:caps w:val="0"/>
          <w:noProof/>
          <w:spacing w:val="0"/>
          <w:kern w:val="0"/>
          <w:sz w:val="22"/>
          <w:szCs w:val="22"/>
          <w:lang w:val="en-AU" w:eastAsia="ja-JP"/>
        </w:rPr>
      </w:pPr>
      <w:hyperlink w:anchor="_Toc430896538" w:history="1">
        <w:r w:rsidR="00926505" w:rsidRPr="00127326">
          <w:rPr>
            <w:rStyle w:val="Hyperlink"/>
            <w:noProof/>
          </w:rPr>
          <w:t>Table 4. value capture framework</w:t>
        </w:r>
        <w:r w:rsidR="00926505">
          <w:rPr>
            <w:noProof/>
            <w:webHidden/>
          </w:rPr>
          <w:tab/>
        </w:r>
        <w:r w:rsidR="00926505">
          <w:rPr>
            <w:noProof/>
            <w:webHidden/>
          </w:rPr>
          <w:fldChar w:fldCharType="begin"/>
        </w:r>
        <w:r w:rsidR="00926505">
          <w:rPr>
            <w:noProof/>
            <w:webHidden/>
          </w:rPr>
          <w:instrText xml:space="preserve"> PAGEREF _Toc430896538 \h </w:instrText>
        </w:r>
        <w:r w:rsidR="00926505">
          <w:rPr>
            <w:noProof/>
            <w:webHidden/>
          </w:rPr>
        </w:r>
        <w:r w:rsidR="00926505">
          <w:rPr>
            <w:noProof/>
            <w:webHidden/>
          </w:rPr>
          <w:fldChar w:fldCharType="separate"/>
        </w:r>
        <w:r>
          <w:rPr>
            <w:noProof/>
            <w:webHidden/>
          </w:rPr>
          <w:t>12</w:t>
        </w:r>
        <w:r w:rsidR="00926505">
          <w:rPr>
            <w:noProof/>
            <w:webHidden/>
          </w:rPr>
          <w:fldChar w:fldCharType="end"/>
        </w:r>
      </w:hyperlink>
    </w:p>
    <w:p w14:paraId="2FEB875E" w14:textId="77777777" w:rsidR="00926505" w:rsidRDefault="00184C79">
      <w:pPr>
        <w:pStyle w:val="TableofFigures"/>
        <w:rPr>
          <w:caps w:val="0"/>
          <w:noProof/>
          <w:spacing w:val="0"/>
          <w:kern w:val="0"/>
          <w:sz w:val="22"/>
          <w:szCs w:val="22"/>
          <w:lang w:val="en-AU" w:eastAsia="ja-JP"/>
        </w:rPr>
      </w:pPr>
      <w:hyperlink w:anchor="_Toc430896539" w:history="1">
        <w:r w:rsidR="00926505" w:rsidRPr="00127326">
          <w:rPr>
            <w:rStyle w:val="Hyperlink"/>
            <w:noProof/>
          </w:rPr>
          <w:t>Table 5. value analysis – principles of benefit quantification</w:t>
        </w:r>
        <w:r w:rsidR="00926505">
          <w:rPr>
            <w:noProof/>
            <w:webHidden/>
          </w:rPr>
          <w:tab/>
        </w:r>
        <w:r w:rsidR="00926505">
          <w:rPr>
            <w:noProof/>
            <w:webHidden/>
          </w:rPr>
          <w:fldChar w:fldCharType="begin"/>
        </w:r>
        <w:r w:rsidR="00926505">
          <w:rPr>
            <w:noProof/>
            <w:webHidden/>
          </w:rPr>
          <w:instrText xml:space="preserve"> PAGEREF _Toc430896539 \h </w:instrText>
        </w:r>
        <w:r w:rsidR="00926505">
          <w:rPr>
            <w:noProof/>
            <w:webHidden/>
          </w:rPr>
        </w:r>
        <w:r w:rsidR="00926505">
          <w:rPr>
            <w:noProof/>
            <w:webHidden/>
          </w:rPr>
          <w:fldChar w:fldCharType="separate"/>
        </w:r>
        <w:r>
          <w:rPr>
            <w:noProof/>
            <w:webHidden/>
          </w:rPr>
          <w:t>13</w:t>
        </w:r>
        <w:r w:rsidR="00926505">
          <w:rPr>
            <w:noProof/>
            <w:webHidden/>
          </w:rPr>
          <w:fldChar w:fldCharType="end"/>
        </w:r>
      </w:hyperlink>
    </w:p>
    <w:p w14:paraId="79B4FFEE" w14:textId="77777777" w:rsidR="00926505" w:rsidRDefault="00184C79">
      <w:pPr>
        <w:pStyle w:val="TableofFigures"/>
        <w:rPr>
          <w:caps w:val="0"/>
          <w:noProof/>
          <w:spacing w:val="0"/>
          <w:kern w:val="0"/>
          <w:sz w:val="22"/>
          <w:szCs w:val="22"/>
          <w:lang w:val="en-AU" w:eastAsia="ja-JP"/>
        </w:rPr>
      </w:pPr>
      <w:hyperlink w:anchor="_Toc430896540" w:history="1">
        <w:r w:rsidR="00926505" w:rsidRPr="00127326">
          <w:rPr>
            <w:rStyle w:val="Hyperlink"/>
            <w:noProof/>
          </w:rPr>
          <w:t>Table 6. Value analysis – location of beneficiaries</w:t>
        </w:r>
        <w:r w:rsidR="00926505">
          <w:rPr>
            <w:noProof/>
            <w:webHidden/>
          </w:rPr>
          <w:tab/>
        </w:r>
        <w:r w:rsidR="00926505">
          <w:rPr>
            <w:noProof/>
            <w:webHidden/>
          </w:rPr>
          <w:fldChar w:fldCharType="begin"/>
        </w:r>
        <w:r w:rsidR="00926505">
          <w:rPr>
            <w:noProof/>
            <w:webHidden/>
          </w:rPr>
          <w:instrText xml:space="preserve"> PAGEREF _Toc430896540 \h </w:instrText>
        </w:r>
        <w:r w:rsidR="00926505">
          <w:rPr>
            <w:noProof/>
            <w:webHidden/>
          </w:rPr>
        </w:r>
        <w:r w:rsidR="00926505">
          <w:rPr>
            <w:noProof/>
            <w:webHidden/>
          </w:rPr>
          <w:fldChar w:fldCharType="separate"/>
        </w:r>
        <w:r>
          <w:rPr>
            <w:noProof/>
            <w:webHidden/>
          </w:rPr>
          <w:t>13</w:t>
        </w:r>
        <w:r w:rsidR="00926505">
          <w:rPr>
            <w:noProof/>
            <w:webHidden/>
          </w:rPr>
          <w:fldChar w:fldCharType="end"/>
        </w:r>
      </w:hyperlink>
    </w:p>
    <w:p w14:paraId="2FCB450C" w14:textId="77777777" w:rsidR="00926505" w:rsidRDefault="00184C79">
      <w:pPr>
        <w:pStyle w:val="TableofFigures"/>
        <w:rPr>
          <w:caps w:val="0"/>
          <w:noProof/>
          <w:spacing w:val="0"/>
          <w:kern w:val="0"/>
          <w:sz w:val="22"/>
          <w:szCs w:val="22"/>
          <w:lang w:val="en-AU" w:eastAsia="ja-JP"/>
        </w:rPr>
      </w:pPr>
      <w:hyperlink w:anchor="_Toc430896541" w:history="1">
        <w:r w:rsidR="00926505" w:rsidRPr="00127326">
          <w:rPr>
            <w:rStyle w:val="Hyperlink"/>
            <w:noProof/>
          </w:rPr>
          <w:t>Table 7. Value analysis – range of beneficiaries and indicative benefits</w:t>
        </w:r>
        <w:r w:rsidR="00926505">
          <w:rPr>
            <w:noProof/>
            <w:webHidden/>
          </w:rPr>
          <w:tab/>
        </w:r>
        <w:r w:rsidR="00926505">
          <w:rPr>
            <w:noProof/>
            <w:webHidden/>
          </w:rPr>
          <w:fldChar w:fldCharType="begin"/>
        </w:r>
        <w:r w:rsidR="00926505">
          <w:rPr>
            <w:noProof/>
            <w:webHidden/>
          </w:rPr>
          <w:instrText xml:space="preserve"> PAGEREF _Toc430896541 \h </w:instrText>
        </w:r>
        <w:r w:rsidR="00926505">
          <w:rPr>
            <w:noProof/>
            <w:webHidden/>
          </w:rPr>
        </w:r>
        <w:r w:rsidR="00926505">
          <w:rPr>
            <w:noProof/>
            <w:webHidden/>
          </w:rPr>
          <w:fldChar w:fldCharType="separate"/>
        </w:r>
        <w:r>
          <w:rPr>
            <w:noProof/>
            <w:webHidden/>
          </w:rPr>
          <w:t>14</w:t>
        </w:r>
        <w:r w:rsidR="00926505">
          <w:rPr>
            <w:noProof/>
            <w:webHidden/>
          </w:rPr>
          <w:fldChar w:fldCharType="end"/>
        </w:r>
      </w:hyperlink>
    </w:p>
    <w:p w14:paraId="2424B34E" w14:textId="77777777" w:rsidR="00926505" w:rsidRDefault="00184C79">
      <w:pPr>
        <w:pStyle w:val="TableofFigures"/>
        <w:rPr>
          <w:caps w:val="0"/>
          <w:noProof/>
          <w:spacing w:val="0"/>
          <w:kern w:val="0"/>
          <w:sz w:val="22"/>
          <w:szCs w:val="22"/>
          <w:lang w:val="en-AU" w:eastAsia="ja-JP"/>
        </w:rPr>
      </w:pPr>
      <w:hyperlink w:anchor="_Toc430896542" w:history="1">
        <w:r w:rsidR="00926505" w:rsidRPr="00127326">
          <w:rPr>
            <w:rStyle w:val="Hyperlink"/>
            <w:noProof/>
          </w:rPr>
          <w:t>Table 8. Summary of estimated value uplift for different property types</w:t>
        </w:r>
        <w:r w:rsidR="00926505">
          <w:rPr>
            <w:noProof/>
            <w:webHidden/>
          </w:rPr>
          <w:tab/>
        </w:r>
        <w:r w:rsidR="00926505">
          <w:rPr>
            <w:noProof/>
            <w:webHidden/>
          </w:rPr>
          <w:fldChar w:fldCharType="begin"/>
        </w:r>
        <w:r w:rsidR="00926505">
          <w:rPr>
            <w:noProof/>
            <w:webHidden/>
          </w:rPr>
          <w:instrText xml:space="preserve"> PAGEREF _Toc430896542 \h </w:instrText>
        </w:r>
        <w:r w:rsidR="00926505">
          <w:rPr>
            <w:noProof/>
            <w:webHidden/>
          </w:rPr>
        </w:r>
        <w:r w:rsidR="00926505">
          <w:rPr>
            <w:noProof/>
            <w:webHidden/>
          </w:rPr>
          <w:fldChar w:fldCharType="separate"/>
        </w:r>
        <w:r>
          <w:rPr>
            <w:noProof/>
            <w:webHidden/>
          </w:rPr>
          <w:t>18</w:t>
        </w:r>
        <w:r w:rsidR="00926505">
          <w:rPr>
            <w:noProof/>
            <w:webHidden/>
          </w:rPr>
          <w:fldChar w:fldCharType="end"/>
        </w:r>
      </w:hyperlink>
    </w:p>
    <w:p w14:paraId="2EFF77ED" w14:textId="77777777" w:rsidR="00926505" w:rsidRDefault="00184C79">
      <w:pPr>
        <w:pStyle w:val="TableofFigures"/>
        <w:rPr>
          <w:caps w:val="0"/>
          <w:noProof/>
          <w:spacing w:val="0"/>
          <w:kern w:val="0"/>
          <w:sz w:val="22"/>
          <w:szCs w:val="22"/>
          <w:lang w:val="en-AU" w:eastAsia="ja-JP"/>
        </w:rPr>
      </w:pPr>
      <w:hyperlink w:anchor="_Toc430896543" w:history="1">
        <w:r w:rsidR="00926505" w:rsidRPr="00127326">
          <w:rPr>
            <w:rStyle w:val="Hyperlink"/>
            <w:noProof/>
          </w:rPr>
          <w:t>Table 9. Impact of Light Rail on property values</w:t>
        </w:r>
        <w:r w:rsidR="00926505">
          <w:rPr>
            <w:noProof/>
            <w:webHidden/>
          </w:rPr>
          <w:tab/>
        </w:r>
        <w:r w:rsidR="00926505">
          <w:rPr>
            <w:noProof/>
            <w:webHidden/>
          </w:rPr>
          <w:fldChar w:fldCharType="begin"/>
        </w:r>
        <w:r w:rsidR="00926505">
          <w:rPr>
            <w:noProof/>
            <w:webHidden/>
          </w:rPr>
          <w:instrText xml:space="preserve"> PAGEREF _Toc430896543 \h </w:instrText>
        </w:r>
        <w:r w:rsidR="00926505">
          <w:rPr>
            <w:noProof/>
            <w:webHidden/>
          </w:rPr>
        </w:r>
        <w:r w:rsidR="00926505">
          <w:rPr>
            <w:noProof/>
            <w:webHidden/>
          </w:rPr>
          <w:fldChar w:fldCharType="separate"/>
        </w:r>
        <w:r>
          <w:rPr>
            <w:noProof/>
            <w:webHidden/>
          </w:rPr>
          <w:t>19</w:t>
        </w:r>
        <w:r w:rsidR="00926505">
          <w:rPr>
            <w:noProof/>
            <w:webHidden/>
          </w:rPr>
          <w:fldChar w:fldCharType="end"/>
        </w:r>
      </w:hyperlink>
    </w:p>
    <w:p w14:paraId="19A8889B" w14:textId="77777777" w:rsidR="00926505" w:rsidRDefault="00184C79">
      <w:pPr>
        <w:pStyle w:val="TableofFigures"/>
        <w:rPr>
          <w:caps w:val="0"/>
          <w:noProof/>
          <w:spacing w:val="0"/>
          <w:kern w:val="0"/>
          <w:sz w:val="22"/>
          <w:szCs w:val="22"/>
          <w:lang w:val="en-AU" w:eastAsia="ja-JP"/>
        </w:rPr>
      </w:pPr>
      <w:hyperlink w:anchor="_Toc430896544" w:history="1">
        <w:r w:rsidR="00926505" w:rsidRPr="00127326">
          <w:rPr>
            <w:rStyle w:val="Hyperlink"/>
            <w:noProof/>
          </w:rPr>
          <w:t>Table 10. Melbourne CBD retail Vacancy 2002-2008</w:t>
        </w:r>
        <w:r w:rsidR="00926505">
          <w:rPr>
            <w:noProof/>
            <w:webHidden/>
          </w:rPr>
          <w:tab/>
        </w:r>
        <w:r w:rsidR="00926505">
          <w:rPr>
            <w:noProof/>
            <w:webHidden/>
          </w:rPr>
          <w:fldChar w:fldCharType="begin"/>
        </w:r>
        <w:r w:rsidR="00926505">
          <w:rPr>
            <w:noProof/>
            <w:webHidden/>
          </w:rPr>
          <w:instrText xml:space="preserve"> PAGEREF _Toc430896544 \h </w:instrText>
        </w:r>
        <w:r w:rsidR="00926505">
          <w:rPr>
            <w:noProof/>
            <w:webHidden/>
          </w:rPr>
        </w:r>
        <w:r w:rsidR="00926505">
          <w:rPr>
            <w:noProof/>
            <w:webHidden/>
          </w:rPr>
          <w:fldChar w:fldCharType="separate"/>
        </w:r>
        <w:r>
          <w:rPr>
            <w:noProof/>
            <w:webHidden/>
          </w:rPr>
          <w:t>19</w:t>
        </w:r>
        <w:r w:rsidR="00926505">
          <w:rPr>
            <w:noProof/>
            <w:webHidden/>
          </w:rPr>
          <w:fldChar w:fldCharType="end"/>
        </w:r>
      </w:hyperlink>
    </w:p>
    <w:p w14:paraId="718D5D0D" w14:textId="77777777" w:rsidR="00926505" w:rsidRDefault="00184C79">
      <w:pPr>
        <w:pStyle w:val="TableofFigures"/>
        <w:rPr>
          <w:caps w:val="0"/>
          <w:noProof/>
          <w:spacing w:val="0"/>
          <w:kern w:val="0"/>
          <w:sz w:val="22"/>
          <w:szCs w:val="22"/>
          <w:lang w:val="en-AU" w:eastAsia="ja-JP"/>
        </w:rPr>
      </w:pPr>
      <w:hyperlink w:anchor="_Toc430896545" w:history="1">
        <w:r w:rsidR="00926505" w:rsidRPr="00127326">
          <w:rPr>
            <w:rStyle w:val="Hyperlink"/>
            <w:noProof/>
          </w:rPr>
          <w:t>Table 11. Melbourne CBD retail Vacancy Feb 2013</w:t>
        </w:r>
        <w:r w:rsidR="00926505">
          <w:rPr>
            <w:noProof/>
            <w:webHidden/>
          </w:rPr>
          <w:tab/>
        </w:r>
        <w:r w:rsidR="00926505">
          <w:rPr>
            <w:noProof/>
            <w:webHidden/>
          </w:rPr>
          <w:fldChar w:fldCharType="begin"/>
        </w:r>
        <w:r w:rsidR="00926505">
          <w:rPr>
            <w:noProof/>
            <w:webHidden/>
          </w:rPr>
          <w:instrText xml:space="preserve"> PAGEREF _Toc430896545 \h </w:instrText>
        </w:r>
        <w:r w:rsidR="00926505">
          <w:rPr>
            <w:noProof/>
            <w:webHidden/>
          </w:rPr>
        </w:r>
        <w:r w:rsidR="00926505">
          <w:rPr>
            <w:noProof/>
            <w:webHidden/>
          </w:rPr>
          <w:fldChar w:fldCharType="separate"/>
        </w:r>
        <w:r>
          <w:rPr>
            <w:noProof/>
            <w:webHidden/>
          </w:rPr>
          <w:t>20</w:t>
        </w:r>
        <w:r w:rsidR="00926505">
          <w:rPr>
            <w:noProof/>
            <w:webHidden/>
          </w:rPr>
          <w:fldChar w:fldCharType="end"/>
        </w:r>
      </w:hyperlink>
    </w:p>
    <w:p w14:paraId="5737A525" w14:textId="77777777" w:rsidR="00926505" w:rsidRDefault="00184C79">
      <w:pPr>
        <w:pStyle w:val="TableofFigures"/>
        <w:rPr>
          <w:caps w:val="0"/>
          <w:noProof/>
          <w:spacing w:val="0"/>
          <w:kern w:val="0"/>
          <w:sz w:val="22"/>
          <w:szCs w:val="22"/>
          <w:lang w:val="en-AU" w:eastAsia="ja-JP"/>
        </w:rPr>
      </w:pPr>
      <w:hyperlink w:anchor="_Toc430896546" w:history="1">
        <w:r w:rsidR="00926505" w:rsidRPr="00127326">
          <w:rPr>
            <w:rStyle w:val="Hyperlink"/>
            <w:noProof/>
          </w:rPr>
          <w:t>Table 12. Core elements of a SOCIAL infrastructure PPP</w:t>
        </w:r>
        <w:r w:rsidR="00926505">
          <w:rPr>
            <w:noProof/>
            <w:webHidden/>
          </w:rPr>
          <w:tab/>
        </w:r>
        <w:r w:rsidR="00926505">
          <w:rPr>
            <w:noProof/>
            <w:webHidden/>
          </w:rPr>
          <w:fldChar w:fldCharType="begin"/>
        </w:r>
        <w:r w:rsidR="00926505">
          <w:rPr>
            <w:noProof/>
            <w:webHidden/>
          </w:rPr>
          <w:instrText xml:space="preserve"> PAGEREF _Toc430896546 \h </w:instrText>
        </w:r>
        <w:r w:rsidR="00926505">
          <w:rPr>
            <w:noProof/>
            <w:webHidden/>
          </w:rPr>
        </w:r>
        <w:r w:rsidR="00926505">
          <w:rPr>
            <w:noProof/>
            <w:webHidden/>
          </w:rPr>
          <w:fldChar w:fldCharType="separate"/>
        </w:r>
        <w:r>
          <w:rPr>
            <w:noProof/>
            <w:webHidden/>
          </w:rPr>
          <w:t>38</w:t>
        </w:r>
        <w:r w:rsidR="00926505">
          <w:rPr>
            <w:noProof/>
            <w:webHidden/>
          </w:rPr>
          <w:fldChar w:fldCharType="end"/>
        </w:r>
      </w:hyperlink>
    </w:p>
    <w:p w14:paraId="0CC76C2A" w14:textId="77777777" w:rsidR="00926505" w:rsidRDefault="00184C79">
      <w:pPr>
        <w:pStyle w:val="TableofFigures"/>
        <w:rPr>
          <w:caps w:val="0"/>
          <w:noProof/>
          <w:spacing w:val="0"/>
          <w:kern w:val="0"/>
          <w:sz w:val="22"/>
          <w:szCs w:val="22"/>
          <w:lang w:val="en-AU" w:eastAsia="ja-JP"/>
        </w:rPr>
      </w:pPr>
      <w:hyperlink w:anchor="_Toc430896547" w:history="1">
        <w:r w:rsidR="00926505" w:rsidRPr="00127326">
          <w:rPr>
            <w:rStyle w:val="Hyperlink"/>
            <w:noProof/>
          </w:rPr>
          <w:t>Table 13.</w:t>
        </w:r>
        <w:r w:rsidR="00926505">
          <w:rPr>
            <w:caps w:val="0"/>
            <w:noProof/>
            <w:spacing w:val="0"/>
            <w:kern w:val="0"/>
            <w:sz w:val="22"/>
            <w:szCs w:val="22"/>
            <w:lang w:val="en-AU" w:eastAsia="ja-JP"/>
          </w:rPr>
          <w:tab/>
        </w:r>
        <w:r w:rsidR="00926505" w:rsidRPr="00127326">
          <w:rPr>
            <w:rStyle w:val="Hyperlink"/>
            <w:noProof/>
          </w:rPr>
          <w:t>issues impacting on cities</w:t>
        </w:r>
        <w:r w:rsidR="00926505">
          <w:rPr>
            <w:noProof/>
            <w:webHidden/>
          </w:rPr>
          <w:tab/>
        </w:r>
        <w:r w:rsidR="00926505">
          <w:rPr>
            <w:noProof/>
            <w:webHidden/>
          </w:rPr>
          <w:fldChar w:fldCharType="begin"/>
        </w:r>
        <w:r w:rsidR="00926505">
          <w:rPr>
            <w:noProof/>
            <w:webHidden/>
          </w:rPr>
          <w:instrText xml:space="preserve"> PAGEREF _Toc430896547 \h </w:instrText>
        </w:r>
        <w:r w:rsidR="00926505">
          <w:rPr>
            <w:noProof/>
            <w:webHidden/>
          </w:rPr>
        </w:r>
        <w:r w:rsidR="00926505">
          <w:rPr>
            <w:noProof/>
            <w:webHidden/>
          </w:rPr>
          <w:fldChar w:fldCharType="separate"/>
        </w:r>
        <w:r>
          <w:rPr>
            <w:noProof/>
            <w:webHidden/>
          </w:rPr>
          <w:t>40</w:t>
        </w:r>
        <w:r w:rsidR="00926505">
          <w:rPr>
            <w:noProof/>
            <w:webHidden/>
          </w:rPr>
          <w:fldChar w:fldCharType="end"/>
        </w:r>
      </w:hyperlink>
    </w:p>
    <w:p w14:paraId="598D3410" w14:textId="77777777" w:rsidR="00926505" w:rsidRDefault="00184C79">
      <w:pPr>
        <w:pStyle w:val="TableofFigures"/>
        <w:rPr>
          <w:caps w:val="0"/>
          <w:noProof/>
          <w:spacing w:val="0"/>
          <w:kern w:val="0"/>
          <w:sz w:val="22"/>
          <w:szCs w:val="22"/>
          <w:lang w:val="en-AU" w:eastAsia="ja-JP"/>
        </w:rPr>
      </w:pPr>
      <w:hyperlink w:anchor="_Toc430896548" w:history="1">
        <w:r w:rsidR="00926505" w:rsidRPr="00127326">
          <w:rPr>
            <w:rStyle w:val="Hyperlink"/>
            <w:noProof/>
          </w:rPr>
          <w:t>Table 14.</w:t>
        </w:r>
        <w:r w:rsidR="00926505">
          <w:rPr>
            <w:caps w:val="0"/>
            <w:noProof/>
            <w:spacing w:val="0"/>
            <w:kern w:val="0"/>
            <w:sz w:val="22"/>
            <w:szCs w:val="22"/>
            <w:lang w:val="en-AU" w:eastAsia="ja-JP"/>
          </w:rPr>
          <w:tab/>
        </w:r>
        <w:r w:rsidR="00926505" w:rsidRPr="00127326">
          <w:rPr>
            <w:rStyle w:val="Hyperlink"/>
            <w:noProof/>
          </w:rPr>
          <w:t>ADELAIDE - new public transport infrastructure</w:t>
        </w:r>
        <w:r w:rsidR="00926505">
          <w:rPr>
            <w:noProof/>
            <w:webHidden/>
          </w:rPr>
          <w:tab/>
        </w:r>
        <w:r w:rsidR="00926505">
          <w:rPr>
            <w:noProof/>
            <w:webHidden/>
          </w:rPr>
          <w:fldChar w:fldCharType="begin"/>
        </w:r>
        <w:r w:rsidR="00926505">
          <w:rPr>
            <w:noProof/>
            <w:webHidden/>
          </w:rPr>
          <w:instrText xml:space="preserve"> PAGEREF _Toc430896548 \h </w:instrText>
        </w:r>
        <w:r w:rsidR="00926505">
          <w:rPr>
            <w:noProof/>
            <w:webHidden/>
          </w:rPr>
        </w:r>
        <w:r w:rsidR="00926505">
          <w:rPr>
            <w:noProof/>
            <w:webHidden/>
          </w:rPr>
          <w:fldChar w:fldCharType="separate"/>
        </w:r>
        <w:r>
          <w:rPr>
            <w:noProof/>
            <w:webHidden/>
          </w:rPr>
          <w:t>43</w:t>
        </w:r>
        <w:r w:rsidR="00926505">
          <w:rPr>
            <w:noProof/>
            <w:webHidden/>
          </w:rPr>
          <w:fldChar w:fldCharType="end"/>
        </w:r>
      </w:hyperlink>
    </w:p>
    <w:p w14:paraId="19133B7B" w14:textId="77777777" w:rsidR="00926505" w:rsidRDefault="00184C79">
      <w:pPr>
        <w:pStyle w:val="TableofFigures"/>
        <w:rPr>
          <w:caps w:val="0"/>
          <w:noProof/>
          <w:spacing w:val="0"/>
          <w:kern w:val="0"/>
          <w:sz w:val="22"/>
          <w:szCs w:val="22"/>
          <w:lang w:val="en-AU" w:eastAsia="ja-JP"/>
        </w:rPr>
      </w:pPr>
      <w:hyperlink w:anchor="_Toc430896549" w:history="1">
        <w:r w:rsidR="00926505" w:rsidRPr="00127326">
          <w:rPr>
            <w:rStyle w:val="Hyperlink"/>
            <w:noProof/>
          </w:rPr>
          <w:t>Table 15.</w:t>
        </w:r>
        <w:r w:rsidR="00926505">
          <w:rPr>
            <w:caps w:val="0"/>
            <w:noProof/>
            <w:spacing w:val="0"/>
            <w:kern w:val="0"/>
            <w:sz w:val="22"/>
            <w:szCs w:val="22"/>
            <w:lang w:val="en-AU" w:eastAsia="ja-JP"/>
          </w:rPr>
          <w:tab/>
        </w:r>
        <w:r w:rsidR="00926505" w:rsidRPr="00127326">
          <w:rPr>
            <w:rStyle w:val="Hyperlink"/>
            <w:noProof/>
          </w:rPr>
          <w:t>SOUTH EAST QUEENSLAND (2031) - new public transport infrastructure</w:t>
        </w:r>
        <w:r w:rsidR="00926505">
          <w:rPr>
            <w:noProof/>
            <w:webHidden/>
          </w:rPr>
          <w:tab/>
        </w:r>
        <w:r w:rsidR="00926505">
          <w:rPr>
            <w:noProof/>
            <w:webHidden/>
          </w:rPr>
          <w:fldChar w:fldCharType="begin"/>
        </w:r>
        <w:r w:rsidR="00926505">
          <w:rPr>
            <w:noProof/>
            <w:webHidden/>
          </w:rPr>
          <w:instrText xml:space="preserve"> PAGEREF _Toc430896549 \h </w:instrText>
        </w:r>
        <w:r w:rsidR="00926505">
          <w:rPr>
            <w:noProof/>
            <w:webHidden/>
          </w:rPr>
        </w:r>
        <w:r w:rsidR="00926505">
          <w:rPr>
            <w:noProof/>
            <w:webHidden/>
          </w:rPr>
          <w:fldChar w:fldCharType="separate"/>
        </w:r>
        <w:r>
          <w:rPr>
            <w:noProof/>
            <w:webHidden/>
          </w:rPr>
          <w:t>44</w:t>
        </w:r>
        <w:r w:rsidR="00926505">
          <w:rPr>
            <w:noProof/>
            <w:webHidden/>
          </w:rPr>
          <w:fldChar w:fldCharType="end"/>
        </w:r>
      </w:hyperlink>
    </w:p>
    <w:p w14:paraId="11DDA638" w14:textId="77777777" w:rsidR="00926505" w:rsidRDefault="00184C79">
      <w:pPr>
        <w:pStyle w:val="TableofFigures"/>
        <w:rPr>
          <w:caps w:val="0"/>
          <w:noProof/>
          <w:spacing w:val="0"/>
          <w:kern w:val="0"/>
          <w:sz w:val="22"/>
          <w:szCs w:val="22"/>
          <w:lang w:val="en-AU" w:eastAsia="ja-JP"/>
        </w:rPr>
      </w:pPr>
      <w:hyperlink w:anchor="_Toc430896550" w:history="1">
        <w:r w:rsidR="00926505" w:rsidRPr="00127326">
          <w:rPr>
            <w:rStyle w:val="Hyperlink"/>
            <w:noProof/>
          </w:rPr>
          <w:t>Table 16.</w:t>
        </w:r>
        <w:r w:rsidR="00926505">
          <w:rPr>
            <w:caps w:val="0"/>
            <w:noProof/>
            <w:spacing w:val="0"/>
            <w:kern w:val="0"/>
            <w:sz w:val="22"/>
            <w:szCs w:val="22"/>
            <w:lang w:val="en-AU" w:eastAsia="ja-JP"/>
          </w:rPr>
          <w:tab/>
        </w:r>
        <w:r w:rsidR="00926505" w:rsidRPr="00127326">
          <w:rPr>
            <w:rStyle w:val="Hyperlink"/>
            <w:noProof/>
          </w:rPr>
          <w:t>melbourne - new public transport infrastructure</w:t>
        </w:r>
        <w:r w:rsidR="00926505">
          <w:rPr>
            <w:noProof/>
            <w:webHidden/>
          </w:rPr>
          <w:tab/>
        </w:r>
        <w:r w:rsidR="00926505">
          <w:rPr>
            <w:noProof/>
            <w:webHidden/>
          </w:rPr>
          <w:fldChar w:fldCharType="begin"/>
        </w:r>
        <w:r w:rsidR="00926505">
          <w:rPr>
            <w:noProof/>
            <w:webHidden/>
          </w:rPr>
          <w:instrText xml:space="preserve"> PAGEREF _Toc430896550 \h </w:instrText>
        </w:r>
        <w:r w:rsidR="00926505">
          <w:rPr>
            <w:noProof/>
            <w:webHidden/>
          </w:rPr>
        </w:r>
        <w:r w:rsidR="00926505">
          <w:rPr>
            <w:noProof/>
            <w:webHidden/>
          </w:rPr>
          <w:fldChar w:fldCharType="separate"/>
        </w:r>
        <w:r>
          <w:rPr>
            <w:noProof/>
            <w:webHidden/>
          </w:rPr>
          <w:t>45</w:t>
        </w:r>
        <w:r w:rsidR="00926505">
          <w:rPr>
            <w:noProof/>
            <w:webHidden/>
          </w:rPr>
          <w:fldChar w:fldCharType="end"/>
        </w:r>
      </w:hyperlink>
    </w:p>
    <w:p w14:paraId="7F3E5F39" w14:textId="77777777" w:rsidR="00926505" w:rsidRDefault="00184C79">
      <w:pPr>
        <w:pStyle w:val="TableofFigures"/>
        <w:rPr>
          <w:caps w:val="0"/>
          <w:noProof/>
          <w:spacing w:val="0"/>
          <w:kern w:val="0"/>
          <w:sz w:val="22"/>
          <w:szCs w:val="22"/>
          <w:lang w:val="en-AU" w:eastAsia="ja-JP"/>
        </w:rPr>
      </w:pPr>
      <w:hyperlink w:anchor="_Toc430896551" w:history="1">
        <w:r w:rsidR="00926505" w:rsidRPr="00127326">
          <w:rPr>
            <w:rStyle w:val="Hyperlink"/>
            <w:noProof/>
          </w:rPr>
          <w:t>Table 17.</w:t>
        </w:r>
        <w:r w:rsidR="00926505">
          <w:rPr>
            <w:caps w:val="0"/>
            <w:noProof/>
            <w:spacing w:val="0"/>
            <w:kern w:val="0"/>
            <w:sz w:val="22"/>
            <w:szCs w:val="22"/>
            <w:lang w:val="en-AU" w:eastAsia="ja-JP"/>
          </w:rPr>
          <w:tab/>
        </w:r>
        <w:r w:rsidR="00926505" w:rsidRPr="00127326">
          <w:rPr>
            <w:rStyle w:val="Hyperlink"/>
            <w:noProof/>
          </w:rPr>
          <w:t>PERTh - new public transport infrastructure</w:t>
        </w:r>
        <w:r w:rsidR="00926505">
          <w:rPr>
            <w:noProof/>
            <w:webHidden/>
          </w:rPr>
          <w:tab/>
        </w:r>
        <w:r w:rsidR="00926505">
          <w:rPr>
            <w:noProof/>
            <w:webHidden/>
          </w:rPr>
          <w:fldChar w:fldCharType="begin"/>
        </w:r>
        <w:r w:rsidR="00926505">
          <w:rPr>
            <w:noProof/>
            <w:webHidden/>
          </w:rPr>
          <w:instrText xml:space="preserve"> PAGEREF _Toc430896551 \h </w:instrText>
        </w:r>
        <w:r w:rsidR="00926505">
          <w:rPr>
            <w:noProof/>
            <w:webHidden/>
          </w:rPr>
        </w:r>
        <w:r w:rsidR="00926505">
          <w:rPr>
            <w:noProof/>
            <w:webHidden/>
          </w:rPr>
          <w:fldChar w:fldCharType="separate"/>
        </w:r>
        <w:r>
          <w:rPr>
            <w:noProof/>
            <w:webHidden/>
          </w:rPr>
          <w:t>46</w:t>
        </w:r>
        <w:r w:rsidR="00926505">
          <w:rPr>
            <w:noProof/>
            <w:webHidden/>
          </w:rPr>
          <w:fldChar w:fldCharType="end"/>
        </w:r>
      </w:hyperlink>
    </w:p>
    <w:p w14:paraId="16D80658" w14:textId="77777777" w:rsidR="00926505" w:rsidRDefault="00184C79">
      <w:pPr>
        <w:pStyle w:val="TableofFigures"/>
        <w:rPr>
          <w:caps w:val="0"/>
          <w:noProof/>
          <w:spacing w:val="0"/>
          <w:kern w:val="0"/>
          <w:sz w:val="22"/>
          <w:szCs w:val="22"/>
          <w:lang w:val="en-AU" w:eastAsia="ja-JP"/>
        </w:rPr>
      </w:pPr>
      <w:hyperlink w:anchor="_Toc430896552" w:history="1">
        <w:r w:rsidR="00926505" w:rsidRPr="00127326">
          <w:rPr>
            <w:rStyle w:val="Hyperlink"/>
            <w:noProof/>
          </w:rPr>
          <w:t>Table 18.</w:t>
        </w:r>
        <w:r w:rsidR="00926505">
          <w:rPr>
            <w:caps w:val="0"/>
            <w:noProof/>
            <w:spacing w:val="0"/>
            <w:kern w:val="0"/>
            <w:sz w:val="22"/>
            <w:szCs w:val="22"/>
            <w:lang w:val="en-AU" w:eastAsia="ja-JP"/>
          </w:rPr>
          <w:tab/>
        </w:r>
        <w:r w:rsidR="00926505" w:rsidRPr="00127326">
          <w:rPr>
            <w:rStyle w:val="Hyperlink"/>
            <w:noProof/>
          </w:rPr>
          <w:t>Sydney - new public transport infrastructure</w:t>
        </w:r>
        <w:r w:rsidR="00926505">
          <w:rPr>
            <w:noProof/>
            <w:webHidden/>
          </w:rPr>
          <w:tab/>
        </w:r>
        <w:r w:rsidR="00926505">
          <w:rPr>
            <w:noProof/>
            <w:webHidden/>
          </w:rPr>
          <w:fldChar w:fldCharType="begin"/>
        </w:r>
        <w:r w:rsidR="00926505">
          <w:rPr>
            <w:noProof/>
            <w:webHidden/>
          </w:rPr>
          <w:instrText xml:space="preserve"> PAGEREF _Toc430896552 \h </w:instrText>
        </w:r>
        <w:r w:rsidR="00926505">
          <w:rPr>
            <w:noProof/>
            <w:webHidden/>
          </w:rPr>
        </w:r>
        <w:r w:rsidR="00926505">
          <w:rPr>
            <w:noProof/>
            <w:webHidden/>
          </w:rPr>
          <w:fldChar w:fldCharType="separate"/>
        </w:r>
        <w:r>
          <w:rPr>
            <w:noProof/>
            <w:webHidden/>
          </w:rPr>
          <w:t>47</w:t>
        </w:r>
        <w:r w:rsidR="00926505">
          <w:rPr>
            <w:noProof/>
            <w:webHidden/>
          </w:rPr>
          <w:fldChar w:fldCharType="end"/>
        </w:r>
      </w:hyperlink>
    </w:p>
    <w:p w14:paraId="5772A348" w14:textId="77777777" w:rsidR="00E4454D" w:rsidRDefault="00E4454D" w:rsidP="00E4454D">
      <w:pPr>
        <w:pStyle w:val="TableofFigures"/>
        <w:tabs>
          <w:tab w:val="left" w:pos="1100"/>
          <w:tab w:val="right" w:pos="8494"/>
        </w:tabs>
        <w:ind w:right="5333"/>
        <w:rPr>
          <w:rStyle w:val="Hyperlink"/>
        </w:rPr>
      </w:pPr>
      <w:r>
        <w:rPr>
          <w:rStyle w:val="Hyperlink"/>
          <w:noProof/>
          <w:szCs w:val="17"/>
        </w:rPr>
        <w:fldChar w:fldCharType="end"/>
      </w:r>
    </w:p>
    <w:p w14:paraId="63EED620" w14:textId="77777777" w:rsidR="00E4454D" w:rsidRDefault="00E4454D" w:rsidP="00E4454D">
      <w:pPr>
        <w:ind w:right="5333"/>
        <w:rPr>
          <w:lang w:eastAsia="en-US"/>
        </w:rPr>
      </w:pPr>
    </w:p>
    <w:p w14:paraId="1C2827F3" w14:textId="77777777" w:rsidR="00E4454D" w:rsidRDefault="00E4454D" w:rsidP="00EC2E52">
      <w:pPr>
        <w:sectPr w:rsidR="00E4454D">
          <w:footerReference w:type="default" r:id="rId15"/>
          <w:pgSz w:w="11910" w:h="16840"/>
          <w:pgMar w:top="1580" w:right="1600" w:bottom="1060" w:left="1600" w:header="0" w:footer="867" w:gutter="0"/>
          <w:pgNumType w:start="3"/>
          <w:cols w:space="720"/>
        </w:sectPr>
      </w:pPr>
    </w:p>
    <w:p w14:paraId="13FF3685" w14:textId="77777777" w:rsidR="00AF58F7" w:rsidRDefault="004D6FE6" w:rsidP="00E4454D">
      <w:pPr>
        <w:pStyle w:val="ESHeading1"/>
      </w:pPr>
      <w:bookmarkStart w:id="2" w:name="_Toc430896822"/>
      <w:r>
        <w:lastRenderedPageBreak/>
        <w:t>EXECUTIVE SUMMARY</w:t>
      </w:r>
      <w:bookmarkEnd w:id="2"/>
    </w:p>
    <w:p w14:paraId="393EBCFC" w14:textId="77777777" w:rsidR="0086063A" w:rsidRDefault="0011623F" w:rsidP="0086063A">
      <w:r>
        <w:t>This</w:t>
      </w:r>
      <w:r w:rsidR="0086063A">
        <w:t xml:space="preserve"> report </w:t>
      </w:r>
      <w:r>
        <w:t>provides a model for how</w:t>
      </w:r>
      <w:r w:rsidR="0086063A">
        <w:t xml:space="preserve"> </w:t>
      </w:r>
      <w:r w:rsidR="00E66CF5">
        <w:t>innovative funding models</w:t>
      </w:r>
      <w:r w:rsidR="0086063A">
        <w:t xml:space="preserve"> can contribute to </w:t>
      </w:r>
      <w:r w:rsidR="00F95F96">
        <w:t xml:space="preserve">funding </w:t>
      </w:r>
      <w:r w:rsidR="0086063A">
        <w:t xml:space="preserve">the capital cost of new public transport infrastructure </w:t>
      </w:r>
      <w:r w:rsidR="00F95F96">
        <w:t xml:space="preserve">in </w:t>
      </w:r>
      <w:r w:rsidR="0086063A">
        <w:t xml:space="preserve">Australian cities. It draws on a wide range of case studies globally </w:t>
      </w:r>
      <w:r>
        <w:t>and in Australia.</w:t>
      </w:r>
      <w:r w:rsidR="0086063A">
        <w:t xml:space="preserve"> </w:t>
      </w:r>
    </w:p>
    <w:p w14:paraId="36E4D84E" w14:textId="77777777" w:rsidR="0011623F" w:rsidRDefault="0011623F" w:rsidP="0086063A"/>
    <w:p w14:paraId="044AEA20" w14:textId="4069731D" w:rsidR="0011623F" w:rsidRDefault="0011623F" w:rsidP="0086063A">
      <w:r>
        <w:t>The key barriers to improving public transport infrastructure in Australia’s cities are</w:t>
      </w:r>
      <w:r w:rsidR="004D2FF4">
        <w:t xml:space="preserve"> the h</w:t>
      </w:r>
      <w:r>
        <w:t xml:space="preserve">igh upfront </w:t>
      </w:r>
      <w:r w:rsidR="000930AA">
        <w:t>cost of construction</w:t>
      </w:r>
      <w:r w:rsidR="004D2FF4">
        <w:t xml:space="preserve"> combined with f</w:t>
      </w:r>
      <w:r>
        <w:t xml:space="preserve">arebox revenue </w:t>
      </w:r>
      <w:r w:rsidR="004D2FF4">
        <w:t>which do</w:t>
      </w:r>
      <w:r w:rsidR="00A47E3D">
        <w:t>es</w:t>
      </w:r>
      <w:r>
        <w:t xml:space="preserve"> not cover operating costs.</w:t>
      </w:r>
      <w:r w:rsidR="004D2FF4">
        <w:t xml:space="preserve"> </w:t>
      </w:r>
      <w:r>
        <w:t xml:space="preserve">This places enormous budgetary pressure on government when investment in public transport infrastructure is considered. Instead of a debate about how to create the best public transport system for our cities, it becomes a debate about </w:t>
      </w:r>
      <w:r w:rsidR="001D5392">
        <w:t xml:space="preserve">the next </w:t>
      </w:r>
      <w:r w:rsidR="003E0D4F">
        <w:t xml:space="preserve">individual </w:t>
      </w:r>
      <w:r>
        <w:t xml:space="preserve">piece of public transport infrastructure we can afford. </w:t>
      </w:r>
      <w:r w:rsidR="001D5392">
        <w:t>Alternatively</w:t>
      </w:r>
      <w:r>
        <w:t xml:space="preserve">, toll roads have become more prominent in our cities simply because they </w:t>
      </w:r>
      <w:r w:rsidR="004D2FF4">
        <w:t>create</w:t>
      </w:r>
      <w:r w:rsidR="00835E32">
        <w:t xml:space="preserve">  limited</w:t>
      </w:r>
      <w:r w:rsidR="00EB410F">
        <w:t xml:space="preserve"> budget </w:t>
      </w:r>
      <w:r w:rsidR="001D5392">
        <w:t>obligations</w:t>
      </w:r>
      <w:r w:rsidR="00EB410F">
        <w:t xml:space="preserve"> </w:t>
      </w:r>
      <w:r w:rsidR="006F23E5">
        <w:t>on</w:t>
      </w:r>
      <w:r w:rsidR="00EB410F">
        <w:t xml:space="preserve"> government</w:t>
      </w:r>
      <w:r w:rsidR="004D2FF4">
        <w:t xml:space="preserve"> because </w:t>
      </w:r>
      <w:r w:rsidR="006F23E5">
        <w:t>they are a user pays structure financed</w:t>
      </w:r>
      <w:r w:rsidR="00EA6259">
        <w:t>, built</w:t>
      </w:r>
      <w:r w:rsidR="006F23E5">
        <w:t xml:space="preserve"> and operated by the private sector</w:t>
      </w:r>
      <w:r w:rsidR="00884C2C">
        <w:t xml:space="preserve"> with risks defined and limited</w:t>
      </w:r>
      <w:r w:rsidR="00EB410F">
        <w:t xml:space="preserve">. </w:t>
      </w:r>
    </w:p>
    <w:p w14:paraId="49049388" w14:textId="77777777" w:rsidR="00EB410F" w:rsidRDefault="00EB410F" w:rsidP="0086063A"/>
    <w:p w14:paraId="4F9CB44D" w14:textId="3A17DA7F" w:rsidR="0011623F" w:rsidRDefault="0011623F" w:rsidP="0086063A">
      <w:r>
        <w:t>This</w:t>
      </w:r>
      <w:r w:rsidR="00EB410F">
        <w:t xml:space="preserve"> mismatch in transport infrastructure </w:t>
      </w:r>
      <w:r w:rsidR="001A3FF4">
        <w:t xml:space="preserve">investment </w:t>
      </w:r>
      <w:r w:rsidR="00EB410F">
        <w:t xml:space="preserve">in Australia </w:t>
      </w:r>
      <w:r>
        <w:t xml:space="preserve">has distorted </w:t>
      </w:r>
      <w:r w:rsidR="00EB410F">
        <w:t xml:space="preserve">the shape and pattern of </w:t>
      </w:r>
      <w:r>
        <w:t>our cities</w:t>
      </w:r>
      <w:r w:rsidR="001A3FF4">
        <w:t xml:space="preserve">. </w:t>
      </w:r>
      <w:r w:rsidR="00344E02">
        <w:t>Integrated t</w:t>
      </w:r>
      <w:r>
        <w:t>oll road</w:t>
      </w:r>
      <w:r w:rsidR="001A3FF4">
        <w:t xml:space="preserve"> </w:t>
      </w:r>
      <w:r>
        <w:t xml:space="preserve">networks </w:t>
      </w:r>
      <w:r w:rsidR="001A3FF4">
        <w:t xml:space="preserve">are being created </w:t>
      </w:r>
      <w:r>
        <w:t xml:space="preserve">while public transport </w:t>
      </w:r>
      <w:r w:rsidR="00EB410F">
        <w:t>infrastructure</w:t>
      </w:r>
      <w:r>
        <w:t xml:space="preserve"> remains </w:t>
      </w:r>
      <w:r w:rsidR="00503CA3">
        <w:t>slow</w:t>
      </w:r>
      <w:r w:rsidR="00344E02">
        <w:t xml:space="preserve"> </w:t>
      </w:r>
      <w:r>
        <w:t xml:space="preserve">and </w:t>
      </w:r>
      <w:r w:rsidR="00EB410F">
        <w:t xml:space="preserve">cannot achieve </w:t>
      </w:r>
      <w:r w:rsidR="00344E02">
        <w:t xml:space="preserve">a critical mass of </w:t>
      </w:r>
      <w:r w:rsidR="00EB410F">
        <w:t xml:space="preserve">network integration and </w:t>
      </w:r>
      <w:r w:rsidR="00344E02">
        <w:t xml:space="preserve">patronage to </w:t>
      </w:r>
      <w:r w:rsidR="00835E32">
        <w:t xml:space="preserve">justify the large scale capital investment required to </w:t>
      </w:r>
      <w:r w:rsidR="00344E02">
        <w:t xml:space="preserve">deliver </w:t>
      </w:r>
      <w:r w:rsidR="00DE3953">
        <w:t xml:space="preserve">high service levels and </w:t>
      </w:r>
      <w:r w:rsidR="00EB410F">
        <w:t>cost efficiencies.</w:t>
      </w:r>
    </w:p>
    <w:p w14:paraId="49BDDD64" w14:textId="77777777" w:rsidR="00EB410F" w:rsidRDefault="00EB410F" w:rsidP="0086063A"/>
    <w:p w14:paraId="13E322FE" w14:textId="77777777" w:rsidR="000267AF" w:rsidRDefault="00EB410F" w:rsidP="000267AF">
      <w:r>
        <w:t>This situation must change as Australia</w:t>
      </w:r>
      <w:r w:rsidR="00D5003E">
        <w:t>n cities</w:t>
      </w:r>
      <w:r>
        <w:t xml:space="preserve"> </w:t>
      </w:r>
      <w:r w:rsidR="00EE6086">
        <w:t>–</w:t>
      </w:r>
      <w:r w:rsidR="007A2976">
        <w:t xml:space="preserve"> </w:t>
      </w:r>
      <w:r w:rsidR="00EE6086">
        <w:t>like the rest of</w:t>
      </w:r>
      <w:r>
        <w:t xml:space="preserve"> the </w:t>
      </w:r>
      <w:r w:rsidR="007A2976">
        <w:t xml:space="preserve">developed </w:t>
      </w:r>
      <w:r>
        <w:t xml:space="preserve">world </w:t>
      </w:r>
      <w:r w:rsidR="007A2976">
        <w:t xml:space="preserve">- </w:t>
      </w:r>
      <w:r>
        <w:t>evolve towards a</w:t>
      </w:r>
      <w:r w:rsidR="007A2976">
        <w:t xml:space="preserve"> more compact urban form with</w:t>
      </w:r>
      <w:r>
        <w:t xml:space="preserve"> </w:t>
      </w:r>
      <w:r w:rsidR="00D5003E">
        <w:t xml:space="preserve">jobs </w:t>
      </w:r>
      <w:r w:rsidR="00F640F7">
        <w:t>in the</w:t>
      </w:r>
      <w:r w:rsidR="00EE6086">
        <w:t xml:space="preserve"> knowledge economy</w:t>
      </w:r>
      <w:r>
        <w:t>.</w:t>
      </w:r>
      <w:r w:rsidR="00130DCC">
        <w:t xml:space="preserve"> </w:t>
      </w:r>
      <w:r w:rsidR="000267AF">
        <w:t xml:space="preserve">Australia’s </w:t>
      </w:r>
      <w:r w:rsidR="00835E32">
        <w:t xml:space="preserve">major capital </w:t>
      </w:r>
      <w:r w:rsidR="000267AF">
        <w:t xml:space="preserve">cities are the economic powerhouses of the nation and our gateway to the global economy. They are home to key economic infrastructure which is critical to the prosperity of industries and sectors across Australia. </w:t>
      </w:r>
      <w:r w:rsidR="001E10B2">
        <w:t>They will become more important over the twenty-first century.</w:t>
      </w:r>
    </w:p>
    <w:p w14:paraId="0BC21FB3" w14:textId="77777777" w:rsidR="0011623F" w:rsidRDefault="0011623F" w:rsidP="0086063A"/>
    <w:p w14:paraId="3146DD10" w14:textId="77777777" w:rsidR="0008724E" w:rsidRDefault="0086063A" w:rsidP="0008724E">
      <w:r>
        <w:t xml:space="preserve">Public transport infrastructure provides vital economic, social and sustainability benefits which are well understood by the Australian people. </w:t>
      </w:r>
      <w:r w:rsidR="0008724E">
        <w:t xml:space="preserve">The evidence is clear that continuously increasing the scale and capacity of our road networks alone will not enable our cities to cope with forecast urban densification. </w:t>
      </w:r>
    </w:p>
    <w:p w14:paraId="069B69C9" w14:textId="77777777" w:rsidR="0008724E" w:rsidRDefault="0086063A" w:rsidP="0086063A">
      <w:r>
        <w:t>It is critical that comprehensive mass transit public transport systems are planned, funded, built and successfully operated in all major Australian</w:t>
      </w:r>
      <w:r w:rsidR="0008724E">
        <w:t xml:space="preserve"> cities</w:t>
      </w:r>
      <w:r w:rsidR="00260926">
        <w:t>.</w:t>
      </w:r>
      <w:r w:rsidR="00D5003E">
        <w:t xml:space="preserve"> </w:t>
      </w:r>
    </w:p>
    <w:p w14:paraId="1335F5A0" w14:textId="77777777" w:rsidR="00F937CD" w:rsidRDefault="00F937CD" w:rsidP="0086063A"/>
    <w:p w14:paraId="181CB80B" w14:textId="77777777" w:rsidR="0008724E" w:rsidRDefault="0008724E" w:rsidP="0086063A">
      <w:r>
        <w:t>Innovative funding models need to be introduced to fund new public transport infrastructure. Fortunately, there are proven global models that can be amended to suit Australian conditions. They are generally gathered under the title of value capture.</w:t>
      </w:r>
    </w:p>
    <w:p w14:paraId="20CD4B53" w14:textId="77777777" w:rsidR="0008724E" w:rsidRDefault="0008724E" w:rsidP="0086063A"/>
    <w:p w14:paraId="7ECF7402" w14:textId="77777777" w:rsidR="007A2F74" w:rsidRDefault="001F15EE" w:rsidP="001F15EE">
      <w:r>
        <w:t xml:space="preserve">Value capture is based on the premise that government has a right to capture a reasonable portion of the additional economic </w:t>
      </w:r>
      <w:r w:rsidR="00F937CD">
        <w:t xml:space="preserve">and property </w:t>
      </w:r>
      <w:r>
        <w:t xml:space="preserve">value generated from new public transport </w:t>
      </w:r>
      <w:r w:rsidR="00F937CD">
        <w:t xml:space="preserve">infrastructure </w:t>
      </w:r>
      <w:r>
        <w:t xml:space="preserve">to fund these enhancements. </w:t>
      </w:r>
      <w:r w:rsidR="00835E32">
        <w:t>The concept of value captu</w:t>
      </w:r>
      <w:r w:rsidR="00076BB8">
        <w:t>re is not new, with countries such as the United Kingdom and Canada having used various value capture mechanisms to finance public transport infrastructure for more than a century.</w:t>
      </w:r>
      <w:r w:rsidR="007A2F74">
        <w:t xml:space="preserve"> </w:t>
      </w:r>
    </w:p>
    <w:p w14:paraId="77A26E27" w14:textId="77777777" w:rsidR="007A2F74" w:rsidRDefault="007A2F74" w:rsidP="001F15EE"/>
    <w:p w14:paraId="33457C66" w14:textId="77777777" w:rsidR="00E80A61" w:rsidRDefault="00E80A61" w:rsidP="00E80A61">
      <w:r w:rsidRPr="006B18AE">
        <w:t xml:space="preserve">A clear prerequisite for a value capture strategy is that there </w:t>
      </w:r>
      <w:r>
        <w:t>must be</w:t>
      </w:r>
      <w:r w:rsidRPr="006B18AE">
        <w:t xml:space="preserve"> value to be captured</w:t>
      </w:r>
      <w:r>
        <w:t>. Uplift in property values from new public transport infrastructure is the core principle behind value capture.</w:t>
      </w:r>
      <w:r w:rsidR="00D43AE8">
        <w:t xml:space="preserve"> There is clear evidence that new public transport infrastructure does</w:t>
      </w:r>
      <w:r w:rsidR="00835E32">
        <w:t>, under the right circumstances,</w:t>
      </w:r>
      <w:r w:rsidR="00D43AE8">
        <w:t xml:space="preserve"> create high uplifts in property values as the examples in Section 4 of this report demonstrate.</w:t>
      </w:r>
      <w:r w:rsidR="00835E32">
        <w:t xml:space="preserve"> Value capture is likely to be most successful in key capital cities such as Sydney, Melbourne, Brisbane and Perth where demographics trends and economic growth outlook are strongest to </w:t>
      </w:r>
      <w:r w:rsidR="00076BB8">
        <w:t>support long term property valu</w:t>
      </w:r>
      <w:r w:rsidR="00835E32">
        <w:t>e appreciation.</w:t>
      </w:r>
    </w:p>
    <w:p w14:paraId="0BC22CA6" w14:textId="77777777" w:rsidR="00E80A61" w:rsidRDefault="00E80A61" w:rsidP="001F15EE"/>
    <w:p w14:paraId="33379CBE" w14:textId="77777777" w:rsidR="0086063A" w:rsidRDefault="0086063A" w:rsidP="0086063A">
      <w:r w:rsidRPr="003A6961">
        <w:lastRenderedPageBreak/>
        <w:t xml:space="preserve">There is a wide range of land value capture mechanisms which can be employed to generate funds </w:t>
      </w:r>
      <w:r>
        <w:t>to help fund</w:t>
      </w:r>
      <w:r w:rsidRPr="003A6961">
        <w:t xml:space="preserve"> new public transport infrastructure. </w:t>
      </w:r>
      <w:r w:rsidR="00941D12">
        <w:t xml:space="preserve">The best value capture strategies put in place a </w:t>
      </w:r>
      <w:r w:rsidR="00FB74E6">
        <w:t xml:space="preserve">complementary </w:t>
      </w:r>
      <w:r w:rsidR="00941D12">
        <w:t xml:space="preserve">range of mechanisms. This distributes the </w:t>
      </w:r>
      <w:r w:rsidR="00637F7D">
        <w:t>imp</w:t>
      </w:r>
      <w:r w:rsidR="00E80A61">
        <w:t>a</w:t>
      </w:r>
      <w:r w:rsidR="00637F7D">
        <w:t>ct</w:t>
      </w:r>
      <w:r w:rsidR="00941D12">
        <w:t xml:space="preserve"> of value capture equitably.</w:t>
      </w:r>
    </w:p>
    <w:p w14:paraId="778506F4" w14:textId="77777777" w:rsidR="0086063A" w:rsidRDefault="0086063A" w:rsidP="0086063A"/>
    <w:p w14:paraId="4568A7FD" w14:textId="77777777" w:rsidR="00637F7D" w:rsidRDefault="00637F7D" w:rsidP="00637F7D">
      <w:r>
        <w:t>It is the prohibitive upfront capital cost of building new public transport infrastructure in Australia which is the most critical problem that can be improved by value capture.</w:t>
      </w:r>
    </w:p>
    <w:p w14:paraId="5B017DBC" w14:textId="77777777" w:rsidR="00637F7D" w:rsidRDefault="00637F7D" w:rsidP="0086063A"/>
    <w:p w14:paraId="6341738E" w14:textId="77777777" w:rsidR="00941D12" w:rsidRDefault="00941D12" w:rsidP="0086063A">
      <w:r>
        <w:t>Two principal forms of value capture which could be considered for Australian conditions are:</w:t>
      </w:r>
    </w:p>
    <w:p w14:paraId="60FAFBC1" w14:textId="77777777" w:rsidR="00941D12" w:rsidRDefault="00941D12" w:rsidP="0086063A"/>
    <w:p w14:paraId="17990DE8" w14:textId="77777777" w:rsidR="00FB74E6" w:rsidRDefault="00941D12" w:rsidP="00791C11">
      <w:pPr>
        <w:pStyle w:val="ListParagraph"/>
        <w:numPr>
          <w:ilvl w:val="0"/>
          <w:numId w:val="30"/>
        </w:numPr>
      </w:pPr>
      <w:r>
        <w:t>Tax Increment Financing (TIF)</w:t>
      </w:r>
      <w:r w:rsidR="00F900A6">
        <w:t xml:space="preserve"> combined with bond issuances </w:t>
      </w:r>
    </w:p>
    <w:p w14:paraId="65B73B3F" w14:textId="77777777" w:rsidR="00941D12" w:rsidRDefault="00831157" w:rsidP="00791C11">
      <w:pPr>
        <w:pStyle w:val="ListParagraph"/>
        <w:numPr>
          <w:ilvl w:val="0"/>
          <w:numId w:val="30"/>
        </w:numPr>
      </w:pPr>
      <w:r>
        <w:t xml:space="preserve">Business Rates Supplement </w:t>
      </w:r>
      <w:r w:rsidR="00941D12">
        <w:t>(BRS)</w:t>
      </w:r>
      <w:r w:rsidR="00F900A6">
        <w:t>.</w:t>
      </w:r>
    </w:p>
    <w:p w14:paraId="4168C20B" w14:textId="77777777" w:rsidR="00941D12" w:rsidRDefault="00941D12" w:rsidP="00941D12"/>
    <w:p w14:paraId="6AE8F7E2" w14:textId="77777777" w:rsidR="0086063A" w:rsidRDefault="0086063A" w:rsidP="0086063A">
      <w:r w:rsidRPr="003A6961">
        <w:t xml:space="preserve">TIF enables governments to raise bond finance against the future additional tax revenue generated </w:t>
      </w:r>
      <w:r w:rsidR="00941D12">
        <w:t>in</w:t>
      </w:r>
      <w:r w:rsidRPr="003A6961">
        <w:t xml:space="preserve"> a </w:t>
      </w:r>
      <w:r w:rsidR="00941D12">
        <w:t>designated zone</w:t>
      </w:r>
      <w:r w:rsidRPr="003A6961">
        <w:t>. It is a way of pulling forward funds to the construction stage</w:t>
      </w:r>
      <w:r w:rsidR="00941D12">
        <w:t xml:space="preserve"> with a bond issuance and</w:t>
      </w:r>
      <w:r w:rsidRPr="003A6961">
        <w:t xml:space="preserve"> </w:t>
      </w:r>
      <w:r w:rsidR="00941D12">
        <w:t xml:space="preserve">then </w:t>
      </w:r>
      <w:r w:rsidRPr="003A6961">
        <w:t xml:space="preserve">repaying bond finance </w:t>
      </w:r>
      <w:r w:rsidR="00941D12">
        <w:t>with</w:t>
      </w:r>
      <w:r w:rsidRPr="003A6961">
        <w:t xml:space="preserve"> </w:t>
      </w:r>
      <w:r w:rsidR="00835E32">
        <w:t xml:space="preserve">additional </w:t>
      </w:r>
      <w:r w:rsidRPr="003A6961">
        <w:t>tax revenue</w:t>
      </w:r>
      <w:r w:rsidR="00835E32">
        <w:t xml:space="preserve"> that flows from the developed area</w:t>
      </w:r>
      <w:r w:rsidRPr="003A6961">
        <w:t xml:space="preserve">. </w:t>
      </w:r>
      <w:r w:rsidR="00941D12">
        <w:t>TIF has been used successfully in the US for over 50 years and has now been introduced in Canada and the UK. The report uses examples from Chicago and New York (Hudson Yards) to show how TIF works in practice.</w:t>
      </w:r>
    </w:p>
    <w:p w14:paraId="067A9BC8" w14:textId="77777777" w:rsidR="00D53BEB" w:rsidRDefault="00D53BEB" w:rsidP="0086063A"/>
    <w:p w14:paraId="28B6F2BE" w14:textId="77777777" w:rsidR="00D53BEB" w:rsidRDefault="00D53BEB" w:rsidP="0086063A">
      <w:r>
        <w:t xml:space="preserve">BRS is a targeted levy on larger </w:t>
      </w:r>
      <w:r w:rsidR="00885F59">
        <w:t>non-domestic properties that</w:t>
      </w:r>
      <w:r>
        <w:t xml:space="preserve"> will benefit from the construction of London’s Crossrail</w:t>
      </w:r>
      <w:r w:rsidR="00835E32">
        <w:t xml:space="preserve"> project</w:t>
      </w:r>
      <w:r>
        <w:t>.</w:t>
      </w:r>
      <w:r w:rsidR="00885F59">
        <w:t xml:space="preserve"> It will fund approximately 25-30% of the UKP14.8 billion project</w:t>
      </w:r>
      <w:r w:rsidR="00090918">
        <w:t>.</w:t>
      </w:r>
    </w:p>
    <w:p w14:paraId="0D8B2783" w14:textId="77777777" w:rsidR="0086063A" w:rsidRDefault="0086063A" w:rsidP="0086063A"/>
    <w:p w14:paraId="2E7780D1" w14:textId="57C0CADF" w:rsidR="0014395D" w:rsidRDefault="0086063A" w:rsidP="0086063A">
      <w:r>
        <w:t xml:space="preserve">Value capture does not usually cover 100% of project </w:t>
      </w:r>
      <w:r w:rsidR="00835E32">
        <w:t xml:space="preserve">development </w:t>
      </w:r>
      <w:r>
        <w:t xml:space="preserve">costs in most countries. There are exceptions such as Hong Kong and Japan. </w:t>
      </w:r>
      <w:r w:rsidR="0014395D">
        <w:t xml:space="preserve">Hong King’s MRT is a highly profitable business that has expanded globally including to Melbourne </w:t>
      </w:r>
      <w:r w:rsidR="00835E32">
        <w:t xml:space="preserve">and Sydney </w:t>
      </w:r>
      <w:r w:rsidR="0014395D">
        <w:t>in Australia. Its vertically-integrated business model, known as “Rail + Property,” is seen as global best practice. It</w:t>
      </w:r>
      <w:r w:rsidR="000B45FF">
        <w:t>s</w:t>
      </w:r>
      <w:r w:rsidR="0014395D">
        <w:t xml:space="preserve"> farebox revenue </w:t>
      </w:r>
      <w:r w:rsidR="000B45FF">
        <w:t>is approximately 85</w:t>
      </w:r>
      <w:r w:rsidR="0014395D">
        <w:t xml:space="preserve">% </w:t>
      </w:r>
      <w:r w:rsidR="000B45FF">
        <w:t>above system costs and it generates high profits from property ownership, leasing and development.</w:t>
      </w:r>
      <w:r w:rsidR="0014395D">
        <w:t xml:space="preserve"> </w:t>
      </w:r>
    </w:p>
    <w:p w14:paraId="39959C8E" w14:textId="77777777" w:rsidR="001938AD" w:rsidRDefault="001938AD" w:rsidP="0086063A"/>
    <w:p w14:paraId="3BA3CA21" w14:textId="707366F9" w:rsidR="00941D12" w:rsidRDefault="00FE788B" w:rsidP="001B2B6D">
      <w:pPr>
        <w:pStyle w:val="CommentText"/>
      </w:pPr>
      <w:r>
        <w:t>The</w:t>
      </w:r>
      <w:r w:rsidR="0086063A">
        <w:t xml:space="preserve"> specific urban attributes </w:t>
      </w:r>
      <w:r w:rsidR="00941D12">
        <w:t>and histor</w:t>
      </w:r>
      <w:r w:rsidR="0047631C">
        <w:t>ies</w:t>
      </w:r>
      <w:r w:rsidR="00941D12">
        <w:t xml:space="preserve"> </w:t>
      </w:r>
      <w:r w:rsidR="0086063A">
        <w:t xml:space="preserve">of densely populated cities in Asia </w:t>
      </w:r>
      <w:r w:rsidR="002B29BF">
        <w:t xml:space="preserve">like Hong Kong </w:t>
      </w:r>
      <w:r w:rsidR="00941D12">
        <w:t>are transferrable to</w:t>
      </w:r>
      <w:r w:rsidR="0086063A">
        <w:t xml:space="preserve"> </w:t>
      </w:r>
      <w:r w:rsidR="00C947E3">
        <w:t xml:space="preserve">major </w:t>
      </w:r>
      <w:r w:rsidR="0086063A">
        <w:t>Australia</w:t>
      </w:r>
      <w:r w:rsidR="00C947E3">
        <w:t>n cities</w:t>
      </w:r>
      <w:r w:rsidR="0086063A">
        <w:t xml:space="preserve">. </w:t>
      </w:r>
      <w:r w:rsidR="00C947E3">
        <w:t>It could be argued that Government should be capturing a high percentage of the uplift from the value of their infrastructure investments, as this value would not be happening without them. In fact, these could be permanent fees as the network availability and amenity is permanent. There is no reason to discard them once debt is paid. They could then be used for ongoing improvements to service levels and further network enhancements. This, in turn, would generate new value capture opportunities as the network expanded – similar to Hong Kong and Singapore. Other</w:t>
      </w:r>
      <w:r w:rsidR="0047631C">
        <w:t xml:space="preserve"> relevant v</w:t>
      </w:r>
      <w:r w:rsidR="0086063A">
        <w:t xml:space="preserve">alue capture </w:t>
      </w:r>
      <w:r w:rsidR="00941D12">
        <w:t>models can be</w:t>
      </w:r>
      <w:r w:rsidR="0086063A">
        <w:t xml:space="preserve"> found in major cities </w:t>
      </w:r>
      <w:r w:rsidR="0047631C">
        <w:t>such as London, New York and Chicago.</w:t>
      </w:r>
      <w:r w:rsidR="005A241D">
        <w:t xml:space="preserve"> These cities are all undertaking large scale transit oriented development in urban renewal areas to respond to changing economic and job patterns. They are all utilising value capture to fund public transport infrastructure improvements. </w:t>
      </w:r>
    </w:p>
    <w:p w14:paraId="54969DCE" w14:textId="77777777" w:rsidR="0086063A" w:rsidRDefault="0086063A" w:rsidP="0086063A">
      <w:pPr>
        <w:rPr>
          <w:lang w:val="en-US"/>
        </w:rPr>
      </w:pPr>
    </w:p>
    <w:p w14:paraId="3130DB74" w14:textId="77777777" w:rsidR="00D147BA" w:rsidRDefault="00BC43ED" w:rsidP="0086063A">
      <w:pPr>
        <w:rPr>
          <w:lang w:val="en-US"/>
        </w:rPr>
      </w:pPr>
      <w:r>
        <w:rPr>
          <w:lang w:val="en-US"/>
        </w:rPr>
        <w:t xml:space="preserve">Value capture should become a normal part of public transport project funding in Australia. A </w:t>
      </w:r>
      <w:r w:rsidR="00E80A61">
        <w:rPr>
          <w:lang w:val="en-US"/>
        </w:rPr>
        <w:t>value capture</w:t>
      </w:r>
      <w:r>
        <w:rPr>
          <w:lang w:val="en-US"/>
        </w:rPr>
        <w:t xml:space="preserve"> framework </w:t>
      </w:r>
      <w:r w:rsidR="00635E95">
        <w:rPr>
          <w:lang w:val="en-US"/>
        </w:rPr>
        <w:t>c</w:t>
      </w:r>
      <w:r>
        <w:rPr>
          <w:lang w:val="en-US"/>
        </w:rPr>
        <w:t>ould be incorporated into the business case for all public transport infrastructure proposals</w:t>
      </w:r>
      <w:r w:rsidR="00635E95">
        <w:rPr>
          <w:lang w:val="en-US"/>
        </w:rPr>
        <w:t>. The framework would</w:t>
      </w:r>
      <w:r>
        <w:rPr>
          <w:lang w:val="en-US"/>
        </w:rPr>
        <w:t xml:space="preserve"> assess value capture opportunities, select the best mix of appropriate value capture mechanisms, quantif</w:t>
      </w:r>
      <w:r w:rsidR="00635E95">
        <w:rPr>
          <w:lang w:val="en-US"/>
        </w:rPr>
        <w:t>y</w:t>
      </w:r>
      <w:r>
        <w:rPr>
          <w:lang w:val="en-US"/>
        </w:rPr>
        <w:t xml:space="preserve"> the amount of funds to be generated and put in place a governance structure to deliver </w:t>
      </w:r>
      <w:r w:rsidR="00635E95">
        <w:rPr>
          <w:lang w:val="en-US"/>
        </w:rPr>
        <w:t>funding</w:t>
      </w:r>
      <w:r w:rsidR="00E80A61">
        <w:rPr>
          <w:lang w:val="en-US"/>
        </w:rPr>
        <w:t>.</w:t>
      </w:r>
      <w:r>
        <w:rPr>
          <w:lang w:val="en-US"/>
        </w:rPr>
        <w:t xml:space="preserve"> </w:t>
      </w:r>
    </w:p>
    <w:p w14:paraId="3A5FAF08" w14:textId="77777777" w:rsidR="00D147BA" w:rsidRDefault="00D147BA" w:rsidP="0086063A">
      <w:pPr>
        <w:rPr>
          <w:lang w:val="en-US"/>
        </w:rPr>
      </w:pPr>
    </w:p>
    <w:p w14:paraId="03CAA119" w14:textId="77777777" w:rsidR="00E80A61" w:rsidRDefault="00D147BA" w:rsidP="0086063A">
      <w:pPr>
        <w:rPr>
          <w:lang w:val="en-US"/>
        </w:rPr>
      </w:pPr>
      <w:r>
        <w:rPr>
          <w:lang w:val="en-US"/>
        </w:rPr>
        <w:t>Public infrastructure investment should not create windfall profits for landholders who are fortunate enough to be in control of strategic real estate holdings.</w:t>
      </w:r>
      <w:r w:rsidR="00E80A61">
        <w:rPr>
          <w:lang w:val="en-US"/>
        </w:rPr>
        <w:t xml:space="preserve"> </w:t>
      </w:r>
      <w:r w:rsidR="007A2F74">
        <w:rPr>
          <w:lang w:val="en-US"/>
        </w:rPr>
        <w:t>Value capture</w:t>
      </w:r>
      <w:r w:rsidR="00076BB8">
        <w:rPr>
          <w:lang w:val="en-US"/>
        </w:rPr>
        <w:t xml:space="preserve"> is highly desirable from a social equity perspective, in that taxpayers who are funding the cost of development of transformative infrastructure projects</w:t>
      </w:r>
      <w:r>
        <w:rPr>
          <w:lang w:val="en-US"/>
        </w:rPr>
        <w:t>, get to share proportionally in the economic benefits that are created.</w:t>
      </w:r>
    </w:p>
    <w:p w14:paraId="0F92F1BC" w14:textId="77777777" w:rsidR="00003860" w:rsidRDefault="00003860" w:rsidP="0086063A">
      <w:pPr>
        <w:rPr>
          <w:lang w:val="en-US"/>
        </w:rPr>
      </w:pPr>
      <w:r>
        <w:rPr>
          <w:lang w:val="en-US"/>
        </w:rPr>
        <w:t>Government development policy and individual business case analysis should include project and network corridor preservation as well as property acquisition strategies that maximize value capture outcomes.</w:t>
      </w:r>
    </w:p>
    <w:p w14:paraId="13506EE0" w14:textId="77777777" w:rsidR="00E80A61" w:rsidRDefault="00E80A61" w:rsidP="0086063A">
      <w:pPr>
        <w:rPr>
          <w:lang w:val="en-US"/>
        </w:rPr>
      </w:pPr>
    </w:p>
    <w:p w14:paraId="45BA1C97" w14:textId="0A2DD70B" w:rsidR="00C947E3" w:rsidRDefault="00CF32B1" w:rsidP="00B6347F">
      <w:pPr>
        <w:rPr>
          <w:lang w:val="en-US"/>
        </w:rPr>
      </w:pPr>
      <w:r>
        <w:rPr>
          <w:lang w:val="en-US"/>
        </w:rPr>
        <w:t xml:space="preserve">There is clear evidence that the weight of capital seeking to invest in Australia would </w:t>
      </w:r>
      <w:r w:rsidR="008A5919">
        <w:rPr>
          <w:lang w:val="en-US"/>
        </w:rPr>
        <w:t>respond positively</w:t>
      </w:r>
      <w:r>
        <w:rPr>
          <w:lang w:val="en-US"/>
        </w:rPr>
        <w:t xml:space="preserve"> </w:t>
      </w:r>
      <w:r w:rsidR="008A5919">
        <w:rPr>
          <w:lang w:val="en-US"/>
        </w:rPr>
        <w:t xml:space="preserve">to </w:t>
      </w:r>
      <w:r>
        <w:rPr>
          <w:lang w:val="en-US"/>
        </w:rPr>
        <w:t>innovative funding models that support public transport infrastructure. This applies to</w:t>
      </w:r>
      <w:r w:rsidR="007E159A">
        <w:rPr>
          <w:lang w:val="en-US"/>
        </w:rPr>
        <w:t xml:space="preserve"> domestic</w:t>
      </w:r>
      <w:r>
        <w:rPr>
          <w:lang w:val="en-US"/>
        </w:rPr>
        <w:t xml:space="preserve"> superannuation funds, broader managed funds and overseas investors. </w:t>
      </w:r>
      <w:r w:rsidR="000703B8">
        <w:rPr>
          <w:lang w:val="en-US"/>
        </w:rPr>
        <w:t xml:space="preserve">Australia is a developed country with a Triple AAA credit rating. It has low levels of risk. Value capture mechanisms such as TIF-related </w:t>
      </w:r>
      <w:r w:rsidR="000703B8">
        <w:rPr>
          <w:lang w:val="en-US"/>
        </w:rPr>
        <w:lastRenderedPageBreak/>
        <w:t>bonds could become an integral part of the Australian investment market generating high levels of funding for new public transport infrastructure to be constructed in major urban centres across Australia.</w:t>
      </w:r>
    </w:p>
    <w:p w14:paraId="0FBA35FC" w14:textId="0FE79F34" w:rsidR="00D43AE8" w:rsidRDefault="000703B8" w:rsidP="0086063A">
      <w:pPr>
        <w:rPr>
          <w:lang w:val="en-US"/>
        </w:rPr>
      </w:pPr>
      <w:r>
        <w:rPr>
          <w:lang w:val="en-US"/>
        </w:rPr>
        <w:t xml:space="preserve"> </w:t>
      </w:r>
    </w:p>
    <w:p w14:paraId="75B5B745" w14:textId="5E291EED" w:rsidR="005C66E5" w:rsidRDefault="00C947E3" w:rsidP="005C66E5">
      <w:r>
        <w:t>In conclusion,</w:t>
      </w:r>
      <w:r w:rsidRPr="00C947E3">
        <w:t xml:space="preserve"> </w:t>
      </w:r>
      <w:r>
        <w:t>Australian governments should</w:t>
      </w:r>
      <w:r w:rsidR="005C66E5">
        <w:t>:</w:t>
      </w:r>
    </w:p>
    <w:p w14:paraId="60FBE675" w14:textId="77777777" w:rsidR="00C947E3" w:rsidRDefault="00C947E3" w:rsidP="00C947E3">
      <w:pPr>
        <w:rPr>
          <w:lang w:val="en-AU"/>
        </w:rPr>
      </w:pPr>
    </w:p>
    <w:p w14:paraId="5744D125" w14:textId="6BB9D27C" w:rsidR="005C66E5" w:rsidRDefault="00C947E3" w:rsidP="001B2B6D">
      <w:pPr>
        <w:pStyle w:val="ListParagraph"/>
        <w:numPr>
          <w:ilvl w:val="0"/>
          <w:numId w:val="60"/>
        </w:numPr>
        <w:contextualSpacing w:val="0"/>
      </w:pPr>
      <w:r>
        <w:t>M</w:t>
      </w:r>
      <w:r w:rsidR="005C66E5">
        <w:t xml:space="preserve">aximize returns by not only advocating a broad based </w:t>
      </w:r>
      <w:r>
        <w:t xml:space="preserve">use of </w:t>
      </w:r>
      <w:r w:rsidR="005C66E5">
        <w:t>value capture mechanism</w:t>
      </w:r>
      <w:r>
        <w:t>s</w:t>
      </w:r>
      <w:r w:rsidR="005C66E5">
        <w:t xml:space="preserve">, but </w:t>
      </w:r>
      <w:r>
        <w:t>they should also</w:t>
      </w:r>
      <w:r w:rsidR="005C66E5">
        <w:t xml:space="preserve"> take a substantial proportion of the uplift in valuation that occurs in closely proximate areas to the infrastructure development (on a sliding scale</w:t>
      </w:r>
      <w:r>
        <w:t xml:space="preserve"> in terms of distance from the new station box</w:t>
      </w:r>
      <w:r w:rsidR="005C66E5">
        <w:t>)</w:t>
      </w:r>
    </w:p>
    <w:p w14:paraId="061854AF" w14:textId="5554B7E4" w:rsidR="005C66E5" w:rsidRDefault="00C947E3" w:rsidP="001B2B6D">
      <w:pPr>
        <w:pStyle w:val="ListParagraph"/>
        <w:numPr>
          <w:ilvl w:val="0"/>
          <w:numId w:val="60"/>
        </w:numPr>
        <w:contextualSpacing w:val="0"/>
      </w:pPr>
      <w:r>
        <w:t>F</w:t>
      </w:r>
      <w:r w:rsidR="005C66E5">
        <w:t xml:space="preserve">ocus on preserving development corridors and land assembly activities on a strategic level that will </w:t>
      </w:r>
      <w:r>
        <w:t>maximize value capture outcomes</w:t>
      </w:r>
    </w:p>
    <w:p w14:paraId="58DF8204" w14:textId="77777777" w:rsidR="001B2B6D" w:rsidRDefault="00C947E3" w:rsidP="001B2B6D">
      <w:pPr>
        <w:pStyle w:val="ListParagraph"/>
        <w:numPr>
          <w:ilvl w:val="0"/>
          <w:numId w:val="60"/>
        </w:numPr>
        <w:contextualSpacing w:val="0"/>
      </w:pPr>
      <w:r>
        <w:t>U</w:t>
      </w:r>
      <w:r w:rsidR="005C66E5">
        <w:t xml:space="preserve">se infrastructure development and service improvement to have a discussion with the public about creating a more sustainable level of operating cost recovery for transit systems. </w:t>
      </w:r>
    </w:p>
    <w:p w14:paraId="60D245B4" w14:textId="69516FF4" w:rsidR="00B6347F" w:rsidRDefault="00B6347F" w:rsidP="001B2B6D">
      <w:pPr>
        <w:pStyle w:val="ListParagraph"/>
        <w:numPr>
          <w:ilvl w:val="0"/>
          <w:numId w:val="60"/>
        </w:numPr>
        <w:contextualSpacing w:val="0"/>
      </w:pPr>
      <w:r>
        <w:t>Expanding public transport networks when each expansion increases the levels of total network operating losses is a big impediment to network investment.</w:t>
      </w:r>
      <w:r w:rsidDel="001B2B6D">
        <w:t xml:space="preserve"> </w:t>
      </w:r>
      <w:r>
        <w:t>Cities such as Sydney, Melbourne and Brisbane should use this strategy to develop a list of projects where value capture could be employed and demonstrate how PPP and value capture could intersect. These projects would include Sydney Metro, Melbourne Metro, Bays Precinct, Central to Eveleigh, Brisbane Cross River Rail.</w:t>
      </w:r>
    </w:p>
    <w:p w14:paraId="0E4BC890" w14:textId="34955B09" w:rsidR="004D6FE6" w:rsidRDefault="004D6FE6" w:rsidP="00DA5D9E">
      <w:pPr>
        <w:pStyle w:val="Heading1"/>
      </w:pPr>
      <w:bookmarkStart w:id="3" w:name="_Toc430896823"/>
      <w:r>
        <w:lastRenderedPageBreak/>
        <w:t>Introduction</w:t>
      </w:r>
      <w:bookmarkEnd w:id="3"/>
    </w:p>
    <w:p w14:paraId="0C59E66D" w14:textId="77777777" w:rsidR="00A824A3" w:rsidRDefault="00A824A3" w:rsidP="009861AC">
      <w:pPr>
        <w:pStyle w:val="Heading2"/>
      </w:pPr>
      <w:bookmarkStart w:id="4" w:name="_Toc397924389"/>
      <w:bookmarkStart w:id="5" w:name="_Toc398067215"/>
      <w:bookmarkStart w:id="6" w:name="_Toc400011509"/>
      <w:bookmarkStart w:id="7" w:name="_Toc430896824"/>
      <w:r>
        <w:t>Project objectives</w:t>
      </w:r>
      <w:bookmarkEnd w:id="4"/>
      <w:bookmarkEnd w:id="5"/>
      <w:bookmarkEnd w:id="6"/>
      <w:bookmarkEnd w:id="7"/>
      <w:r>
        <w:t xml:space="preserve"> </w:t>
      </w:r>
    </w:p>
    <w:p w14:paraId="6FCE4024" w14:textId="3FE202B1" w:rsidR="00A824A3" w:rsidRDefault="00A824A3" w:rsidP="00A824A3">
      <w:r>
        <w:t xml:space="preserve">SGS Economics &amp; Planning has been commissioned </w:t>
      </w:r>
      <w:r w:rsidR="0050675D">
        <w:t>t</w:t>
      </w:r>
      <w:r>
        <w:t>o prepare a report on innovative funding models for public transport in Australia for the Rail, Tram and Bus Union of Australia (RTBU</w:t>
      </w:r>
      <w:r w:rsidR="0063551F">
        <w:t xml:space="preserve"> Australia</w:t>
      </w:r>
      <w:r>
        <w:t>).  These models have been gathered under the title of “value capture.”</w:t>
      </w:r>
    </w:p>
    <w:p w14:paraId="567F9133" w14:textId="77777777" w:rsidR="00A824A3" w:rsidRDefault="00A824A3" w:rsidP="00A824A3"/>
    <w:p w14:paraId="76F22F8F" w14:textId="77777777" w:rsidR="00A824A3" w:rsidRDefault="00A824A3" w:rsidP="00A824A3">
      <w:r>
        <w:t xml:space="preserve">The parameters for the report are </w:t>
      </w:r>
      <w:r w:rsidR="002A5690">
        <w:t>as follows</w:t>
      </w:r>
      <w:r>
        <w:t>:</w:t>
      </w:r>
    </w:p>
    <w:p w14:paraId="44177F94" w14:textId="77777777" w:rsidR="00A824A3" w:rsidRDefault="00A824A3" w:rsidP="00A824A3"/>
    <w:p w14:paraId="548629B4" w14:textId="77777777" w:rsidR="00A306AF" w:rsidRDefault="002A5690" w:rsidP="00791C11">
      <w:pPr>
        <w:pStyle w:val="ListParagraph"/>
        <w:numPr>
          <w:ilvl w:val="0"/>
          <w:numId w:val="12"/>
        </w:numPr>
      </w:pPr>
      <w:r>
        <w:t>Outline value capture models that could generate funding for new public transp</w:t>
      </w:r>
      <w:r w:rsidR="00C250DF">
        <w:t>ort infrastructure in Australia with a specific f</w:t>
      </w:r>
      <w:r w:rsidR="00A306AF">
        <w:t>ocus on generat</w:t>
      </w:r>
      <w:r w:rsidR="00A20BD5">
        <w:t>ing</w:t>
      </w:r>
      <w:r w:rsidR="00A306AF">
        <w:t xml:space="preserve"> upfront capital funding </w:t>
      </w:r>
    </w:p>
    <w:p w14:paraId="39FACF88" w14:textId="77777777" w:rsidR="00B327BF" w:rsidRDefault="00B327BF" w:rsidP="00791C11">
      <w:pPr>
        <w:pStyle w:val="ListParagraph"/>
        <w:numPr>
          <w:ilvl w:val="0"/>
          <w:numId w:val="12"/>
        </w:numPr>
      </w:pPr>
      <w:r>
        <w:t xml:space="preserve">Demonstrate </w:t>
      </w:r>
      <w:r w:rsidR="00683666">
        <w:t>the uplift in property values from</w:t>
      </w:r>
      <w:r>
        <w:t xml:space="preserve"> </w:t>
      </w:r>
      <w:r w:rsidR="00A20BD5">
        <w:t>public</w:t>
      </w:r>
      <w:r w:rsidR="00683666">
        <w:t xml:space="preserve"> transport</w:t>
      </w:r>
      <w:r w:rsidR="00A20BD5">
        <w:t xml:space="preserve"> infrastructure</w:t>
      </w:r>
      <w:r w:rsidR="00683666">
        <w:t>,</w:t>
      </w:r>
      <w:r w:rsidR="00A20BD5">
        <w:t xml:space="preserve"> providing an evidence base for </w:t>
      </w:r>
      <w:r w:rsidR="00C250DF">
        <w:t xml:space="preserve">the introduction of </w:t>
      </w:r>
      <w:r w:rsidR="00A20BD5">
        <w:t xml:space="preserve">value capture </w:t>
      </w:r>
    </w:p>
    <w:p w14:paraId="65F878E2" w14:textId="77777777" w:rsidR="00161C87" w:rsidRDefault="00A20BD5" w:rsidP="00791C11">
      <w:pPr>
        <w:pStyle w:val="ListParagraph"/>
        <w:numPr>
          <w:ilvl w:val="0"/>
          <w:numId w:val="12"/>
        </w:numPr>
      </w:pPr>
      <w:r>
        <w:t>Illustrat</w:t>
      </w:r>
      <w:r w:rsidR="00C250DF">
        <w:t>e</w:t>
      </w:r>
      <w:r>
        <w:t xml:space="preserve"> </w:t>
      </w:r>
      <w:r w:rsidR="00683666">
        <w:t xml:space="preserve">the benefits of </w:t>
      </w:r>
      <w:r>
        <w:t>value capture</w:t>
      </w:r>
      <w:r w:rsidR="00683666">
        <w:t xml:space="preserve"> from</w:t>
      </w:r>
      <w:r w:rsidR="00161C87">
        <w:t xml:space="preserve"> relevant global </w:t>
      </w:r>
      <w:r>
        <w:t xml:space="preserve">and Australian </w:t>
      </w:r>
      <w:r w:rsidR="00161C87">
        <w:t xml:space="preserve">case studies </w:t>
      </w:r>
    </w:p>
    <w:p w14:paraId="08426633" w14:textId="77777777" w:rsidR="00161C87" w:rsidRDefault="00AD100D" w:rsidP="00791C11">
      <w:pPr>
        <w:pStyle w:val="ListParagraph"/>
        <w:numPr>
          <w:ilvl w:val="0"/>
          <w:numId w:val="12"/>
        </w:numPr>
      </w:pPr>
      <w:r>
        <w:t xml:space="preserve">Outline the </w:t>
      </w:r>
      <w:r w:rsidR="00161C87">
        <w:t>conditions</w:t>
      </w:r>
      <w:r>
        <w:t xml:space="preserve"> and structures that will encourage</w:t>
      </w:r>
      <w:r w:rsidR="00161C87">
        <w:t xml:space="preserve"> institutional capital </w:t>
      </w:r>
      <w:r>
        <w:t xml:space="preserve">to invest in </w:t>
      </w:r>
      <w:r w:rsidR="00A20BD5">
        <w:t xml:space="preserve">new public transport </w:t>
      </w:r>
      <w:r w:rsidR="00683666">
        <w:t>infrastructure</w:t>
      </w:r>
    </w:p>
    <w:p w14:paraId="76575BCF" w14:textId="77777777" w:rsidR="00B327BF" w:rsidRDefault="001E77B0" w:rsidP="00791C11">
      <w:pPr>
        <w:pStyle w:val="ListParagraph"/>
        <w:numPr>
          <w:ilvl w:val="0"/>
          <w:numId w:val="12"/>
        </w:numPr>
      </w:pPr>
      <w:r>
        <w:t>Outline</w:t>
      </w:r>
      <w:r w:rsidR="00AD100D">
        <w:t xml:space="preserve"> </w:t>
      </w:r>
      <w:r>
        <w:t xml:space="preserve">the features of </w:t>
      </w:r>
      <w:r w:rsidR="00AD100D">
        <w:t>a n</w:t>
      </w:r>
      <w:r w:rsidR="00B327BF">
        <w:t xml:space="preserve">ational approach that </w:t>
      </w:r>
      <w:r w:rsidR="00AD100D">
        <w:t xml:space="preserve">could </w:t>
      </w:r>
      <w:r w:rsidR="00B327BF">
        <w:t>appl</w:t>
      </w:r>
      <w:r w:rsidR="00AD100D">
        <w:t>y</w:t>
      </w:r>
      <w:r w:rsidR="00B327BF">
        <w:t xml:space="preserve"> to all urban areas and jurisdictions in Australia</w:t>
      </w:r>
      <w:r w:rsidR="00AD100D">
        <w:t>.</w:t>
      </w:r>
      <w:r w:rsidR="00B327BF">
        <w:t xml:space="preserve"> </w:t>
      </w:r>
    </w:p>
    <w:p w14:paraId="106A17A0" w14:textId="77777777" w:rsidR="00941D12" w:rsidRDefault="00941D12" w:rsidP="00941D12"/>
    <w:p w14:paraId="51191FAE" w14:textId="4655DE39" w:rsidR="00941D12" w:rsidRDefault="00941D12" w:rsidP="00941D12">
      <w:r>
        <w:t xml:space="preserve">The report focuses on </w:t>
      </w:r>
      <w:r w:rsidR="001C5B92">
        <w:t xml:space="preserve">the opportunities for </w:t>
      </w:r>
      <w:r>
        <w:t xml:space="preserve">heavy rail and light rail which represent the type of </w:t>
      </w:r>
      <w:r w:rsidR="00157165">
        <w:t>permanent</w:t>
      </w:r>
      <w:r>
        <w:t xml:space="preserve"> infrastructure which can </w:t>
      </w:r>
      <w:r w:rsidR="001C5B92">
        <w:t xml:space="preserve">deliver transit oriented development and </w:t>
      </w:r>
      <w:r>
        <w:t xml:space="preserve">make a perpetual difference to urban amenity and </w:t>
      </w:r>
      <w:r w:rsidR="00FC5A1F">
        <w:t xml:space="preserve">uplift </w:t>
      </w:r>
      <w:r>
        <w:t>property values</w:t>
      </w:r>
      <w:r w:rsidR="00FC5A1F">
        <w:t xml:space="preserve"> so that value capture becomes feasible in Australian cities</w:t>
      </w:r>
      <w:r>
        <w:t xml:space="preserve">. </w:t>
      </w:r>
    </w:p>
    <w:p w14:paraId="4BE125C9" w14:textId="77777777" w:rsidR="00A824A3" w:rsidRDefault="00A824A3" w:rsidP="009861AC">
      <w:pPr>
        <w:pStyle w:val="Heading2"/>
      </w:pPr>
      <w:bookmarkStart w:id="8" w:name="_Toc397924391"/>
      <w:bookmarkStart w:id="9" w:name="_Toc398067217"/>
      <w:bookmarkStart w:id="10" w:name="_Toc400011511"/>
      <w:bookmarkStart w:id="11" w:name="_Toc430896825"/>
      <w:r>
        <w:t>Structure of report</w:t>
      </w:r>
      <w:bookmarkEnd w:id="8"/>
      <w:bookmarkEnd w:id="9"/>
      <w:bookmarkEnd w:id="10"/>
      <w:bookmarkEnd w:id="11"/>
    </w:p>
    <w:p w14:paraId="1773661D" w14:textId="77777777" w:rsidR="00A824A3" w:rsidRDefault="00A824A3" w:rsidP="00A824A3">
      <w:r>
        <w:t>This report is broadly structured as follows:</w:t>
      </w:r>
    </w:p>
    <w:p w14:paraId="4121350F" w14:textId="77777777" w:rsidR="00A824A3" w:rsidRDefault="00A824A3" w:rsidP="004D6FE6"/>
    <w:p w14:paraId="31FD6814" w14:textId="2F7D63D3" w:rsidR="002D2D36" w:rsidRDefault="005703B7" w:rsidP="00791C11">
      <w:pPr>
        <w:pStyle w:val="ListParagraph"/>
        <w:numPr>
          <w:ilvl w:val="0"/>
          <w:numId w:val="14"/>
        </w:numPr>
        <w:ind w:left="360"/>
      </w:pPr>
      <w:r>
        <w:t>Value capture (</w:t>
      </w:r>
      <w:r w:rsidR="00AC4543">
        <w:t>Section</w:t>
      </w:r>
      <w:r w:rsidR="002D2D36">
        <w:t xml:space="preserve"> </w:t>
      </w:r>
      <w:r w:rsidR="00FC2782">
        <w:t>2</w:t>
      </w:r>
      <w:r>
        <w:t>)</w:t>
      </w:r>
      <w:r w:rsidR="002D2D36">
        <w:t xml:space="preserve"> </w:t>
      </w:r>
    </w:p>
    <w:p w14:paraId="618E82C2" w14:textId="0FD2FD7D" w:rsidR="002D2D36" w:rsidRDefault="005703B7" w:rsidP="00791C11">
      <w:pPr>
        <w:pStyle w:val="ListParagraph"/>
        <w:numPr>
          <w:ilvl w:val="0"/>
          <w:numId w:val="14"/>
        </w:numPr>
        <w:ind w:left="360"/>
      </w:pPr>
      <w:r>
        <w:t>Uplift in property values (</w:t>
      </w:r>
      <w:r w:rsidR="00AC4543">
        <w:t>Section</w:t>
      </w:r>
      <w:r w:rsidR="002D2D36">
        <w:t xml:space="preserve"> </w:t>
      </w:r>
      <w:r w:rsidR="00FC2782">
        <w:t>3</w:t>
      </w:r>
      <w:r>
        <w:t>)</w:t>
      </w:r>
    </w:p>
    <w:p w14:paraId="333B2EDC" w14:textId="13FAD5AB" w:rsidR="002D2D36" w:rsidRDefault="005703B7" w:rsidP="00791C11">
      <w:pPr>
        <w:pStyle w:val="ListParagraph"/>
        <w:numPr>
          <w:ilvl w:val="0"/>
          <w:numId w:val="14"/>
        </w:numPr>
        <w:ind w:left="360"/>
      </w:pPr>
      <w:r>
        <w:t>Case studies (</w:t>
      </w:r>
      <w:r w:rsidR="00AC4543">
        <w:t>Section</w:t>
      </w:r>
      <w:r w:rsidR="002D2D36">
        <w:t xml:space="preserve"> </w:t>
      </w:r>
      <w:r w:rsidR="00FC2782">
        <w:t>4</w:t>
      </w:r>
      <w:r>
        <w:t>)</w:t>
      </w:r>
    </w:p>
    <w:p w14:paraId="1FD57F96" w14:textId="4731A9A4" w:rsidR="00FC2782" w:rsidRDefault="00FC2782" w:rsidP="00791C11">
      <w:pPr>
        <w:pStyle w:val="ListParagraph"/>
        <w:numPr>
          <w:ilvl w:val="0"/>
          <w:numId w:val="14"/>
        </w:numPr>
        <w:ind w:left="360"/>
      </w:pPr>
      <w:r>
        <w:t>Securing Investment (Section 5)</w:t>
      </w:r>
    </w:p>
    <w:p w14:paraId="6502FA4C" w14:textId="5C8C6C04" w:rsidR="00285F00" w:rsidRDefault="00B27533" w:rsidP="00791C11">
      <w:pPr>
        <w:pStyle w:val="ListParagraph"/>
        <w:numPr>
          <w:ilvl w:val="0"/>
          <w:numId w:val="14"/>
        </w:numPr>
        <w:ind w:left="360"/>
      </w:pPr>
      <w:r>
        <w:t>Expla</w:t>
      </w:r>
      <w:r w:rsidR="00BD2705">
        <w:t>n</w:t>
      </w:r>
      <w:r>
        <w:t>ation of</w:t>
      </w:r>
      <w:r w:rsidR="00BD2705">
        <w:t xml:space="preserve"> the challenge facing Australian cities (</w:t>
      </w:r>
      <w:r w:rsidR="00AC4543">
        <w:t>Section</w:t>
      </w:r>
      <w:r w:rsidR="00BD2705">
        <w:t xml:space="preserve"> </w:t>
      </w:r>
      <w:r w:rsidR="00FC2782">
        <w:t>6</w:t>
      </w:r>
      <w:r w:rsidR="00BD2705">
        <w:t xml:space="preserve">) </w:t>
      </w:r>
    </w:p>
    <w:p w14:paraId="3E492164" w14:textId="712153EF" w:rsidR="005703B7" w:rsidRDefault="00AC4543" w:rsidP="00791C11">
      <w:pPr>
        <w:pStyle w:val="ListParagraph"/>
        <w:numPr>
          <w:ilvl w:val="0"/>
          <w:numId w:val="14"/>
        </w:numPr>
        <w:ind w:left="360"/>
      </w:pPr>
      <w:r>
        <w:t xml:space="preserve">Embedding value capture in Australia’s infrastructure planning and procurement systems (Section </w:t>
      </w:r>
      <w:r w:rsidR="00FC2782">
        <w:t>7</w:t>
      </w:r>
      <w:r>
        <w:t>)</w:t>
      </w:r>
      <w:r w:rsidR="00B27533">
        <w:t>.</w:t>
      </w:r>
      <w:r w:rsidR="00BD2705">
        <w:t xml:space="preserve"> </w:t>
      </w:r>
    </w:p>
    <w:p w14:paraId="1692DA83" w14:textId="77777777" w:rsidR="00AC4543" w:rsidRDefault="00AC4543" w:rsidP="00AC4543"/>
    <w:p w14:paraId="1AD59D9F" w14:textId="77777777" w:rsidR="00AC4543" w:rsidRDefault="00AC4543" w:rsidP="009861AC">
      <w:pPr>
        <w:pStyle w:val="Heading2"/>
      </w:pPr>
      <w:bookmarkStart w:id="12" w:name="_Toc430896826"/>
      <w:r>
        <w:t>Slideshow summary of report</w:t>
      </w:r>
      <w:bookmarkEnd w:id="12"/>
    </w:p>
    <w:p w14:paraId="100CA1EC" w14:textId="741982C3" w:rsidR="00AC4543" w:rsidRDefault="00AC4543" w:rsidP="00AC4543">
      <w:r>
        <w:t xml:space="preserve">A slideshow of key evidence and conclusions </w:t>
      </w:r>
      <w:r w:rsidR="007B3039">
        <w:t>in this</w:t>
      </w:r>
      <w:r>
        <w:t xml:space="preserve"> report will be provided to the RTBU</w:t>
      </w:r>
      <w:r w:rsidR="0063551F">
        <w:t xml:space="preserve"> Australia</w:t>
      </w:r>
      <w:r>
        <w:t xml:space="preserve">. </w:t>
      </w:r>
    </w:p>
    <w:p w14:paraId="4FACA74F" w14:textId="77777777" w:rsidR="00AC4543" w:rsidRPr="00AC4543" w:rsidRDefault="00AC4543" w:rsidP="004D6FE6">
      <w:pPr>
        <w:rPr>
          <w:b/>
        </w:rPr>
      </w:pPr>
    </w:p>
    <w:p w14:paraId="2D9B73F7" w14:textId="77777777" w:rsidR="00DA5D9E" w:rsidRDefault="00DA5D9E" w:rsidP="00DA5D9E">
      <w:pPr>
        <w:pStyle w:val="Heading1"/>
      </w:pPr>
      <w:bookmarkStart w:id="13" w:name="_Toc430896827"/>
      <w:r>
        <w:lastRenderedPageBreak/>
        <w:t>Value Capture</w:t>
      </w:r>
      <w:bookmarkEnd w:id="13"/>
    </w:p>
    <w:p w14:paraId="3FBCA4A5" w14:textId="6D060845" w:rsidR="004C5730" w:rsidRDefault="00C47E12" w:rsidP="004C5730">
      <w:pPr>
        <w:jc w:val="both"/>
      </w:pPr>
      <w:r>
        <w:rPr>
          <w:szCs w:val="18"/>
        </w:rPr>
        <w:t xml:space="preserve">Development of new public transport infrastructure is usually funded in Australia by </w:t>
      </w:r>
      <w:r w:rsidR="004C5730">
        <w:rPr>
          <w:szCs w:val="18"/>
        </w:rPr>
        <w:t>government</w:t>
      </w:r>
      <w:r>
        <w:rPr>
          <w:szCs w:val="18"/>
        </w:rPr>
        <w:t xml:space="preserve"> and</w:t>
      </w:r>
      <w:r w:rsidR="009452DD">
        <w:rPr>
          <w:szCs w:val="18"/>
        </w:rPr>
        <w:t>,</w:t>
      </w:r>
      <w:r>
        <w:rPr>
          <w:szCs w:val="18"/>
        </w:rPr>
        <w:t xml:space="preserve"> </w:t>
      </w:r>
      <w:r w:rsidR="009452DD">
        <w:rPr>
          <w:szCs w:val="18"/>
        </w:rPr>
        <w:t xml:space="preserve">by extension, </w:t>
      </w:r>
      <w:r>
        <w:rPr>
          <w:szCs w:val="18"/>
        </w:rPr>
        <w:t xml:space="preserve">tax payers. </w:t>
      </w:r>
      <w:r w:rsidR="004C5730">
        <w:t>Value capture is based on the premise that government has a right to capture a fair and reasonable share of the additional economic value generated for developers and property owners from new public transport infrastructure</w:t>
      </w:r>
      <w:r w:rsidR="00D147BA">
        <w:t xml:space="preserve"> and reduce their windfall economic gains</w:t>
      </w:r>
      <w:r w:rsidR="001B2B6D">
        <w:t>.</w:t>
      </w:r>
      <w:r w:rsidR="00D147BA">
        <w:t xml:space="preserve"> </w:t>
      </w:r>
    </w:p>
    <w:p w14:paraId="43052695" w14:textId="77777777" w:rsidR="004C5730" w:rsidRDefault="004C5730" w:rsidP="00AD21D0">
      <w:pPr>
        <w:jc w:val="both"/>
        <w:rPr>
          <w:szCs w:val="18"/>
        </w:rPr>
      </w:pPr>
    </w:p>
    <w:p w14:paraId="37A5F766" w14:textId="77777777" w:rsidR="00AD21D0" w:rsidRDefault="00AD21D0" w:rsidP="00AD21D0">
      <w:pPr>
        <w:jc w:val="both"/>
      </w:pPr>
      <w:r w:rsidRPr="009D56BE">
        <w:t xml:space="preserve">There are </w:t>
      </w:r>
      <w:r w:rsidR="005F64A4">
        <w:t>four</w:t>
      </w:r>
      <w:r w:rsidRPr="009D56BE">
        <w:t xml:space="preserve"> core </w:t>
      </w:r>
      <w:r w:rsidR="005F64A4">
        <w:t>categories</w:t>
      </w:r>
      <w:r w:rsidRPr="009D56BE">
        <w:t xml:space="preserve"> of beneficiaries of new public transport infrastructure: </w:t>
      </w:r>
    </w:p>
    <w:p w14:paraId="216E3F44" w14:textId="41EF6123" w:rsidR="005D6337" w:rsidRPr="005D6337" w:rsidRDefault="00B6347F" w:rsidP="00B6347F">
      <w:pPr>
        <w:pStyle w:val="Caption"/>
        <w:keepNext/>
        <w:jc w:val="both"/>
        <w:rPr>
          <w:b/>
        </w:rPr>
      </w:pPr>
      <w:bookmarkStart w:id="14" w:name="_Toc430896535"/>
      <w:r w:rsidRPr="00B6347F">
        <w:t xml:space="preserve">Table </w:t>
      </w:r>
      <w:r w:rsidRPr="00B6347F">
        <w:fldChar w:fldCharType="begin"/>
      </w:r>
      <w:r w:rsidRPr="00B6347F">
        <w:instrText xml:space="preserve"> SEQ Table \* ARABIC </w:instrText>
      </w:r>
      <w:r w:rsidRPr="00B6347F">
        <w:fldChar w:fldCharType="separate"/>
      </w:r>
      <w:r w:rsidR="00184C79">
        <w:rPr>
          <w:noProof/>
        </w:rPr>
        <w:t>1</w:t>
      </w:r>
      <w:r w:rsidRPr="00B6347F">
        <w:fldChar w:fldCharType="end"/>
      </w:r>
      <w:r w:rsidRPr="00B6347F">
        <w:t>.</w:t>
      </w:r>
      <w:r w:rsidR="00E4454D">
        <w:rPr>
          <w:b/>
        </w:rPr>
        <w:t xml:space="preserve"> </w:t>
      </w:r>
      <w:r w:rsidR="005D6337" w:rsidRPr="00B6347F">
        <w:t>NEW PUBLIC TRANSPORT INFRASTRUCTURE BENEFICIARIES</w:t>
      </w:r>
      <w:bookmarkEnd w:id="14"/>
    </w:p>
    <w:tbl>
      <w:tblPr>
        <w:tblStyle w:val="GridTable4-Accent21"/>
        <w:tblW w:w="0" w:type="auto"/>
        <w:tblLook w:val="04A0" w:firstRow="1" w:lastRow="0" w:firstColumn="1" w:lastColumn="0" w:noHBand="0" w:noVBand="1"/>
      </w:tblPr>
      <w:tblGrid>
        <w:gridCol w:w="1842"/>
        <w:gridCol w:w="6858"/>
      </w:tblGrid>
      <w:tr w:rsidR="005F64A4" w:rsidRPr="00896C6F" w14:paraId="2BA85A1E"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DE47AA8" w14:textId="77777777" w:rsidR="005F64A4" w:rsidRPr="00896C6F" w:rsidRDefault="005F64A4" w:rsidP="00AD21D0">
            <w:pPr>
              <w:jc w:val="both"/>
              <w:rPr>
                <w:sz w:val="18"/>
                <w:szCs w:val="18"/>
              </w:rPr>
            </w:pPr>
            <w:r w:rsidRPr="00896C6F">
              <w:rPr>
                <w:sz w:val="18"/>
                <w:szCs w:val="18"/>
              </w:rPr>
              <w:t>Beneficiary</w:t>
            </w:r>
          </w:p>
        </w:tc>
        <w:tc>
          <w:tcPr>
            <w:tcW w:w="6858" w:type="dxa"/>
          </w:tcPr>
          <w:p w14:paraId="4142684E" w14:textId="77777777" w:rsidR="005F64A4" w:rsidRPr="00896C6F" w:rsidRDefault="005F64A4" w:rsidP="00AD21D0">
            <w:pPr>
              <w:jc w:val="both"/>
              <w:cnfStyle w:val="100000000000" w:firstRow="1" w:lastRow="0" w:firstColumn="0" w:lastColumn="0" w:oddVBand="0" w:evenVBand="0" w:oddHBand="0" w:evenHBand="0" w:firstRowFirstColumn="0" w:firstRowLastColumn="0" w:lastRowFirstColumn="0" w:lastRowLastColumn="0"/>
              <w:rPr>
                <w:sz w:val="18"/>
                <w:szCs w:val="18"/>
              </w:rPr>
            </w:pPr>
            <w:r w:rsidRPr="00896C6F">
              <w:rPr>
                <w:sz w:val="18"/>
                <w:szCs w:val="18"/>
              </w:rPr>
              <w:t>Scope</w:t>
            </w:r>
          </w:p>
        </w:tc>
      </w:tr>
      <w:tr w:rsidR="005F64A4" w:rsidRPr="00896C6F" w14:paraId="655A340C"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4960C4F" w14:textId="77777777" w:rsidR="005F64A4" w:rsidRPr="00896C6F" w:rsidRDefault="005F64A4" w:rsidP="00AD21D0">
            <w:pPr>
              <w:jc w:val="both"/>
              <w:rPr>
                <w:sz w:val="18"/>
                <w:szCs w:val="18"/>
              </w:rPr>
            </w:pPr>
            <w:r w:rsidRPr="00896C6F">
              <w:rPr>
                <w:sz w:val="18"/>
                <w:szCs w:val="18"/>
              </w:rPr>
              <w:t>Direct</w:t>
            </w:r>
            <w:r w:rsidRPr="00896C6F">
              <w:rPr>
                <w:spacing w:val="-6"/>
                <w:sz w:val="18"/>
                <w:szCs w:val="18"/>
              </w:rPr>
              <w:t xml:space="preserve"> </w:t>
            </w:r>
            <w:r w:rsidRPr="00896C6F">
              <w:rPr>
                <w:sz w:val="18"/>
                <w:szCs w:val="18"/>
              </w:rPr>
              <w:t>users</w:t>
            </w:r>
          </w:p>
        </w:tc>
        <w:tc>
          <w:tcPr>
            <w:tcW w:w="6858" w:type="dxa"/>
          </w:tcPr>
          <w:p w14:paraId="3B63239E" w14:textId="77777777" w:rsidR="005F64A4" w:rsidRPr="00896C6F" w:rsidRDefault="005F64A4" w:rsidP="005F64A4">
            <w:pPr>
              <w:jc w:val="both"/>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Better services - especially commuters who enjoy reduced journey times to work</w:t>
            </w:r>
          </w:p>
        </w:tc>
      </w:tr>
      <w:tr w:rsidR="005F64A4" w:rsidRPr="00896C6F" w14:paraId="394C7F37" w14:textId="77777777" w:rsidTr="00896C6F">
        <w:tc>
          <w:tcPr>
            <w:cnfStyle w:val="001000000000" w:firstRow="0" w:lastRow="0" w:firstColumn="1" w:lastColumn="0" w:oddVBand="0" w:evenVBand="0" w:oddHBand="0" w:evenHBand="0" w:firstRowFirstColumn="0" w:firstRowLastColumn="0" w:lastRowFirstColumn="0" w:lastRowLastColumn="0"/>
            <w:tcW w:w="1842" w:type="dxa"/>
          </w:tcPr>
          <w:p w14:paraId="508B8D6B" w14:textId="77777777" w:rsidR="005F64A4" w:rsidRPr="00896C6F" w:rsidRDefault="005F64A4" w:rsidP="005F64A4">
            <w:pPr>
              <w:jc w:val="both"/>
              <w:rPr>
                <w:sz w:val="18"/>
                <w:szCs w:val="18"/>
              </w:rPr>
            </w:pPr>
            <w:r w:rsidRPr="00896C6F">
              <w:rPr>
                <w:sz w:val="18"/>
                <w:szCs w:val="18"/>
              </w:rPr>
              <w:t xml:space="preserve">Society </w:t>
            </w:r>
          </w:p>
        </w:tc>
        <w:tc>
          <w:tcPr>
            <w:tcW w:w="6858" w:type="dxa"/>
          </w:tcPr>
          <w:p w14:paraId="14BD32A4" w14:textId="77777777" w:rsidR="005F64A4" w:rsidRPr="00896C6F" w:rsidRDefault="005F64A4" w:rsidP="005F64A4">
            <w:pPr>
              <w:jc w:val="both"/>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Improved amenity, productivity and economic development potential</w:t>
            </w:r>
          </w:p>
        </w:tc>
      </w:tr>
      <w:tr w:rsidR="005F64A4" w:rsidRPr="00896C6F" w14:paraId="72DF9732"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46B93F51" w14:textId="77777777" w:rsidR="005F64A4" w:rsidRPr="00896C6F" w:rsidRDefault="005F64A4" w:rsidP="005F64A4">
            <w:pPr>
              <w:jc w:val="both"/>
              <w:rPr>
                <w:sz w:val="18"/>
                <w:szCs w:val="18"/>
              </w:rPr>
            </w:pPr>
            <w:r w:rsidRPr="00896C6F">
              <w:rPr>
                <w:spacing w:val="-5"/>
                <w:sz w:val="18"/>
                <w:szCs w:val="18"/>
              </w:rPr>
              <w:t>P</w:t>
            </w:r>
            <w:r w:rsidRPr="00896C6F">
              <w:rPr>
                <w:sz w:val="18"/>
                <w:szCs w:val="18"/>
              </w:rPr>
              <w:t xml:space="preserve">roperty owners </w:t>
            </w:r>
          </w:p>
        </w:tc>
        <w:tc>
          <w:tcPr>
            <w:tcW w:w="6858" w:type="dxa"/>
          </w:tcPr>
          <w:p w14:paraId="4BBED433" w14:textId="77777777" w:rsidR="005F64A4" w:rsidRPr="00896C6F" w:rsidRDefault="005F64A4" w:rsidP="005F64A4">
            <w:pPr>
              <w:jc w:val="both"/>
              <w:cnfStyle w:val="000000100000" w:firstRow="0" w:lastRow="0" w:firstColumn="0" w:lastColumn="0" w:oddVBand="0" w:evenVBand="0" w:oddHBand="1" w:evenHBand="0" w:firstRowFirstColumn="0" w:firstRowLastColumn="0" w:lastRowFirstColumn="0" w:lastRowLastColumn="0"/>
              <w:rPr>
                <w:sz w:val="18"/>
                <w:szCs w:val="18"/>
              </w:rPr>
            </w:pPr>
            <w:r w:rsidRPr="00896C6F">
              <w:rPr>
                <w:spacing w:val="-4"/>
                <w:sz w:val="18"/>
                <w:szCs w:val="18"/>
              </w:rPr>
              <w:t xml:space="preserve">Uplift in </w:t>
            </w:r>
            <w:r w:rsidRPr="00896C6F">
              <w:rPr>
                <w:sz w:val="18"/>
                <w:szCs w:val="18"/>
              </w:rPr>
              <w:t xml:space="preserve">the value of land </w:t>
            </w:r>
            <w:r w:rsidR="00791A37" w:rsidRPr="00896C6F">
              <w:rPr>
                <w:sz w:val="18"/>
                <w:szCs w:val="18"/>
              </w:rPr>
              <w:t>and existing properties</w:t>
            </w:r>
          </w:p>
        </w:tc>
      </w:tr>
      <w:tr w:rsidR="005F64A4" w:rsidRPr="00896C6F" w14:paraId="22BD4FCF" w14:textId="77777777" w:rsidTr="00896C6F">
        <w:tc>
          <w:tcPr>
            <w:cnfStyle w:val="001000000000" w:firstRow="0" w:lastRow="0" w:firstColumn="1" w:lastColumn="0" w:oddVBand="0" w:evenVBand="0" w:oddHBand="0" w:evenHBand="0" w:firstRowFirstColumn="0" w:firstRowLastColumn="0" w:lastRowFirstColumn="0" w:lastRowLastColumn="0"/>
            <w:tcW w:w="1842" w:type="dxa"/>
          </w:tcPr>
          <w:p w14:paraId="06B83DDF" w14:textId="77777777" w:rsidR="005F64A4" w:rsidRPr="00896C6F" w:rsidRDefault="005F64A4" w:rsidP="00AD21D0">
            <w:pPr>
              <w:jc w:val="both"/>
              <w:rPr>
                <w:spacing w:val="-5"/>
                <w:sz w:val="18"/>
                <w:szCs w:val="18"/>
              </w:rPr>
            </w:pPr>
            <w:r w:rsidRPr="00896C6F">
              <w:rPr>
                <w:sz w:val="18"/>
                <w:szCs w:val="18"/>
              </w:rPr>
              <w:t>Business</w:t>
            </w:r>
            <w:r w:rsidRPr="00896C6F">
              <w:rPr>
                <w:spacing w:val="-4"/>
                <w:sz w:val="18"/>
                <w:szCs w:val="18"/>
              </w:rPr>
              <w:t xml:space="preserve"> </w:t>
            </w:r>
            <w:r w:rsidRPr="00896C6F">
              <w:rPr>
                <w:sz w:val="18"/>
                <w:szCs w:val="18"/>
              </w:rPr>
              <w:t>owners</w:t>
            </w:r>
          </w:p>
        </w:tc>
        <w:tc>
          <w:tcPr>
            <w:tcW w:w="6858" w:type="dxa"/>
          </w:tcPr>
          <w:p w14:paraId="652A4C48" w14:textId="77777777" w:rsidR="005F64A4" w:rsidRPr="00896C6F" w:rsidRDefault="005F64A4" w:rsidP="00791A37">
            <w:pPr>
              <w:jc w:val="both"/>
              <w:cnfStyle w:val="000000000000" w:firstRow="0" w:lastRow="0" w:firstColumn="0" w:lastColumn="0" w:oddVBand="0" w:evenVBand="0" w:oddHBand="0" w:evenHBand="0" w:firstRowFirstColumn="0" w:firstRowLastColumn="0" w:lastRowFirstColumn="0" w:lastRowLastColumn="0"/>
              <w:rPr>
                <w:sz w:val="18"/>
                <w:szCs w:val="18"/>
              </w:rPr>
            </w:pPr>
            <w:r w:rsidRPr="00896C6F">
              <w:rPr>
                <w:spacing w:val="-4"/>
                <w:sz w:val="18"/>
                <w:szCs w:val="18"/>
              </w:rPr>
              <w:t xml:space="preserve">Increase in business </w:t>
            </w:r>
            <w:r w:rsidRPr="00896C6F">
              <w:rPr>
                <w:sz w:val="18"/>
                <w:szCs w:val="18"/>
              </w:rPr>
              <w:t>productivity</w:t>
            </w:r>
          </w:p>
        </w:tc>
      </w:tr>
    </w:tbl>
    <w:p w14:paraId="53AB7005" w14:textId="77777777" w:rsidR="005F64A4" w:rsidRPr="009D56BE" w:rsidRDefault="005F64A4" w:rsidP="00AD21D0">
      <w:pPr>
        <w:jc w:val="both"/>
      </w:pPr>
    </w:p>
    <w:p w14:paraId="72F55604" w14:textId="77777777" w:rsidR="00F107EA" w:rsidRPr="004C5730" w:rsidRDefault="00A766E3" w:rsidP="004C5730">
      <w:pPr>
        <w:jc w:val="both"/>
        <w:rPr>
          <w:szCs w:val="20"/>
        </w:rPr>
      </w:pPr>
      <w:r>
        <w:rPr>
          <w:szCs w:val="18"/>
        </w:rPr>
        <w:t>The benefits of an increase</w:t>
      </w:r>
      <w:r w:rsidR="00173028">
        <w:rPr>
          <w:szCs w:val="18"/>
        </w:rPr>
        <w:t xml:space="preserve"> in land and property values from new public transport are typically enjoyed </w:t>
      </w:r>
      <w:r w:rsidR="00173028" w:rsidRPr="004C5730">
        <w:rPr>
          <w:szCs w:val="20"/>
        </w:rPr>
        <w:t xml:space="preserve">exclusively by property owners. </w:t>
      </w:r>
      <w:r w:rsidR="00F107EA" w:rsidRPr="004C5730">
        <w:rPr>
          <w:szCs w:val="20"/>
        </w:rPr>
        <w:t xml:space="preserve">However, they are not required to make a contribution </w:t>
      </w:r>
      <w:r w:rsidR="00F91353" w:rsidRPr="004C5730">
        <w:rPr>
          <w:szCs w:val="20"/>
        </w:rPr>
        <w:t xml:space="preserve">to offset the cost of providing new infrastructure </w:t>
      </w:r>
      <w:r w:rsidR="009671BD" w:rsidRPr="004C5730">
        <w:rPr>
          <w:szCs w:val="20"/>
        </w:rPr>
        <w:t>above</w:t>
      </w:r>
      <w:r w:rsidR="00F107EA" w:rsidRPr="004C5730">
        <w:rPr>
          <w:szCs w:val="20"/>
        </w:rPr>
        <w:t xml:space="preserve"> a small proportion of </w:t>
      </w:r>
      <w:r w:rsidR="009671BD" w:rsidRPr="004C5730">
        <w:rPr>
          <w:szCs w:val="20"/>
        </w:rPr>
        <w:t xml:space="preserve">their </w:t>
      </w:r>
      <w:r w:rsidR="00F107EA" w:rsidRPr="004C5730">
        <w:rPr>
          <w:szCs w:val="20"/>
        </w:rPr>
        <w:t xml:space="preserve">windfall </w:t>
      </w:r>
      <w:r w:rsidR="009671BD" w:rsidRPr="004C5730">
        <w:rPr>
          <w:szCs w:val="20"/>
        </w:rPr>
        <w:t>profit</w:t>
      </w:r>
      <w:r w:rsidR="00F107EA" w:rsidRPr="004C5730">
        <w:rPr>
          <w:szCs w:val="20"/>
        </w:rPr>
        <w:t xml:space="preserve"> </w:t>
      </w:r>
      <w:r w:rsidR="00F91353">
        <w:rPr>
          <w:szCs w:val="20"/>
        </w:rPr>
        <w:t>in the form of property tax and council rates after periodic revaluations</w:t>
      </w:r>
      <w:r w:rsidR="00F107EA" w:rsidRPr="004C5730">
        <w:rPr>
          <w:szCs w:val="20"/>
        </w:rPr>
        <w:t>.</w:t>
      </w:r>
    </w:p>
    <w:p w14:paraId="48F1CE5D" w14:textId="77777777" w:rsidR="009671BD" w:rsidRPr="004C5730" w:rsidRDefault="009671BD" w:rsidP="004C5730">
      <w:pPr>
        <w:jc w:val="both"/>
        <w:rPr>
          <w:szCs w:val="20"/>
        </w:rPr>
      </w:pPr>
    </w:p>
    <w:p w14:paraId="7F86A9D0" w14:textId="77777777" w:rsidR="00BF6A38" w:rsidRPr="00B6347F" w:rsidRDefault="00BF6A38" w:rsidP="004C5730">
      <w:pPr>
        <w:pStyle w:val="BodyText"/>
        <w:ind w:left="0" w:right="-1"/>
        <w:rPr>
          <w:rFonts w:asciiTheme="minorHAnsi" w:eastAsiaTheme="minorEastAsia" w:hAnsiTheme="minorHAnsi"/>
          <w:kern w:val="2"/>
          <w:szCs w:val="18"/>
          <w:lang w:val="en-GB" w:eastAsia="zh-CN"/>
        </w:rPr>
      </w:pPr>
      <w:r w:rsidRPr="00B6347F">
        <w:rPr>
          <w:rFonts w:asciiTheme="minorHAnsi" w:eastAsiaTheme="minorEastAsia" w:hAnsiTheme="minorHAnsi"/>
          <w:kern w:val="2"/>
          <w:szCs w:val="18"/>
          <w:lang w:val="en-GB" w:eastAsia="zh-CN"/>
        </w:rPr>
        <w:t xml:space="preserve">Value capture programs hypothecate a portion of land value </w:t>
      </w:r>
      <w:r w:rsidR="00AC4543" w:rsidRPr="00B6347F">
        <w:rPr>
          <w:rFonts w:asciiTheme="minorHAnsi" w:eastAsiaTheme="minorEastAsia" w:hAnsiTheme="minorHAnsi"/>
          <w:kern w:val="2"/>
          <w:szCs w:val="18"/>
          <w:lang w:val="en-GB" w:eastAsia="zh-CN"/>
        </w:rPr>
        <w:t>uplift</w:t>
      </w:r>
      <w:r w:rsidRPr="00B6347F">
        <w:rPr>
          <w:rFonts w:asciiTheme="minorHAnsi" w:eastAsiaTheme="minorEastAsia" w:hAnsiTheme="minorHAnsi"/>
          <w:kern w:val="2"/>
          <w:szCs w:val="18"/>
          <w:lang w:val="en-GB" w:eastAsia="zh-CN"/>
        </w:rPr>
        <w:t xml:space="preserve"> to help pay for </w:t>
      </w:r>
      <w:r w:rsidR="00AC4543" w:rsidRPr="00B6347F">
        <w:rPr>
          <w:rFonts w:asciiTheme="minorHAnsi" w:eastAsiaTheme="minorEastAsia" w:hAnsiTheme="minorHAnsi"/>
          <w:kern w:val="2"/>
          <w:szCs w:val="18"/>
          <w:lang w:val="en-GB" w:eastAsia="zh-CN"/>
        </w:rPr>
        <w:t>new</w:t>
      </w:r>
      <w:r w:rsidRPr="00B6347F">
        <w:rPr>
          <w:rFonts w:asciiTheme="minorHAnsi" w:eastAsiaTheme="minorEastAsia" w:hAnsiTheme="minorHAnsi"/>
          <w:kern w:val="2"/>
          <w:szCs w:val="18"/>
          <w:lang w:val="en-GB" w:eastAsia="zh-CN"/>
        </w:rPr>
        <w:t xml:space="preserve"> </w:t>
      </w:r>
      <w:r w:rsidR="00F91353" w:rsidRPr="00B6347F">
        <w:rPr>
          <w:rFonts w:asciiTheme="minorHAnsi" w:eastAsiaTheme="minorEastAsia" w:hAnsiTheme="minorHAnsi"/>
          <w:kern w:val="2"/>
          <w:szCs w:val="18"/>
          <w:lang w:val="en-GB" w:eastAsia="zh-CN"/>
        </w:rPr>
        <w:t xml:space="preserve">public transport </w:t>
      </w:r>
      <w:r w:rsidRPr="00B6347F">
        <w:rPr>
          <w:rFonts w:asciiTheme="minorHAnsi" w:eastAsiaTheme="minorEastAsia" w:hAnsiTheme="minorHAnsi"/>
          <w:kern w:val="2"/>
          <w:szCs w:val="18"/>
          <w:lang w:val="en-GB" w:eastAsia="zh-CN"/>
        </w:rPr>
        <w:t>infrastructure. The extent of</w:t>
      </w:r>
      <w:r w:rsidR="00726574" w:rsidRPr="00B6347F">
        <w:rPr>
          <w:rFonts w:asciiTheme="minorHAnsi" w:eastAsiaTheme="minorEastAsia" w:hAnsiTheme="minorHAnsi"/>
          <w:kern w:val="2"/>
          <w:szCs w:val="18"/>
          <w:lang w:val="en-GB" w:eastAsia="zh-CN"/>
        </w:rPr>
        <w:t xml:space="preserve"> the</w:t>
      </w:r>
      <w:r w:rsidRPr="00B6347F">
        <w:rPr>
          <w:rFonts w:asciiTheme="minorHAnsi" w:eastAsiaTheme="minorEastAsia" w:hAnsiTheme="minorHAnsi"/>
          <w:kern w:val="2"/>
          <w:szCs w:val="18"/>
          <w:lang w:val="en-GB" w:eastAsia="zh-CN"/>
        </w:rPr>
        <w:t xml:space="preserve"> value uplift varies depending upon the nature of the infrastructure, the distance of property from the infrastructure, accessibility</w:t>
      </w:r>
      <w:r w:rsidR="00F91353" w:rsidRPr="00B6347F">
        <w:rPr>
          <w:rFonts w:asciiTheme="minorHAnsi" w:eastAsiaTheme="minorEastAsia" w:hAnsiTheme="minorHAnsi"/>
          <w:kern w:val="2"/>
          <w:szCs w:val="18"/>
          <w:lang w:val="en-GB" w:eastAsia="zh-CN"/>
        </w:rPr>
        <w:t>,</w:t>
      </w:r>
      <w:r w:rsidRPr="00B6347F">
        <w:rPr>
          <w:rFonts w:asciiTheme="minorHAnsi" w:eastAsiaTheme="minorEastAsia" w:hAnsiTheme="minorHAnsi"/>
          <w:kern w:val="2"/>
          <w:szCs w:val="18"/>
          <w:lang w:val="en-GB" w:eastAsia="zh-CN"/>
        </w:rPr>
        <w:t xml:space="preserve"> urban design, and numerous other factors. </w:t>
      </w:r>
    </w:p>
    <w:p w14:paraId="6C2D7D35" w14:textId="77777777" w:rsidR="00B2220F" w:rsidRPr="004C5730" w:rsidRDefault="00B2220F" w:rsidP="004C5730">
      <w:pPr>
        <w:jc w:val="both"/>
        <w:rPr>
          <w:szCs w:val="20"/>
        </w:rPr>
      </w:pPr>
    </w:p>
    <w:p w14:paraId="282942C8" w14:textId="77777777" w:rsidR="0064699C" w:rsidRDefault="0064699C" w:rsidP="004C5730">
      <w:r w:rsidRPr="004C5730">
        <w:rPr>
          <w:szCs w:val="20"/>
        </w:rPr>
        <w:t>Value capture can provide both</w:t>
      </w:r>
      <w:r>
        <w:t xml:space="preserve"> capital funding and operational funding for new public transport infrastructure, depending on the type of value capture mechanism that is employed.</w:t>
      </w:r>
    </w:p>
    <w:p w14:paraId="51F3B51E" w14:textId="77777777" w:rsidR="0064699C" w:rsidRDefault="0064699C" w:rsidP="0064699C"/>
    <w:p w14:paraId="0D781E29" w14:textId="77777777" w:rsidR="004D7226" w:rsidRDefault="00B2220F" w:rsidP="00DA5D9E">
      <w:pPr>
        <w:jc w:val="both"/>
        <w:rPr>
          <w:szCs w:val="18"/>
        </w:rPr>
      </w:pPr>
      <w:r>
        <w:rPr>
          <w:szCs w:val="18"/>
        </w:rPr>
        <w:t>Global case studies (Section 4) provide evidence that the scale of the uplift in property values from new public transport infrastructure can be very high</w:t>
      </w:r>
      <w:r w:rsidR="000A299A">
        <w:rPr>
          <w:szCs w:val="18"/>
        </w:rPr>
        <w:t>; especially when it is built with urban development that maximises the economic benefits of the surrounding zone</w:t>
      </w:r>
      <w:r>
        <w:rPr>
          <w:szCs w:val="18"/>
        </w:rPr>
        <w:t>.</w:t>
      </w:r>
      <w:r w:rsidR="00726574">
        <w:rPr>
          <w:szCs w:val="18"/>
        </w:rPr>
        <w:t xml:space="preserve"> </w:t>
      </w:r>
      <w:r w:rsidR="00473EE6">
        <w:rPr>
          <w:szCs w:val="18"/>
        </w:rPr>
        <w:t>This</w:t>
      </w:r>
      <w:r w:rsidR="00DA5D9E">
        <w:rPr>
          <w:szCs w:val="18"/>
        </w:rPr>
        <w:t xml:space="preserve"> </w:t>
      </w:r>
      <w:r w:rsidR="000A299A">
        <w:rPr>
          <w:szCs w:val="18"/>
        </w:rPr>
        <w:t>enables</w:t>
      </w:r>
      <w:r w:rsidR="00DA5D9E">
        <w:rPr>
          <w:szCs w:val="18"/>
        </w:rPr>
        <w:t xml:space="preserve"> government to capture </w:t>
      </w:r>
      <w:r w:rsidR="00AA2923">
        <w:rPr>
          <w:szCs w:val="18"/>
        </w:rPr>
        <w:t xml:space="preserve">a fair and reasonable share of </w:t>
      </w:r>
      <w:r w:rsidR="00DA5D9E">
        <w:rPr>
          <w:szCs w:val="18"/>
        </w:rPr>
        <w:t xml:space="preserve">the betterment generated by </w:t>
      </w:r>
      <w:r w:rsidR="00AA2923">
        <w:rPr>
          <w:szCs w:val="18"/>
        </w:rPr>
        <w:t>new public transport infrastructure</w:t>
      </w:r>
      <w:r w:rsidR="00050591">
        <w:rPr>
          <w:szCs w:val="18"/>
        </w:rPr>
        <w:t xml:space="preserve"> through </w:t>
      </w:r>
      <w:r w:rsidR="00D147BA">
        <w:rPr>
          <w:szCs w:val="18"/>
        </w:rPr>
        <w:t>v</w:t>
      </w:r>
      <w:r w:rsidR="00050591">
        <w:rPr>
          <w:szCs w:val="18"/>
        </w:rPr>
        <w:t>alue capture mechanisms</w:t>
      </w:r>
      <w:r w:rsidR="00DA5D9E">
        <w:rPr>
          <w:szCs w:val="18"/>
        </w:rPr>
        <w:t xml:space="preserve">. </w:t>
      </w:r>
      <w:r w:rsidR="00D147BA">
        <w:rPr>
          <w:szCs w:val="18"/>
        </w:rPr>
        <w:t>However, value uplift from additional public infrastructure investment is not automatic.</w:t>
      </w:r>
      <w:r w:rsidR="00506CC9">
        <w:rPr>
          <w:szCs w:val="18"/>
        </w:rPr>
        <w:t xml:space="preserve"> The infrastructure investment must result in the properties becoming more accessible and productive which are reflected in increased rents and sales prices. Duplication of existing infrastructure capability that does not lead to significant asset level improvements or the selection of projects with poor economic fundamentals are unlikely to generate valuation increases, and value capture gains are likely to be illusory</w:t>
      </w:r>
      <w:r w:rsidR="00003860">
        <w:rPr>
          <w:szCs w:val="18"/>
        </w:rPr>
        <w:t>.</w:t>
      </w:r>
    </w:p>
    <w:p w14:paraId="5429D1B3" w14:textId="77777777" w:rsidR="00DA5D9E" w:rsidRDefault="00194A7C" w:rsidP="009861AC">
      <w:pPr>
        <w:pStyle w:val="Heading2"/>
      </w:pPr>
      <w:bookmarkStart w:id="15" w:name="_Toc430896828"/>
      <w:r>
        <w:t>Forms</w:t>
      </w:r>
      <w:r w:rsidR="00DA5D9E">
        <w:t xml:space="preserve"> of Value Capture</w:t>
      </w:r>
      <w:bookmarkEnd w:id="15"/>
      <w:r w:rsidR="00DA5D9E">
        <w:t xml:space="preserve"> </w:t>
      </w:r>
    </w:p>
    <w:p w14:paraId="635EB2D1" w14:textId="77777777" w:rsidR="0064699C" w:rsidRDefault="00726574" w:rsidP="0064699C">
      <w:r w:rsidRPr="007A2EF4">
        <w:t xml:space="preserve">Value capture mechanisms </w:t>
      </w:r>
      <w:r>
        <w:t>can be defined as</w:t>
      </w:r>
      <w:r w:rsidRPr="007A2EF4">
        <w:t xml:space="preserve"> </w:t>
      </w:r>
      <w:r>
        <w:t xml:space="preserve">location-based, </w:t>
      </w:r>
      <w:r w:rsidR="00740EA6">
        <w:t>non-fare</w:t>
      </w:r>
      <w:r>
        <w:t xml:space="preserve">box </w:t>
      </w:r>
      <w:r w:rsidRPr="007A2EF4">
        <w:t xml:space="preserve">sources of public transport </w:t>
      </w:r>
      <w:r w:rsidR="002A0DD7">
        <w:t>funding</w:t>
      </w:r>
      <w:r w:rsidRPr="007A2EF4">
        <w:t>.</w:t>
      </w:r>
      <w:r>
        <w:t xml:space="preserve"> </w:t>
      </w:r>
      <w:r w:rsidR="0064699C" w:rsidRPr="003A6961">
        <w:t xml:space="preserve">There is a wide range of land value capture mechanisms which can be employed </w:t>
      </w:r>
      <w:r w:rsidR="0064699C">
        <w:t>to help fund</w:t>
      </w:r>
      <w:r w:rsidR="0064699C" w:rsidRPr="003A6961">
        <w:t xml:space="preserve"> new public transport infrastructure. </w:t>
      </w:r>
    </w:p>
    <w:p w14:paraId="42FEE041" w14:textId="77777777" w:rsidR="007B44A8" w:rsidRDefault="007B44A8" w:rsidP="0064699C"/>
    <w:p w14:paraId="46EDFFC5" w14:textId="77777777" w:rsidR="00BF21FE" w:rsidRDefault="00BF21FE" w:rsidP="00BF21FE">
      <w:r w:rsidRPr="006B18AE">
        <w:t xml:space="preserve">A clear prerequisite for a value capture strategy is that there is value to be captured and that this value </w:t>
      </w:r>
      <w:r>
        <w:t>can be</w:t>
      </w:r>
      <w:r w:rsidRPr="006B18AE">
        <w:t xml:space="preserve"> captured</w:t>
      </w:r>
      <w:r>
        <w:t xml:space="preserve"> from beneficiaries</w:t>
      </w:r>
      <w:r w:rsidRPr="006B18AE">
        <w:t xml:space="preserve"> up to a reasonable limit. </w:t>
      </w:r>
      <w:r w:rsidR="00FE7B11">
        <w:t xml:space="preserve">This can involve creating a </w:t>
      </w:r>
      <w:r>
        <w:t xml:space="preserve">mix of </w:t>
      </w:r>
      <w:r w:rsidR="00FE7B11">
        <w:t xml:space="preserve">different </w:t>
      </w:r>
      <w:r>
        <w:t>value capture mechanisms to equitably distribute costs.</w:t>
      </w:r>
    </w:p>
    <w:p w14:paraId="337A0075" w14:textId="77777777" w:rsidR="0064699C" w:rsidRDefault="0064699C" w:rsidP="0064699C">
      <w:pPr>
        <w:pStyle w:val="BodyText"/>
        <w:spacing w:line="240" w:lineRule="exact"/>
        <w:ind w:right="410"/>
        <w:rPr>
          <w:color w:val="414042"/>
        </w:rPr>
      </w:pPr>
    </w:p>
    <w:p w14:paraId="6A7064D0" w14:textId="77777777" w:rsidR="007B44A8" w:rsidRDefault="007B44A8" w:rsidP="007B44A8">
      <w:pPr>
        <w:rPr>
          <w:rFonts w:eastAsia="Times New Roman" w:cs="Arial"/>
          <w:szCs w:val="20"/>
        </w:rPr>
      </w:pPr>
      <w:r>
        <w:rPr>
          <w:rFonts w:eastAsia="Times New Roman" w:cs="Arial"/>
          <w:szCs w:val="20"/>
        </w:rPr>
        <w:t xml:space="preserve">Value capture is </w:t>
      </w:r>
      <w:r w:rsidR="00DA38C7">
        <w:rPr>
          <w:rFonts w:eastAsia="Times New Roman" w:cs="Arial"/>
          <w:szCs w:val="20"/>
        </w:rPr>
        <w:t xml:space="preserve">most successfully deployed in </w:t>
      </w:r>
      <w:r w:rsidRPr="00C11E00">
        <w:rPr>
          <w:rFonts w:eastAsia="Times New Roman" w:cs="Arial"/>
          <w:szCs w:val="20"/>
        </w:rPr>
        <w:t>Transit-Oriented Development (“TOD”)</w:t>
      </w:r>
      <w:r w:rsidR="00DA38C7">
        <w:rPr>
          <w:rFonts w:eastAsia="Times New Roman" w:cs="Arial"/>
          <w:szCs w:val="20"/>
        </w:rPr>
        <w:t>.</w:t>
      </w:r>
      <w:r w:rsidRPr="00C11E00">
        <w:rPr>
          <w:rFonts w:eastAsia="Times New Roman" w:cs="Arial"/>
          <w:szCs w:val="20"/>
        </w:rPr>
        <w:t xml:space="preserve"> </w:t>
      </w:r>
      <w:r w:rsidR="00DA38C7">
        <w:rPr>
          <w:rFonts w:eastAsia="Times New Roman" w:cs="Arial"/>
          <w:szCs w:val="20"/>
        </w:rPr>
        <w:t xml:space="preserve">TOD </w:t>
      </w:r>
      <w:r w:rsidRPr="00C11E00">
        <w:rPr>
          <w:rFonts w:eastAsia="Times New Roman" w:cs="Arial"/>
          <w:szCs w:val="20"/>
        </w:rPr>
        <w:t>involve</w:t>
      </w:r>
      <w:r w:rsidR="000A299A">
        <w:rPr>
          <w:rFonts w:eastAsia="Times New Roman" w:cs="Arial"/>
          <w:szCs w:val="20"/>
        </w:rPr>
        <w:t>s</w:t>
      </w:r>
      <w:r w:rsidRPr="00C11E00">
        <w:rPr>
          <w:rFonts w:eastAsia="Times New Roman" w:cs="Arial"/>
          <w:szCs w:val="20"/>
        </w:rPr>
        <w:t xml:space="preserve"> </w:t>
      </w:r>
      <w:r w:rsidR="00DA38C7">
        <w:rPr>
          <w:rFonts w:eastAsia="Times New Roman" w:cs="Arial"/>
          <w:szCs w:val="20"/>
        </w:rPr>
        <w:t xml:space="preserve">high density, </w:t>
      </w:r>
      <w:r>
        <w:rPr>
          <w:rFonts w:eastAsia="Times New Roman" w:cs="Arial"/>
          <w:szCs w:val="20"/>
        </w:rPr>
        <w:t xml:space="preserve">mixed use </w:t>
      </w:r>
      <w:r w:rsidRPr="00C11E00">
        <w:rPr>
          <w:rFonts w:eastAsia="Times New Roman" w:cs="Arial"/>
          <w:szCs w:val="20"/>
        </w:rPr>
        <w:t xml:space="preserve">urban development in the immediate vicinity of </w:t>
      </w:r>
      <w:r w:rsidR="00DA38C7">
        <w:rPr>
          <w:rFonts w:eastAsia="Times New Roman" w:cs="Arial"/>
          <w:szCs w:val="20"/>
        </w:rPr>
        <w:t>new</w:t>
      </w:r>
      <w:r w:rsidRPr="00C11E00">
        <w:rPr>
          <w:rFonts w:eastAsia="Times New Roman" w:cs="Arial"/>
          <w:szCs w:val="20"/>
        </w:rPr>
        <w:t xml:space="preserve"> public transport infrastructure. </w:t>
      </w:r>
      <w:r>
        <w:rPr>
          <w:rFonts w:eastAsia="Times New Roman" w:cs="Arial"/>
          <w:szCs w:val="20"/>
        </w:rPr>
        <w:t xml:space="preserve">It </w:t>
      </w:r>
      <w:r>
        <w:rPr>
          <w:rFonts w:eastAsia="Times New Roman" w:cs="Arial"/>
          <w:szCs w:val="20"/>
        </w:rPr>
        <w:lastRenderedPageBreak/>
        <w:t xml:space="preserve">can </w:t>
      </w:r>
      <w:r w:rsidR="00DA38C7">
        <w:rPr>
          <w:rFonts w:eastAsia="Times New Roman" w:cs="Arial"/>
          <w:szCs w:val="20"/>
        </w:rPr>
        <w:t>be applied to</w:t>
      </w:r>
      <w:r>
        <w:rPr>
          <w:rFonts w:eastAsia="Times New Roman" w:cs="Arial"/>
          <w:szCs w:val="20"/>
        </w:rPr>
        <w:t xml:space="preserve"> urban renewal of a depressed zone or new development in an urban growth corridor. S</w:t>
      </w:r>
      <w:r w:rsidRPr="00C11E00">
        <w:rPr>
          <w:rFonts w:eastAsia="Times New Roman" w:cs="Arial"/>
          <w:szCs w:val="20"/>
        </w:rPr>
        <w:t xml:space="preserve">uccessful TODs </w:t>
      </w:r>
      <w:r>
        <w:t>maximise the efficient use of land through high levels of access to public transport</w:t>
      </w:r>
      <w:r w:rsidRPr="00C11E00">
        <w:rPr>
          <w:rFonts w:eastAsia="Times New Roman" w:cs="Arial"/>
          <w:szCs w:val="20"/>
        </w:rPr>
        <w:t xml:space="preserve"> </w:t>
      </w:r>
      <w:r>
        <w:rPr>
          <w:rFonts w:eastAsia="Times New Roman" w:cs="Arial"/>
          <w:szCs w:val="20"/>
        </w:rPr>
        <w:t xml:space="preserve">thereby </w:t>
      </w:r>
      <w:r w:rsidRPr="00C11E00">
        <w:rPr>
          <w:rFonts w:eastAsia="Times New Roman" w:cs="Arial"/>
          <w:szCs w:val="20"/>
        </w:rPr>
        <w:t>stimulat</w:t>
      </w:r>
      <w:r>
        <w:rPr>
          <w:rFonts w:eastAsia="Times New Roman" w:cs="Arial"/>
          <w:szCs w:val="20"/>
        </w:rPr>
        <w:t>ing both</w:t>
      </w:r>
      <w:r w:rsidRPr="00C11E00">
        <w:rPr>
          <w:rFonts w:eastAsia="Times New Roman" w:cs="Arial"/>
          <w:szCs w:val="20"/>
        </w:rPr>
        <w:t xml:space="preserve"> </w:t>
      </w:r>
      <w:r>
        <w:rPr>
          <w:rFonts w:eastAsia="Times New Roman" w:cs="Arial"/>
          <w:szCs w:val="20"/>
        </w:rPr>
        <w:t>patronage</w:t>
      </w:r>
      <w:r w:rsidRPr="00C11E00">
        <w:rPr>
          <w:rFonts w:eastAsia="Times New Roman" w:cs="Arial"/>
          <w:szCs w:val="20"/>
        </w:rPr>
        <w:t xml:space="preserve"> and economic development. </w:t>
      </w:r>
      <w:r>
        <w:rPr>
          <w:rFonts w:eastAsia="Times New Roman" w:cs="Arial"/>
          <w:szCs w:val="20"/>
        </w:rPr>
        <w:t xml:space="preserve">This maximises the economic </w:t>
      </w:r>
      <w:r w:rsidR="00DA38C7">
        <w:rPr>
          <w:rFonts w:eastAsia="Times New Roman" w:cs="Arial"/>
          <w:szCs w:val="20"/>
        </w:rPr>
        <w:t>benefits of development including tax revenues to government</w:t>
      </w:r>
      <w:r>
        <w:rPr>
          <w:rFonts w:eastAsia="Times New Roman" w:cs="Arial"/>
          <w:szCs w:val="20"/>
        </w:rPr>
        <w:t>.</w:t>
      </w:r>
    </w:p>
    <w:p w14:paraId="74D8775F" w14:textId="77777777" w:rsidR="007B44A8" w:rsidRDefault="007B44A8" w:rsidP="007B44A8">
      <w:pPr>
        <w:rPr>
          <w:rFonts w:eastAsia="Times New Roman" w:cs="Arial"/>
          <w:szCs w:val="20"/>
        </w:rPr>
      </w:pPr>
    </w:p>
    <w:p w14:paraId="2F68625C" w14:textId="77777777" w:rsidR="007B44A8" w:rsidRPr="00C11E00" w:rsidRDefault="007B44A8" w:rsidP="007B44A8">
      <w:pPr>
        <w:rPr>
          <w:rFonts w:eastAsia="Times New Roman" w:cs="Arial"/>
          <w:szCs w:val="20"/>
        </w:rPr>
      </w:pPr>
      <w:r>
        <w:rPr>
          <w:rFonts w:eastAsia="Times New Roman" w:cs="Arial"/>
          <w:szCs w:val="20"/>
        </w:rPr>
        <w:t>TOD</w:t>
      </w:r>
      <w:r w:rsidR="00DA38C7">
        <w:rPr>
          <w:rFonts w:eastAsia="Times New Roman" w:cs="Arial"/>
          <w:szCs w:val="20"/>
        </w:rPr>
        <w:t>s</w:t>
      </w:r>
      <w:r>
        <w:rPr>
          <w:rFonts w:eastAsia="Times New Roman" w:cs="Arial"/>
          <w:szCs w:val="20"/>
        </w:rPr>
        <w:t xml:space="preserve"> can help </w:t>
      </w:r>
      <w:r w:rsidRPr="00C11E00">
        <w:rPr>
          <w:rFonts w:eastAsia="Times New Roman" w:cs="Arial"/>
          <w:szCs w:val="20"/>
        </w:rPr>
        <w:t xml:space="preserve">fund the construction of new public transport infrastructure. </w:t>
      </w:r>
      <w:r>
        <w:rPr>
          <w:rFonts w:eastAsia="Times New Roman" w:cs="Arial"/>
          <w:szCs w:val="20"/>
        </w:rPr>
        <w:t>W</w:t>
      </w:r>
      <w:r w:rsidRPr="00C11E00">
        <w:rPr>
          <w:rFonts w:eastAsia="Times New Roman" w:cs="Arial"/>
          <w:szCs w:val="20"/>
        </w:rPr>
        <w:t xml:space="preserve">here transit projects have difficulty securing </w:t>
      </w:r>
      <w:r>
        <w:rPr>
          <w:rFonts w:eastAsia="Times New Roman" w:cs="Arial"/>
          <w:szCs w:val="20"/>
        </w:rPr>
        <w:t xml:space="preserve">capital </w:t>
      </w:r>
      <w:r w:rsidRPr="00C11E00">
        <w:rPr>
          <w:rFonts w:eastAsia="Times New Roman" w:cs="Arial"/>
          <w:szCs w:val="20"/>
        </w:rPr>
        <w:t xml:space="preserve">funding through traditional </w:t>
      </w:r>
      <w:r>
        <w:rPr>
          <w:rFonts w:eastAsia="Times New Roman" w:cs="Arial"/>
          <w:szCs w:val="20"/>
        </w:rPr>
        <w:t>government budget sources</w:t>
      </w:r>
      <w:r w:rsidRPr="00C11E00">
        <w:rPr>
          <w:rFonts w:eastAsia="Times New Roman" w:cs="Arial"/>
          <w:szCs w:val="20"/>
        </w:rPr>
        <w:t xml:space="preserve">, a comprehensive TOD plan </w:t>
      </w:r>
      <w:r>
        <w:rPr>
          <w:rFonts w:eastAsia="Times New Roman" w:cs="Arial"/>
          <w:szCs w:val="20"/>
        </w:rPr>
        <w:t>can</w:t>
      </w:r>
      <w:r w:rsidRPr="00C11E00">
        <w:rPr>
          <w:rFonts w:eastAsia="Times New Roman" w:cs="Arial"/>
          <w:szCs w:val="20"/>
        </w:rPr>
        <w:t xml:space="preserve"> assist </w:t>
      </w:r>
      <w:r>
        <w:rPr>
          <w:rFonts w:eastAsia="Times New Roman" w:cs="Arial"/>
          <w:szCs w:val="20"/>
        </w:rPr>
        <w:t>in</w:t>
      </w:r>
      <w:r w:rsidRPr="00C11E00">
        <w:rPr>
          <w:rFonts w:eastAsia="Times New Roman" w:cs="Arial"/>
          <w:szCs w:val="20"/>
        </w:rPr>
        <w:t xml:space="preserve"> raising capital </w:t>
      </w:r>
      <w:r>
        <w:rPr>
          <w:rFonts w:eastAsia="Times New Roman" w:cs="Arial"/>
          <w:szCs w:val="20"/>
        </w:rPr>
        <w:t>by</w:t>
      </w:r>
      <w:r w:rsidRPr="00C11E00">
        <w:rPr>
          <w:rFonts w:eastAsia="Times New Roman" w:cs="Arial"/>
          <w:szCs w:val="20"/>
        </w:rPr>
        <w:t xml:space="preserve"> leveraging future development revenues in exchange for </w:t>
      </w:r>
      <w:r>
        <w:rPr>
          <w:rFonts w:eastAsia="Times New Roman" w:cs="Arial"/>
          <w:szCs w:val="20"/>
        </w:rPr>
        <w:t xml:space="preserve">upfront </w:t>
      </w:r>
      <w:r w:rsidRPr="00C11E00">
        <w:rPr>
          <w:rFonts w:eastAsia="Times New Roman" w:cs="Arial"/>
          <w:szCs w:val="20"/>
        </w:rPr>
        <w:t xml:space="preserve">financing. Government agencies traditionally implement successful TODs through the imposition of district-specific zoning changes, issuance of bonds and utilization of </w:t>
      </w:r>
      <w:r>
        <w:rPr>
          <w:rFonts w:eastAsia="Times New Roman" w:cs="Arial"/>
          <w:szCs w:val="20"/>
        </w:rPr>
        <w:t>other</w:t>
      </w:r>
      <w:r w:rsidRPr="00C11E00">
        <w:rPr>
          <w:rFonts w:eastAsia="Times New Roman" w:cs="Arial"/>
          <w:szCs w:val="20"/>
        </w:rPr>
        <w:t xml:space="preserve"> strategic value capture mechanisms.</w:t>
      </w:r>
      <w:r w:rsidRPr="009C16B5">
        <w:rPr>
          <w:rFonts w:eastAsia="Times New Roman" w:cs="Arial"/>
          <w:szCs w:val="20"/>
        </w:rPr>
        <w:t xml:space="preserve"> </w:t>
      </w:r>
      <w:r>
        <w:rPr>
          <w:rFonts w:eastAsia="Times New Roman" w:cs="Arial"/>
          <w:szCs w:val="20"/>
        </w:rPr>
        <w:t xml:space="preserve">Projects like Crossrail and Hudson Yards are prime examples of TODs that have introduced a blend of value capture mechanisms to generate upfront funds. </w:t>
      </w:r>
    </w:p>
    <w:p w14:paraId="4F678376" w14:textId="46B1E58A" w:rsidR="00DA38C7" w:rsidRDefault="008F2B77" w:rsidP="00DA38C7">
      <w:r>
        <w:t>R</w:t>
      </w:r>
      <w:r w:rsidR="00DA38C7">
        <w:t>elevant models for the introduction of value capture in Australia can be found in major cities in developed countries such as the US and the UK. These cities cover large physical areas and they are undergoing rapidly changing urban form, economic conditions and lifestyle patterns. These cities offer valuable urban renewal opportunities.</w:t>
      </w:r>
    </w:p>
    <w:p w14:paraId="512B142B" w14:textId="77777777" w:rsidR="00DA38C7" w:rsidRDefault="00DA38C7" w:rsidP="0064699C"/>
    <w:p w14:paraId="41C85FD3" w14:textId="48CF7519" w:rsidR="0064699C" w:rsidRDefault="00213E43" w:rsidP="00B6347F">
      <w:r>
        <w:t xml:space="preserve">A number of questions must be answered when </w:t>
      </w:r>
      <w:r w:rsidR="006F31E8">
        <w:t>a</w:t>
      </w:r>
      <w:r>
        <w:t xml:space="preserve"> governance framework and value capture </w:t>
      </w:r>
      <w:r w:rsidR="006F31E8">
        <w:t>system</w:t>
      </w:r>
      <w:r w:rsidR="00DA38C7">
        <w:t xml:space="preserve"> for a TOD</w:t>
      </w:r>
      <w:r>
        <w:t xml:space="preserve"> is put in </w:t>
      </w:r>
      <w:r w:rsidRPr="00DA57AB">
        <w:t xml:space="preserve">place. </w:t>
      </w:r>
      <w:r w:rsidR="005D6337">
        <w:t>It is important to understand how</w:t>
      </w:r>
      <w:r w:rsidR="0064699C" w:rsidRPr="00DA57AB">
        <w:t xml:space="preserve"> this </w:t>
      </w:r>
      <w:r w:rsidRPr="00DA57AB">
        <w:t xml:space="preserve">newly-created </w:t>
      </w:r>
      <w:r w:rsidR="0064699C" w:rsidRPr="00DA57AB">
        <w:t>value var</w:t>
      </w:r>
      <w:r w:rsidR="005D6337">
        <w:t>ies</w:t>
      </w:r>
      <w:r w:rsidR="0064699C" w:rsidRPr="00DA57AB">
        <w:t xml:space="preserve"> by property type, public transport characteristics, and local land</w:t>
      </w:r>
      <w:r w:rsidR="0064699C" w:rsidRPr="00DA57AB">
        <w:rPr>
          <w:spacing w:val="-7"/>
        </w:rPr>
        <w:t xml:space="preserve"> </w:t>
      </w:r>
      <w:r w:rsidR="0064699C" w:rsidRPr="00DA57AB">
        <w:t>use</w:t>
      </w:r>
      <w:r w:rsidR="0064699C" w:rsidRPr="00DA57AB">
        <w:rPr>
          <w:spacing w:val="-7"/>
        </w:rPr>
        <w:t xml:space="preserve"> </w:t>
      </w:r>
      <w:r w:rsidR="0064699C" w:rsidRPr="00DA57AB">
        <w:t>characteristics</w:t>
      </w:r>
      <w:r w:rsidR="005D6337">
        <w:t xml:space="preserve">. </w:t>
      </w:r>
      <w:r w:rsidR="0064699C" w:rsidRPr="00DA57AB">
        <w:rPr>
          <w:spacing w:val="-7"/>
        </w:rPr>
        <w:t xml:space="preserve"> </w:t>
      </w:r>
      <w:r w:rsidR="005D6337">
        <w:t>The</w:t>
      </w:r>
      <w:r w:rsidR="0064699C" w:rsidRPr="00DA57AB">
        <w:rPr>
          <w:spacing w:val="-7"/>
        </w:rPr>
        <w:t xml:space="preserve"> </w:t>
      </w:r>
      <w:r w:rsidR="0064699C" w:rsidRPr="00DA57AB">
        <w:t>increase</w:t>
      </w:r>
      <w:r w:rsidR="0064699C" w:rsidRPr="00DA57AB">
        <w:rPr>
          <w:spacing w:val="-7"/>
        </w:rPr>
        <w:t xml:space="preserve"> </w:t>
      </w:r>
      <w:r w:rsidR="0064699C" w:rsidRPr="00DA57AB">
        <w:t>in</w:t>
      </w:r>
      <w:r w:rsidR="0064699C" w:rsidRPr="00DA57AB">
        <w:rPr>
          <w:spacing w:val="-7"/>
        </w:rPr>
        <w:t xml:space="preserve"> </w:t>
      </w:r>
      <w:r w:rsidR="0064699C" w:rsidRPr="00DA57AB">
        <w:t>value</w:t>
      </w:r>
      <w:r w:rsidR="0064699C" w:rsidRPr="00DA57AB">
        <w:rPr>
          <w:spacing w:val="-7"/>
        </w:rPr>
        <w:t xml:space="preserve"> </w:t>
      </w:r>
      <w:r w:rsidR="0064699C" w:rsidRPr="00DA57AB">
        <w:t xml:space="preserve">attributable to new </w:t>
      </w:r>
      <w:r w:rsidR="00DA57AB" w:rsidRPr="00DA57AB">
        <w:t xml:space="preserve">public </w:t>
      </w:r>
      <w:r w:rsidR="0064699C" w:rsidRPr="00DA57AB">
        <w:t xml:space="preserve">transport infrastructure </w:t>
      </w:r>
      <w:r w:rsidR="005D6337">
        <w:t>is</w:t>
      </w:r>
      <w:r w:rsidR="0064699C" w:rsidRPr="00DA57AB">
        <w:t xml:space="preserve"> a function of the type of </w:t>
      </w:r>
      <w:r w:rsidR="005D6337">
        <w:t xml:space="preserve">transport </w:t>
      </w:r>
      <w:r w:rsidR="0064699C" w:rsidRPr="00DA57AB">
        <w:t>service</w:t>
      </w:r>
      <w:r w:rsidR="005D6337">
        <w:t xml:space="preserve"> provision</w:t>
      </w:r>
      <w:r w:rsidR="00DA57AB" w:rsidRPr="00DA57AB">
        <w:t>,</w:t>
      </w:r>
      <w:r w:rsidR="0064699C" w:rsidRPr="00DA57AB">
        <w:t xml:space="preserve"> </w:t>
      </w:r>
      <w:r w:rsidR="00DA57AB" w:rsidRPr="00DA57AB">
        <w:t>the quality of th</w:t>
      </w:r>
      <w:r w:rsidR="005D6337">
        <w:t>at</w:t>
      </w:r>
      <w:r w:rsidR="00DA57AB" w:rsidRPr="00DA57AB">
        <w:t xml:space="preserve"> service, </w:t>
      </w:r>
      <w:r w:rsidR="0064699C" w:rsidRPr="00DA57AB">
        <w:t xml:space="preserve">the distance of </w:t>
      </w:r>
      <w:r w:rsidR="00DA57AB" w:rsidRPr="00DA57AB">
        <w:t>each</w:t>
      </w:r>
      <w:r w:rsidR="0064699C" w:rsidRPr="00DA57AB">
        <w:t xml:space="preserve"> property to new infr</w:t>
      </w:r>
      <w:r w:rsidR="006F31E8">
        <w:t>astructure, the use of that</w:t>
      </w:r>
      <w:r w:rsidR="0064699C" w:rsidRPr="00DA57AB">
        <w:t xml:space="preserve"> property</w:t>
      </w:r>
      <w:r w:rsidR="006F31E8">
        <w:t>, its future potential use</w:t>
      </w:r>
      <w:r w:rsidR="0064699C" w:rsidRPr="00DA57AB">
        <w:t xml:space="preserve"> and transportation alternatives. </w:t>
      </w:r>
    </w:p>
    <w:p w14:paraId="59CC22FC" w14:textId="77777777" w:rsidR="00B6347F" w:rsidRPr="00E100D5" w:rsidRDefault="00B6347F" w:rsidP="00B6347F">
      <w:pPr>
        <w:rPr>
          <w:szCs w:val="18"/>
          <w:lang w:val="en-US"/>
        </w:rPr>
      </w:pPr>
    </w:p>
    <w:p w14:paraId="0AAC5584" w14:textId="1755E1C9" w:rsidR="005D6337" w:rsidRDefault="00DA5D9E" w:rsidP="00DA5D9E">
      <w:r>
        <w:t xml:space="preserve">A </w:t>
      </w:r>
      <w:r w:rsidR="00DB737F">
        <w:t>core</w:t>
      </w:r>
      <w:r w:rsidR="00A80B5C">
        <w:t xml:space="preserve"> </w:t>
      </w:r>
      <w:r w:rsidRPr="007C7210">
        <w:t>list of value capture mechanisms</w:t>
      </w:r>
      <w:r w:rsidR="00A80B5C">
        <w:t xml:space="preserve"> </w:t>
      </w:r>
      <w:r w:rsidR="005D6337">
        <w:t xml:space="preserve">is contained in </w:t>
      </w:r>
      <w:r w:rsidR="00B6347F">
        <w:rPr>
          <w:highlight w:val="yellow"/>
        </w:rPr>
        <w:fldChar w:fldCharType="begin"/>
      </w:r>
      <w:r w:rsidR="00B6347F">
        <w:instrText xml:space="preserve"> REF _Ref430857934 \h </w:instrText>
      </w:r>
      <w:r w:rsidR="00B6347F">
        <w:rPr>
          <w:highlight w:val="yellow"/>
        </w:rPr>
      </w:r>
      <w:r w:rsidR="00B6347F">
        <w:rPr>
          <w:highlight w:val="yellow"/>
        </w:rPr>
        <w:fldChar w:fldCharType="separate"/>
      </w:r>
      <w:r w:rsidR="00184C79">
        <w:t xml:space="preserve">Table </w:t>
      </w:r>
      <w:r w:rsidR="00184C79">
        <w:rPr>
          <w:noProof/>
        </w:rPr>
        <w:t>2</w:t>
      </w:r>
      <w:r w:rsidR="00B6347F">
        <w:rPr>
          <w:highlight w:val="yellow"/>
        </w:rPr>
        <w:fldChar w:fldCharType="end"/>
      </w:r>
      <w:r w:rsidR="00B6347F">
        <w:t>.</w:t>
      </w:r>
    </w:p>
    <w:p w14:paraId="50A5E956" w14:textId="7C1D598D" w:rsidR="00DB737F" w:rsidRDefault="00B6347F" w:rsidP="00B6347F">
      <w:pPr>
        <w:pStyle w:val="Caption"/>
      </w:pPr>
      <w:bookmarkStart w:id="16" w:name="_Ref430857934"/>
      <w:bookmarkStart w:id="17" w:name="_Toc430896536"/>
      <w:r>
        <w:t xml:space="preserve">Table </w:t>
      </w:r>
      <w:r>
        <w:fldChar w:fldCharType="begin"/>
      </w:r>
      <w:r>
        <w:instrText xml:space="preserve"> SEQ Table \* ARABIC </w:instrText>
      </w:r>
      <w:r>
        <w:fldChar w:fldCharType="separate"/>
      </w:r>
      <w:r w:rsidR="00184C79">
        <w:rPr>
          <w:noProof/>
        </w:rPr>
        <w:t>2</w:t>
      </w:r>
      <w:r>
        <w:fldChar w:fldCharType="end"/>
      </w:r>
      <w:bookmarkEnd w:id="16"/>
      <w:r w:rsidR="00E4454D">
        <w:t xml:space="preserve">. </w:t>
      </w:r>
      <w:r>
        <w:t>value caPTURE MECHANISMS</w:t>
      </w:r>
      <w:bookmarkEnd w:id="17"/>
    </w:p>
    <w:tbl>
      <w:tblPr>
        <w:tblStyle w:val="GridTable4-Accent21"/>
        <w:tblW w:w="0" w:type="auto"/>
        <w:tblLook w:val="04A0" w:firstRow="1" w:lastRow="0" w:firstColumn="1" w:lastColumn="0" w:noHBand="0" w:noVBand="1"/>
      </w:tblPr>
      <w:tblGrid>
        <w:gridCol w:w="2410"/>
        <w:gridCol w:w="6300"/>
      </w:tblGrid>
      <w:tr w:rsidR="00DB737F" w:rsidRPr="00896C6F" w14:paraId="456306FF" w14:textId="77777777" w:rsidTr="00896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07F57378" w14:textId="77777777" w:rsidR="00DB737F" w:rsidRPr="00E4454D" w:rsidRDefault="00DB737F" w:rsidP="00DB737F">
            <w:pPr>
              <w:rPr>
                <w:sz w:val="18"/>
                <w:szCs w:val="18"/>
              </w:rPr>
            </w:pPr>
            <w:r w:rsidRPr="00E4454D">
              <w:rPr>
                <w:sz w:val="18"/>
                <w:szCs w:val="18"/>
              </w:rPr>
              <w:t>Value Capture Type</w:t>
            </w:r>
          </w:p>
        </w:tc>
        <w:tc>
          <w:tcPr>
            <w:tcW w:w="6300" w:type="dxa"/>
          </w:tcPr>
          <w:p w14:paraId="6E5B734B" w14:textId="77777777" w:rsidR="00DB737F" w:rsidRPr="00E4454D" w:rsidRDefault="00550910" w:rsidP="00DA5D9E">
            <w:pPr>
              <w:cnfStyle w:val="100000000000" w:firstRow="1" w:lastRow="0" w:firstColumn="0" w:lastColumn="0" w:oddVBand="0" w:evenVBand="0" w:oddHBand="0" w:evenHBand="0" w:firstRowFirstColumn="0" w:firstRowLastColumn="0" w:lastRowFirstColumn="0" w:lastRowLastColumn="0"/>
              <w:rPr>
                <w:sz w:val="18"/>
                <w:szCs w:val="18"/>
              </w:rPr>
            </w:pPr>
            <w:r w:rsidRPr="00E4454D">
              <w:rPr>
                <w:sz w:val="18"/>
                <w:szCs w:val="18"/>
              </w:rPr>
              <w:t>Mechanism</w:t>
            </w:r>
            <w:r w:rsidR="005F64A4" w:rsidRPr="00E4454D">
              <w:rPr>
                <w:sz w:val="18"/>
                <w:szCs w:val="18"/>
              </w:rPr>
              <w:t xml:space="preserve"> </w:t>
            </w:r>
          </w:p>
        </w:tc>
      </w:tr>
      <w:tr w:rsidR="00DB737F" w:rsidRPr="00896C6F" w14:paraId="117E3757"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103D22" w14:textId="77777777" w:rsidR="00875827" w:rsidRPr="00896C6F" w:rsidRDefault="00DB737F" w:rsidP="00303239">
            <w:pPr>
              <w:rPr>
                <w:sz w:val="18"/>
                <w:szCs w:val="18"/>
              </w:rPr>
            </w:pPr>
            <w:r w:rsidRPr="00896C6F">
              <w:rPr>
                <w:spacing w:val="-5"/>
                <w:sz w:val="18"/>
                <w:szCs w:val="18"/>
              </w:rPr>
              <w:t xml:space="preserve">Tax </w:t>
            </w:r>
            <w:r w:rsidRPr="00896C6F">
              <w:rPr>
                <w:sz w:val="18"/>
                <w:szCs w:val="18"/>
              </w:rPr>
              <w:t>Increment Financing</w:t>
            </w:r>
          </w:p>
          <w:p w14:paraId="2105E252" w14:textId="77777777" w:rsidR="00DB737F" w:rsidRPr="00896C6F" w:rsidRDefault="00875827" w:rsidP="00875827">
            <w:pPr>
              <w:rPr>
                <w:sz w:val="18"/>
                <w:szCs w:val="18"/>
              </w:rPr>
            </w:pPr>
            <w:r w:rsidRPr="00896C6F">
              <w:rPr>
                <w:sz w:val="18"/>
                <w:szCs w:val="18"/>
              </w:rPr>
              <w:t>Betterment Tax</w:t>
            </w:r>
            <w:r w:rsidR="00DB737F" w:rsidRPr="00896C6F">
              <w:rPr>
                <w:sz w:val="18"/>
                <w:szCs w:val="18"/>
              </w:rPr>
              <w:t xml:space="preserve"> </w:t>
            </w:r>
          </w:p>
        </w:tc>
        <w:tc>
          <w:tcPr>
            <w:tcW w:w="6300" w:type="dxa"/>
          </w:tcPr>
          <w:p w14:paraId="79C83AA1" w14:textId="77777777" w:rsidR="00DB737F" w:rsidRPr="00896C6F" w:rsidRDefault="00DB737F" w:rsidP="00303239">
            <w:pPr>
              <w:pStyle w:val="BodyText"/>
              <w:spacing w:line="240" w:lineRule="exact"/>
              <w:ind w:left="34" w:right="102"/>
              <w:cnfStyle w:val="000000100000" w:firstRow="0" w:lastRow="0" w:firstColumn="0" w:lastColumn="0" w:oddVBand="0" w:evenVBand="0" w:oddHBand="1" w:evenHBand="0" w:firstRowFirstColumn="0" w:firstRowLastColumn="0" w:lastRowFirstColumn="0" w:lastRowLastColumn="0"/>
              <w:rPr>
                <w:sz w:val="18"/>
                <w:szCs w:val="18"/>
              </w:rPr>
            </w:pPr>
            <w:r w:rsidRPr="00896C6F">
              <w:rPr>
                <w:rFonts w:asciiTheme="minorHAnsi" w:hAnsiTheme="minorHAnsi"/>
                <w:sz w:val="18"/>
                <w:szCs w:val="18"/>
              </w:rPr>
              <w:t xml:space="preserve">This mechanism allocates </w:t>
            </w:r>
            <w:r w:rsidR="00303239" w:rsidRPr="00896C6F">
              <w:rPr>
                <w:rFonts w:asciiTheme="minorHAnsi" w:hAnsiTheme="minorHAnsi"/>
                <w:sz w:val="18"/>
                <w:szCs w:val="18"/>
              </w:rPr>
              <w:t>the</w:t>
            </w:r>
            <w:r w:rsidRPr="00896C6F">
              <w:rPr>
                <w:rFonts w:asciiTheme="minorHAnsi" w:hAnsiTheme="minorHAnsi"/>
                <w:sz w:val="18"/>
                <w:szCs w:val="18"/>
              </w:rPr>
              <w:t xml:space="preserve"> increase</w:t>
            </w:r>
            <w:r w:rsidRPr="00896C6F">
              <w:rPr>
                <w:rFonts w:asciiTheme="minorHAnsi" w:hAnsiTheme="minorHAnsi"/>
                <w:spacing w:val="-5"/>
                <w:sz w:val="18"/>
                <w:szCs w:val="18"/>
              </w:rPr>
              <w:t xml:space="preserve"> </w:t>
            </w:r>
            <w:r w:rsidRPr="00896C6F">
              <w:rPr>
                <w:rFonts w:asciiTheme="minorHAnsi" w:hAnsiTheme="minorHAnsi"/>
                <w:sz w:val="18"/>
                <w:szCs w:val="18"/>
              </w:rPr>
              <w:t>in</w:t>
            </w:r>
            <w:r w:rsidRPr="00896C6F">
              <w:rPr>
                <w:rFonts w:asciiTheme="minorHAnsi" w:hAnsiTheme="minorHAnsi"/>
                <w:spacing w:val="-5"/>
                <w:sz w:val="18"/>
                <w:szCs w:val="18"/>
              </w:rPr>
              <w:t xml:space="preserve"> </w:t>
            </w:r>
            <w:r w:rsidRPr="00896C6F">
              <w:rPr>
                <w:rFonts w:asciiTheme="minorHAnsi" w:hAnsiTheme="minorHAnsi"/>
                <w:sz w:val="18"/>
                <w:szCs w:val="18"/>
              </w:rPr>
              <w:t>total</w:t>
            </w:r>
            <w:r w:rsidRPr="00896C6F">
              <w:rPr>
                <w:rFonts w:asciiTheme="minorHAnsi" w:hAnsiTheme="minorHAnsi"/>
                <w:spacing w:val="-5"/>
                <w:sz w:val="18"/>
                <w:szCs w:val="18"/>
              </w:rPr>
              <w:t xml:space="preserve"> </w:t>
            </w:r>
            <w:r w:rsidRPr="00896C6F">
              <w:rPr>
                <w:rFonts w:asciiTheme="minorHAnsi" w:hAnsiTheme="minorHAnsi"/>
                <w:sz w:val="18"/>
                <w:szCs w:val="18"/>
              </w:rPr>
              <w:t>property</w:t>
            </w:r>
            <w:r w:rsidRPr="00896C6F">
              <w:rPr>
                <w:rFonts w:asciiTheme="minorHAnsi" w:hAnsiTheme="minorHAnsi"/>
                <w:spacing w:val="-5"/>
                <w:sz w:val="18"/>
                <w:szCs w:val="18"/>
              </w:rPr>
              <w:t xml:space="preserve"> </w:t>
            </w:r>
            <w:r w:rsidRPr="00896C6F">
              <w:rPr>
                <w:rFonts w:asciiTheme="minorHAnsi" w:hAnsiTheme="minorHAnsi"/>
                <w:sz w:val="18"/>
                <w:szCs w:val="18"/>
              </w:rPr>
              <w:t>tax</w:t>
            </w:r>
            <w:r w:rsidRPr="00896C6F">
              <w:rPr>
                <w:rFonts w:asciiTheme="minorHAnsi" w:hAnsiTheme="minorHAnsi"/>
                <w:spacing w:val="-5"/>
                <w:sz w:val="18"/>
                <w:szCs w:val="18"/>
              </w:rPr>
              <w:t xml:space="preserve"> </w:t>
            </w:r>
            <w:r w:rsidRPr="00896C6F">
              <w:rPr>
                <w:rFonts w:asciiTheme="minorHAnsi" w:hAnsiTheme="minorHAnsi"/>
                <w:sz w:val="18"/>
                <w:szCs w:val="18"/>
              </w:rPr>
              <w:t>revenues</w:t>
            </w:r>
            <w:r w:rsidRPr="00896C6F">
              <w:rPr>
                <w:rFonts w:asciiTheme="minorHAnsi" w:hAnsiTheme="minorHAnsi"/>
                <w:spacing w:val="-5"/>
                <w:sz w:val="18"/>
                <w:szCs w:val="18"/>
              </w:rPr>
              <w:t xml:space="preserve"> </w:t>
            </w:r>
            <w:r w:rsidRPr="00896C6F">
              <w:rPr>
                <w:rFonts w:asciiTheme="minorHAnsi" w:hAnsiTheme="minorHAnsi"/>
                <w:sz w:val="18"/>
                <w:szCs w:val="18"/>
              </w:rPr>
              <w:t>toward</w:t>
            </w:r>
            <w:r w:rsidRPr="00896C6F">
              <w:rPr>
                <w:rFonts w:asciiTheme="minorHAnsi" w:hAnsiTheme="minorHAnsi"/>
                <w:spacing w:val="-5"/>
                <w:sz w:val="18"/>
                <w:szCs w:val="18"/>
              </w:rPr>
              <w:t xml:space="preserve"> </w:t>
            </w:r>
            <w:r w:rsidRPr="00896C6F">
              <w:rPr>
                <w:rFonts w:asciiTheme="minorHAnsi" w:hAnsiTheme="minorHAnsi"/>
                <w:sz w:val="18"/>
                <w:szCs w:val="18"/>
              </w:rPr>
              <w:t>public</w:t>
            </w:r>
            <w:r w:rsidRPr="00896C6F">
              <w:rPr>
                <w:rFonts w:asciiTheme="minorHAnsi" w:hAnsiTheme="minorHAnsi"/>
                <w:spacing w:val="-5"/>
                <w:sz w:val="18"/>
                <w:szCs w:val="18"/>
              </w:rPr>
              <w:t xml:space="preserve"> </w:t>
            </w:r>
            <w:r w:rsidRPr="00896C6F">
              <w:rPr>
                <w:rFonts w:asciiTheme="minorHAnsi" w:hAnsiTheme="minorHAnsi"/>
                <w:sz w:val="18"/>
                <w:szCs w:val="18"/>
              </w:rPr>
              <w:t>investment within the designated TIF</w:t>
            </w:r>
            <w:r w:rsidRPr="00896C6F">
              <w:rPr>
                <w:rFonts w:asciiTheme="minorHAnsi" w:hAnsiTheme="minorHAnsi"/>
                <w:spacing w:val="-12"/>
                <w:sz w:val="18"/>
                <w:szCs w:val="18"/>
              </w:rPr>
              <w:t xml:space="preserve"> </w:t>
            </w:r>
            <w:r w:rsidRPr="00896C6F">
              <w:rPr>
                <w:rFonts w:asciiTheme="minorHAnsi" w:hAnsiTheme="minorHAnsi"/>
                <w:sz w:val="18"/>
                <w:szCs w:val="18"/>
              </w:rPr>
              <w:t>district.</w:t>
            </w:r>
            <w:r w:rsidR="00A40D8C" w:rsidRPr="00896C6F">
              <w:rPr>
                <w:rFonts w:asciiTheme="minorHAnsi" w:hAnsiTheme="minorHAnsi"/>
                <w:sz w:val="18"/>
                <w:szCs w:val="18"/>
              </w:rPr>
              <w:t xml:space="preserve"> See next sub-section for further description.</w:t>
            </w:r>
          </w:p>
        </w:tc>
      </w:tr>
      <w:tr w:rsidR="00DB737F" w:rsidRPr="00896C6F" w14:paraId="13E35786" w14:textId="77777777" w:rsidTr="00896C6F">
        <w:tc>
          <w:tcPr>
            <w:cnfStyle w:val="001000000000" w:firstRow="0" w:lastRow="0" w:firstColumn="1" w:lastColumn="0" w:oddVBand="0" w:evenVBand="0" w:oddHBand="0" w:evenHBand="0" w:firstRowFirstColumn="0" w:firstRowLastColumn="0" w:lastRowFirstColumn="0" w:lastRowLastColumn="0"/>
            <w:tcW w:w="2410" w:type="dxa"/>
          </w:tcPr>
          <w:p w14:paraId="321DBA08" w14:textId="77777777" w:rsidR="00DB737F" w:rsidRPr="00896C6F" w:rsidRDefault="00DB737F" w:rsidP="00DA5D9E">
            <w:pPr>
              <w:rPr>
                <w:sz w:val="18"/>
                <w:szCs w:val="18"/>
              </w:rPr>
            </w:pPr>
            <w:r w:rsidRPr="00896C6F">
              <w:rPr>
                <w:sz w:val="18"/>
                <w:szCs w:val="18"/>
              </w:rPr>
              <w:t>Land Value Tax/Location Benefit Levy</w:t>
            </w:r>
          </w:p>
        </w:tc>
        <w:tc>
          <w:tcPr>
            <w:tcW w:w="6300" w:type="dxa"/>
          </w:tcPr>
          <w:p w14:paraId="39768BF0" w14:textId="77777777" w:rsidR="00DB737F" w:rsidRPr="00896C6F" w:rsidRDefault="00DB737F" w:rsidP="00303239">
            <w:pPr>
              <w:cnfStyle w:val="000000000000" w:firstRow="0" w:lastRow="0" w:firstColumn="0" w:lastColumn="0" w:oddVBand="0" w:evenVBand="0" w:oddHBand="0" w:evenHBand="0" w:firstRowFirstColumn="0" w:firstRowLastColumn="0" w:lastRowFirstColumn="0" w:lastRowLastColumn="0"/>
              <w:rPr>
                <w:sz w:val="18"/>
                <w:szCs w:val="18"/>
              </w:rPr>
            </w:pPr>
            <w:r w:rsidRPr="00896C6F">
              <w:rPr>
                <w:spacing w:val="-7"/>
                <w:sz w:val="18"/>
                <w:szCs w:val="18"/>
              </w:rPr>
              <w:t xml:space="preserve">Tax </w:t>
            </w:r>
            <w:r w:rsidRPr="00896C6F">
              <w:rPr>
                <w:sz w:val="18"/>
                <w:szCs w:val="18"/>
              </w:rPr>
              <w:t xml:space="preserve">on the value of land in the vicinity of a public transport amenity. Note that this mechanism is a tax on the land </w:t>
            </w:r>
            <w:r w:rsidRPr="00896C6F">
              <w:rPr>
                <w:spacing w:val="-3"/>
                <w:sz w:val="18"/>
                <w:szCs w:val="18"/>
              </w:rPr>
              <w:t xml:space="preserve">only, </w:t>
            </w:r>
            <w:r w:rsidRPr="00896C6F">
              <w:rPr>
                <w:sz w:val="18"/>
                <w:szCs w:val="18"/>
              </w:rPr>
              <w:t>and this is distinct</w:t>
            </w:r>
            <w:r w:rsidRPr="00896C6F">
              <w:rPr>
                <w:spacing w:val="-20"/>
                <w:sz w:val="18"/>
                <w:szCs w:val="18"/>
              </w:rPr>
              <w:t xml:space="preserve"> </w:t>
            </w:r>
            <w:r w:rsidRPr="00896C6F">
              <w:rPr>
                <w:sz w:val="18"/>
                <w:szCs w:val="18"/>
              </w:rPr>
              <w:t>from a conventional property</w:t>
            </w:r>
            <w:r w:rsidRPr="00896C6F">
              <w:rPr>
                <w:spacing w:val="-12"/>
                <w:sz w:val="18"/>
                <w:szCs w:val="18"/>
              </w:rPr>
              <w:t xml:space="preserve"> </w:t>
            </w:r>
            <w:r w:rsidRPr="00896C6F">
              <w:rPr>
                <w:sz w:val="18"/>
                <w:szCs w:val="18"/>
              </w:rPr>
              <w:t>tax</w:t>
            </w:r>
          </w:p>
        </w:tc>
      </w:tr>
      <w:tr w:rsidR="00DF0694" w:rsidRPr="00896C6F" w14:paraId="63B79803"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3A16149" w14:textId="77777777" w:rsidR="00DF0694" w:rsidRPr="00896C6F" w:rsidRDefault="00DF0694" w:rsidP="00DF0694">
            <w:pPr>
              <w:rPr>
                <w:sz w:val="18"/>
                <w:szCs w:val="18"/>
              </w:rPr>
            </w:pPr>
            <w:r w:rsidRPr="00896C6F">
              <w:rPr>
                <w:sz w:val="18"/>
                <w:szCs w:val="18"/>
              </w:rPr>
              <w:t>Sale/Lease of Land</w:t>
            </w:r>
          </w:p>
        </w:tc>
        <w:tc>
          <w:tcPr>
            <w:tcW w:w="6300" w:type="dxa"/>
          </w:tcPr>
          <w:p w14:paraId="311DEA70" w14:textId="77777777" w:rsidR="00DF0694" w:rsidRPr="00896C6F" w:rsidRDefault="00DF0694" w:rsidP="00DF0694">
            <w:pP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The public sector agency acquires (re)developable land in the vicinity</w:t>
            </w:r>
            <w:r w:rsidRPr="00896C6F">
              <w:rPr>
                <w:spacing w:val="-14"/>
                <w:sz w:val="18"/>
                <w:szCs w:val="18"/>
              </w:rPr>
              <w:t xml:space="preserve"> </w:t>
            </w:r>
            <w:r w:rsidRPr="00896C6F">
              <w:rPr>
                <w:sz w:val="18"/>
                <w:szCs w:val="18"/>
              </w:rPr>
              <w:t>of the new public transport facility at market price before the public transport system is built. After the public transport infrastructure is built, the land can be sold or leased at a higher price on the open market, capturing</w:t>
            </w:r>
            <w:r w:rsidRPr="00896C6F">
              <w:rPr>
                <w:spacing w:val="-6"/>
                <w:sz w:val="18"/>
                <w:szCs w:val="18"/>
              </w:rPr>
              <w:t xml:space="preserve"> </w:t>
            </w:r>
            <w:r w:rsidRPr="00896C6F">
              <w:rPr>
                <w:sz w:val="18"/>
                <w:szCs w:val="18"/>
              </w:rPr>
              <w:t>the</w:t>
            </w:r>
            <w:r w:rsidRPr="00896C6F">
              <w:rPr>
                <w:spacing w:val="-6"/>
                <w:sz w:val="18"/>
                <w:szCs w:val="18"/>
              </w:rPr>
              <w:t xml:space="preserve"> </w:t>
            </w:r>
            <w:r w:rsidRPr="00896C6F">
              <w:rPr>
                <w:sz w:val="18"/>
                <w:szCs w:val="18"/>
              </w:rPr>
              <w:t>added</w:t>
            </w:r>
            <w:r w:rsidRPr="00896C6F">
              <w:rPr>
                <w:spacing w:val="-6"/>
                <w:sz w:val="18"/>
                <w:szCs w:val="18"/>
              </w:rPr>
              <w:t xml:space="preserve"> </w:t>
            </w:r>
            <w:r w:rsidRPr="00896C6F">
              <w:rPr>
                <w:sz w:val="18"/>
                <w:szCs w:val="18"/>
              </w:rPr>
              <w:t>value</w:t>
            </w:r>
            <w:r w:rsidRPr="00896C6F">
              <w:rPr>
                <w:spacing w:val="-6"/>
                <w:sz w:val="18"/>
                <w:szCs w:val="18"/>
              </w:rPr>
              <w:t xml:space="preserve"> </w:t>
            </w:r>
            <w:r w:rsidRPr="00896C6F">
              <w:rPr>
                <w:sz w:val="18"/>
                <w:szCs w:val="18"/>
              </w:rPr>
              <w:t>in</w:t>
            </w:r>
            <w:r w:rsidRPr="00896C6F">
              <w:rPr>
                <w:spacing w:val="-6"/>
                <w:sz w:val="18"/>
                <w:szCs w:val="18"/>
              </w:rPr>
              <w:t xml:space="preserve"> </w:t>
            </w:r>
            <w:r w:rsidRPr="00896C6F">
              <w:rPr>
                <w:sz w:val="18"/>
                <w:szCs w:val="18"/>
              </w:rPr>
              <w:t>the</w:t>
            </w:r>
            <w:r w:rsidRPr="00896C6F">
              <w:rPr>
                <w:spacing w:val="-6"/>
                <w:sz w:val="18"/>
                <w:szCs w:val="18"/>
              </w:rPr>
              <w:t xml:space="preserve"> </w:t>
            </w:r>
            <w:r w:rsidRPr="00896C6F">
              <w:rPr>
                <w:sz w:val="18"/>
                <w:szCs w:val="18"/>
              </w:rPr>
              <w:t>transaction.</w:t>
            </w:r>
          </w:p>
        </w:tc>
      </w:tr>
      <w:tr w:rsidR="00DF0694" w:rsidRPr="00896C6F" w14:paraId="09C99861" w14:textId="77777777" w:rsidTr="00896C6F">
        <w:tc>
          <w:tcPr>
            <w:cnfStyle w:val="001000000000" w:firstRow="0" w:lastRow="0" w:firstColumn="1" w:lastColumn="0" w:oddVBand="0" w:evenVBand="0" w:oddHBand="0" w:evenHBand="0" w:firstRowFirstColumn="0" w:firstRowLastColumn="0" w:lastRowFirstColumn="0" w:lastRowLastColumn="0"/>
            <w:tcW w:w="2410" w:type="dxa"/>
          </w:tcPr>
          <w:p w14:paraId="154F9651" w14:textId="77777777" w:rsidR="00DF0694" w:rsidRPr="00896C6F" w:rsidRDefault="00DF0694" w:rsidP="00DF0694">
            <w:pPr>
              <w:rPr>
                <w:sz w:val="18"/>
                <w:szCs w:val="18"/>
              </w:rPr>
            </w:pPr>
            <w:r w:rsidRPr="00896C6F">
              <w:rPr>
                <w:sz w:val="18"/>
                <w:szCs w:val="18"/>
              </w:rPr>
              <w:t>Sale/Lease of Development Rights or Air Rights</w:t>
            </w:r>
          </w:p>
        </w:tc>
        <w:tc>
          <w:tcPr>
            <w:tcW w:w="6300" w:type="dxa"/>
          </w:tcPr>
          <w:p w14:paraId="29465222" w14:textId="77777777" w:rsidR="00DF0694" w:rsidRPr="00896C6F" w:rsidRDefault="00DF0694" w:rsidP="00DF0694">
            <w:pPr>
              <w:pStyle w:val="BodyText"/>
              <w:spacing w:line="240" w:lineRule="exact"/>
              <w:ind w:left="0" w:right="51"/>
              <w:cnfStyle w:val="000000000000" w:firstRow="0" w:lastRow="0" w:firstColumn="0" w:lastColumn="0" w:oddVBand="0" w:evenVBand="0" w:oddHBand="0" w:evenHBand="0" w:firstRowFirstColumn="0" w:firstRowLastColumn="0" w:lastRowFirstColumn="0" w:lastRowLastColumn="0"/>
              <w:rPr>
                <w:sz w:val="18"/>
                <w:szCs w:val="18"/>
              </w:rPr>
            </w:pPr>
            <w:r w:rsidRPr="00896C6F">
              <w:rPr>
                <w:rFonts w:asciiTheme="minorHAnsi" w:hAnsiTheme="minorHAnsi"/>
                <w:sz w:val="18"/>
                <w:szCs w:val="18"/>
              </w:rPr>
              <w:t>The government acquires land in</w:t>
            </w:r>
            <w:r w:rsidRPr="00896C6F">
              <w:rPr>
                <w:rFonts w:asciiTheme="minorHAnsi" w:hAnsiTheme="minorHAnsi"/>
                <w:spacing w:val="-20"/>
                <w:sz w:val="18"/>
                <w:szCs w:val="18"/>
              </w:rPr>
              <w:t xml:space="preserve"> </w:t>
            </w:r>
            <w:r w:rsidRPr="00896C6F">
              <w:rPr>
                <w:rFonts w:asciiTheme="minorHAnsi" w:hAnsiTheme="minorHAnsi"/>
                <w:sz w:val="18"/>
                <w:szCs w:val="18"/>
              </w:rPr>
              <w:t>and adjacent to the public transport facility at market price before ground is broken to build the public transport system. After the public transport infrastructure is built (or concurrently), the owner can enter into long-term leases with developers for ground, air, or subsurface development rights. The added value from the public transport system is capitalized into the lease</w:t>
            </w:r>
            <w:r w:rsidRPr="00896C6F">
              <w:rPr>
                <w:rFonts w:asciiTheme="minorHAnsi" w:hAnsiTheme="minorHAnsi"/>
                <w:spacing w:val="-15"/>
                <w:sz w:val="18"/>
                <w:szCs w:val="18"/>
              </w:rPr>
              <w:t xml:space="preserve"> </w:t>
            </w:r>
            <w:r w:rsidRPr="00896C6F">
              <w:rPr>
                <w:rFonts w:asciiTheme="minorHAnsi" w:hAnsiTheme="minorHAnsi"/>
                <w:sz w:val="18"/>
                <w:szCs w:val="18"/>
              </w:rPr>
              <w:t>price.</w:t>
            </w:r>
          </w:p>
        </w:tc>
      </w:tr>
      <w:tr w:rsidR="00DF0694" w:rsidRPr="00896C6F" w14:paraId="62096FA2"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5E7734B" w14:textId="77777777" w:rsidR="00DF0694" w:rsidRPr="00896C6F" w:rsidRDefault="00DF0694" w:rsidP="00DF0694">
            <w:pPr>
              <w:rPr>
                <w:sz w:val="18"/>
                <w:szCs w:val="18"/>
              </w:rPr>
            </w:pPr>
            <w:r w:rsidRPr="00896C6F">
              <w:rPr>
                <w:sz w:val="18"/>
                <w:szCs w:val="18"/>
              </w:rPr>
              <w:t>Joint Development</w:t>
            </w:r>
          </w:p>
        </w:tc>
        <w:tc>
          <w:tcPr>
            <w:tcW w:w="6300" w:type="dxa"/>
          </w:tcPr>
          <w:p w14:paraId="6B3EC49B" w14:textId="77777777" w:rsidR="00DF0694" w:rsidRPr="00896C6F" w:rsidRDefault="00DF0694" w:rsidP="00DF0694">
            <w:pP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Partnership between the private and public sectors to build a real estate project on land controlled by the public sector. For example, the public sector agency</w:t>
            </w:r>
            <w:r w:rsidRPr="00896C6F">
              <w:rPr>
                <w:spacing w:val="-4"/>
                <w:sz w:val="18"/>
                <w:szCs w:val="18"/>
              </w:rPr>
              <w:t xml:space="preserve"> </w:t>
            </w:r>
            <w:r w:rsidRPr="00896C6F">
              <w:rPr>
                <w:sz w:val="18"/>
                <w:szCs w:val="18"/>
              </w:rPr>
              <w:t>captures</w:t>
            </w:r>
            <w:r w:rsidRPr="00896C6F">
              <w:rPr>
                <w:spacing w:val="-4"/>
                <w:sz w:val="18"/>
                <w:szCs w:val="18"/>
              </w:rPr>
              <w:t xml:space="preserve"> </w:t>
            </w:r>
            <w:r w:rsidRPr="00896C6F">
              <w:rPr>
                <w:sz w:val="18"/>
                <w:szCs w:val="18"/>
              </w:rPr>
              <w:t>value</w:t>
            </w:r>
            <w:r w:rsidRPr="00896C6F">
              <w:rPr>
                <w:spacing w:val="-4"/>
                <w:sz w:val="18"/>
                <w:szCs w:val="18"/>
              </w:rPr>
              <w:t xml:space="preserve"> </w:t>
            </w:r>
            <w:r w:rsidRPr="00896C6F">
              <w:rPr>
                <w:sz w:val="18"/>
                <w:szCs w:val="18"/>
              </w:rPr>
              <w:t>by</w:t>
            </w:r>
            <w:r w:rsidRPr="00896C6F">
              <w:rPr>
                <w:spacing w:val="-4"/>
                <w:sz w:val="18"/>
                <w:szCs w:val="18"/>
              </w:rPr>
              <w:t xml:space="preserve"> </w:t>
            </w:r>
            <w:r w:rsidRPr="00896C6F">
              <w:rPr>
                <w:sz w:val="18"/>
                <w:szCs w:val="18"/>
              </w:rPr>
              <w:t>requiring</w:t>
            </w:r>
            <w:r w:rsidRPr="00896C6F">
              <w:rPr>
                <w:spacing w:val="-4"/>
                <w:sz w:val="18"/>
                <w:szCs w:val="18"/>
              </w:rPr>
              <w:t xml:space="preserve"> the </w:t>
            </w:r>
            <w:r w:rsidRPr="00896C6F">
              <w:rPr>
                <w:sz w:val="18"/>
                <w:szCs w:val="18"/>
              </w:rPr>
              <w:t>private</w:t>
            </w:r>
            <w:r w:rsidRPr="00896C6F">
              <w:rPr>
                <w:spacing w:val="-4"/>
                <w:sz w:val="18"/>
                <w:szCs w:val="18"/>
              </w:rPr>
              <w:t xml:space="preserve"> </w:t>
            </w:r>
            <w:r w:rsidRPr="00896C6F">
              <w:rPr>
                <w:sz w:val="18"/>
                <w:szCs w:val="18"/>
              </w:rPr>
              <w:t>development</w:t>
            </w:r>
            <w:r w:rsidRPr="00896C6F">
              <w:rPr>
                <w:spacing w:val="-4"/>
                <w:sz w:val="18"/>
                <w:szCs w:val="18"/>
              </w:rPr>
              <w:t xml:space="preserve"> </w:t>
            </w:r>
            <w:r w:rsidRPr="00896C6F">
              <w:rPr>
                <w:sz w:val="18"/>
                <w:szCs w:val="18"/>
              </w:rPr>
              <w:t>partner</w:t>
            </w:r>
            <w:r w:rsidRPr="00896C6F">
              <w:rPr>
                <w:spacing w:val="-4"/>
                <w:sz w:val="18"/>
                <w:szCs w:val="18"/>
              </w:rPr>
              <w:t xml:space="preserve"> </w:t>
            </w:r>
            <w:r w:rsidRPr="00896C6F">
              <w:rPr>
                <w:sz w:val="18"/>
                <w:szCs w:val="18"/>
              </w:rPr>
              <w:t>to build a portion of the station amenity as part of their project, thereby reducing capital</w:t>
            </w:r>
            <w:r w:rsidRPr="00896C6F">
              <w:rPr>
                <w:spacing w:val="-25"/>
                <w:sz w:val="18"/>
                <w:szCs w:val="18"/>
              </w:rPr>
              <w:t xml:space="preserve"> </w:t>
            </w:r>
            <w:r w:rsidRPr="00896C6F">
              <w:rPr>
                <w:sz w:val="18"/>
                <w:szCs w:val="18"/>
              </w:rPr>
              <w:t>costs.</w:t>
            </w:r>
          </w:p>
        </w:tc>
      </w:tr>
      <w:tr w:rsidR="00DF0694" w:rsidRPr="00896C6F" w14:paraId="66B142FB" w14:textId="77777777" w:rsidTr="00896C6F">
        <w:tc>
          <w:tcPr>
            <w:cnfStyle w:val="001000000000" w:firstRow="0" w:lastRow="0" w:firstColumn="1" w:lastColumn="0" w:oddVBand="0" w:evenVBand="0" w:oddHBand="0" w:evenHBand="0" w:firstRowFirstColumn="0" w:firstRowLastColumn="0" w:lastRowFirstColumn="0" w:lastRowLastColumn="0"/>
            <w:tcW w:w="2410" w:type="dxa"/>
          </w:tcPr>
          <w:p w14:paraId="1F0C8779" w14:textId="77777777" w:rsidR="00DF0694" w:rsidRPr="00896C6F" w:rsidRDefault="00DF0694" w:rsidP="00DF0694">
            <w:pPr>
              <w:rPr>
                <w:sz w:val="18"/>
                <w:szCs w:val="18"/>
              </w:rPr>
            </w:pPr>
            <w:r w:rsidRPr="00896C6F">
              <w:rPr>
                <w:sz w:val="18"/>
                <w:szCs w:val="18"/>
              </w:rPr>
              <w:t xml:space="preserve">Leasing Of Commercial Space </w:t>
            </w:r>
          </w:p>
        </w:tc>
        <w:tc>
          <w:tcPr>
            <w:tcW w:w="6300" w:type="dxa"/>
          </w:tcPr>
          <w:p w14:paraId="3EB5FCD5" w14:textId="77777777" w:rsidR="00DF0694" w:rsidRPr="00896C6F" w:rsidRDefault="00DF0694" w:rsidP="00DF0694">
            <w:pPr>
              <w:pStyle w:val="BodyText"/>
              <w:spacing w:line="240" w:lineRule="exact"/>
              <w:ind w:left="0" w:right="51"/>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96C6F">
              <w:rPr>
                <w:rFonts w:asciiTheme="minorHAnsi" w:hAnsiTheme="minorHAnsi"/>
                <w:sz w:val="18"/>
                <w:szCs w:val="18"/>
              </w:rPr>
              <w:t>The government develops and</w:t>
            </w:r>
            <w:r w:rsidRPr="00896C6F">
              <w:rPr>
                <w:rFonts w:asciiTheme="minorHAnsi" w:hAnsiTheme="minorHAnsi"/>
                <w:spacing w:val="-18"/>
                <w:sz w:val="18"/>
                <w:szCs w:val="18"/>
              </w:rPr>
              <w:t xml:space="preserve"> </w:t>
            </w:r>
            <w:r w:rsidRPr="00896C6F">
              <w:rPr>
                <w:rFonts w:asciiTheme="minorHAnsi" w:hAnsiTheme="minorHAnsi"/>
                <w:sz w:val="18"/>
                <w:szCs w:val="18"/>
              </w:rPr>
              <w:t>retains ownership of commercial space in and around stations, and leases it out to businesses at market</w:t>
            </w:r>
            <w:r w:rsidRPr="00896C6F">
              <w:rPr>
                <w:rFonts w:asciiTheme="minorHAnsi" w:hAnsiTheme="minorHAnsi"/>
                <w:spacing w:val="-24"/>
                <w:sz w:val="18"/>
                <w:szCs w:val="18"/>
              </w:rPr>
              <w:t xml:space="preserve"> </w:t>
            </w:r>
            <w:r w:rsidRPr="00896C6F">
              <w:rPr>
                <w:rFonts w:asciiTheme="minorHAnsi" w:hAnsiTheme="minorHAnsi"/>
                <w:sz w:val="18"/>
                <w:szCs w:val="18"/>
              </w:rPr>
              <w:t>prices.</w:t>
            </w:r>
          </w:p>
        </w:tc>
      </w:tr>
      <w:tr w:rsidR="00DF0694" w:rsidRPr="00896C6F" w14:paraId="7D9C0B2A"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9637B97" w14:textId="77777777" w:rsidR="00DF0694" w:rsidRPr="00896C6F" w:rsidRDefault="00DF0694" w:rsidP="00DF0694">
            <w:pPr>
              <w:rPr>
                <w:sz w:val="18"/>
                <w:szCs w:val="18"/>
              </w:rPr>
            </w:pPr>
            <w:r w:rsidRPr="00896C6F">
              <w:rPr>
                <w:sz w:val="18"/>
                <w:szCs w:val="18"/>
              </w:rPr>
              <w:t>Transit Company Business Diversification</w:t>
            </w:r>
          </w:p>
        </w:tc>
        <w:tc>
          <w:tcPr>
            <w:tcW w:w="6300" w:type="dxa"/>
          </w:tcPr>
          <w:p w14:paraId="3889129E" w14:textId="77777777" w:rsidR="00DF0694" w:rsidRPr="00896C6F" w:rsidRDefault="00DF0694" w:rsidP="00DF0694">
            <w:pPr>
              <w:pStyle w:val="BodyText"/>
              <w:spacing w:line="240" w:lineRule="exact"/>
              <w:ind w:left="0" w:right="51"/>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96C6F">
              <w:rPr>
                <w:rFonts w:asciiTheme="minorHAnsi" w:hAnsiTheme="minorHAnsi"/>
                <w:sz w:val="18"/>
                <w:szCs w:val="18"/>
              </w:rPr>
              <w:t>The public transport</w:t>
            </w:r>
            <w:r w:rsidRPr="00896C6F">
              <w:rPr>
                <w:rFonts w:asciiTheme="minorHAnsi" w:hAnsiTheme="minorHAnsi"/>
                <w:spacing w:val="-6"/>
                <w:sz w:val="18"/>
                <w:szCs w:val="18"/>
              </w:rPr>
              <w:t xml:space="preserve"> </w:t>
            </w:r>
            <w:r w:rsidRPr="00896C6F">
              <w:rPr>
                <w:rFonts w:asciiTheme="minorHAnsi" w:hAnsiTheme="minorHAnsi"/>
                <w:sz w:val="18"/>
                <w:szCs w:val="18"/>
              </w:rPr>
              <w:t>company</w:t>
            </w:r>
            <w:r w:rsidRPr="00896C6F">
              <w:rPr>
                <w:rFonts w:asciiTheme="minorHAnsi" w:hAnsiTheme="minorHAnsi"/>
                <w:spacing w:val="-6"/>
                <w:sz w:val="18"/>
                <w:szCs w:val="18"/>
              </w:rPr>
              <w:t xml:space="preserve"> </w:t>
            </w:r>
            <w:r w:rsidRPr="00896C6F">
              <w:rPr>
                <w:rFonts w:asciiTheme="minorHAnsi" w:hAnsiTheme="minorHAnsi"/>
                <w:sz w:val="18"/>
                <w:szCs w:val="18"/>
              </w:rPr>
              <w:t>diversifies</w:t>
            </w:r>
            <w:r w:rsidRPr="00896C6F">
              <w:rPr>
                <w:rFonts w:asciiTheme="minorHAnsi" w:hAnsiTheme="minorHAnsi"/>
                <w:spacing w:val="-6"/>
                <w:sz w:val="18"/>
                <w:szCs w:val="18"/>
              </w:rPr>
              <w:t xml:space="preserve"> </w:t>
            </w:r>
            <w:r w:rsidRPr="00896C6F">
              <w:rPr>
                <w:rFonts w:asciiTheme="minorHAnsi" w:hAnsiTheme="minorHAnsi"/>
                <w:sz w:val="18"/>
                <w:szCs w:val="18"/>
              </w:rPr>
              <w:t>its</w:t>
            </w:r>
            <w:r w:rsidRPr="00896C6F">
              <w:rPr>
                <w:rFonts w:asciiTheme="minorHAnsi" w:hAnsiTheme="minorHAnsi"/>
                <w:spacing w:val="-6"/>
                <w:sz w:val="18"/>
                <w:szCs w:val="18"/>
              </w:rPr>
              <w:t xml:space="preserve"> </w:t>
            </w:r>
            <w:r w:rsidRPr="00896C6F">
              <w:rPr>
                <w:rFonts w:asciiTheme="minorHAnsi" w:hAnsiTheme="minorHAnsi"/>
                <w:sz w:val="18"/>
                <w:szCs w:val="18"/>
              </w:rPr>
              <w:t>business</w:t>
            </w:r>
            <w:r w:rsidRPr="00896C6F">
              <w:rPr>
                <w:rFonts w:asciiTheme="minorHAnsi" w:hAnsiTheme="minorHAnsi"/>
                <w:spacing w:val="-6"/>
                <w:sz w:val="18"/>
                <w:szCs w:val="18"/>
              </w:rPr>
              <w:t xml:space="preserve"> </w:t>
            </w:r>
            <w:r w:rsidRPr="00896C6F">
              <w:rPr>
                <w:rFonts w:asciiTheme="minorHAnsi" w:hAnsiTheme="minorHAnsi"/>
                <w:sz w:val="18"/>
                <w:szCs w:val="18"/>
              </w:rPr>
              <w:t>to</w:t>
            </w:r>
            <w:r w:rsidRPr="00896C6F">
              <w:rPr>
                <w:rFonts w:asciiTheme="minorHAnsi" w:hAnsiTheme="minorHAnsi"/>
                <w:spacing w:val="-6"/>
                <w:sz w:val="18"/>
                <w:szCs w:val="18"/>
              </w:rPr>
              <w:t xml:space="preserve"> </w:t>
            </w:r>
            <w:r w:rsidRPr="00896C6F">
              <w:rPr>
                <w:rFonts w:asciiTheme="minorHAnsi" w:hAnsiTheme="minorHAnsi"/>
                <w:sz w:val="18"/>
                <w:szCs w:val="18"/>
              </w:rPr>
              <w:t>include</w:t>
            </w:r>
            <w:r w:rsidRPr="00896C6F">
              <w:rPr>
                <w:rFonts w:asciiTheme="minorHAnsi" w:hAnsiTheme="minorHAnsi"/>
                <w:spacing w:val="-6"/>
                <w:sz w:val="18"/>
                <w:szCs w:val="18"/>
              </w:rPr>
              <w:t xml:space="preserve"> </w:t>
            </w:r>
            <w:r w:rsidRPr="00896C6F">
              <w:rPr>
                <w:rFonts w:asciiTheme="minorHAnsi" w:hAnsiTheme="minorHAnsi"/>
                <w:sz w:val="18"/>
                <w:szCs w:val="18"/>
              </w:rPr>
              <w:t>real</w:t>
            </w:r>
            <w:r w:rsidRPr="00896C6F">
              <w:rPr>
                <w:rFonts w:asciiTheme="minorHAnsi" w:hAnsiTheme="minorHAnsi"/>
                <w:spacing w:val="-6"/>
                <w:sz w:val="18"/>
                <w:szCs w:val="18"/>
              </w:rPr>
              <w:t xml:space="preserve"> </w:t>
            </w:r>
            <w:r w:rsidRPr="00896C6F">
              <w:rPr>
                <w:rFonts w:asciiTheme="minorHAnsi" w:hAnsiTheme="minorHAnsi"/>
                <w:sz w:val="18"/>
                <w:szCs w:val="18"/>
              </w:rPr>
              <w:t>estate and</w:t>
            </w:r>
            <w:r w:rsidRPr="00896C6F">
              <w:rPr>
                <w:rFonts w:asciiTheme="minorHAnsi" w:hAnsiTheme="minorHAnsi"/>
                <w:spacing w:val="-8"/>
                <w:sz w:val="18"/>
                <w:szCs w:val="18"/>
              </w:rPr>
              <w:t xml:space="preserve"> </w:t>
            </w:r>
            <w:r w:rsidRPr="00896C6F">
              <w:rPr>
                <w:rFonts w:asciiTheme="minorHAnsi" w:hAnsiTheme="minorHAnsi"/>
                <w:sz w:val="18"/>
                <w:szCs w:val="18"/>
              </w:rPr>
              <w:t>other</w:t>
            </w:r>
            <w:r w:rsidRPr="00896C6F">
              <w:rPr>
                <w:rFonts w:asciiTheme="minorHAnsi" w:hAnsiTheme="minorHAnsi"/>
                <w:spacing w:val="-8"/>
                <w:sz w:val="18"/>
                <w:szCs w:val="18"/>
              </w:rPr>
              <w:t xml:space="preserve"> </w:t>
            </w:r>
            <w:r w:rsidRPr="00896C6F">
              <w:rPr>
                <w:rFonts w:asciiTheme="minorHAnsi" w:hAnsiTheme="minorHAnsi"/>
                <w:sz w:val="18"/>
                <w:szCs w:val="18"/>
              </w:rPr>
              <w:t>station-area</w:t>
            </w:r>
            <w:r w:rsidRPr="00896C6F">
              <w:rPr>
                <w:rFonts w:asciiTheme="minorHAnsi" w:hAnsiTheme="minorHAnsi"/>
                <w:spacing w:val="-8"/>
                <w:sz w:val="18"/>
                <w:szCs w:val="18"/>
              </w:rPr>
              <w:t xml:space="preserve"> </w:t>
            </w:r>
            <w:r w:rsidRPr="00896C6F">
              <w:rPr>
                <w:rFonts w:asciiTheme="minorHAnsi" w:hAnsiTheme="minorHAnsi"/>
                <w:sz w:val="18"/>
                <w:szCs w:val="18"/>
              </w:rPr>
              <w:t>commercial</w:t>
            </w:r>
            <w:r w:rsidRPr="00896C6F">
              <w:rPr>
                <w:rFonts w:asciiTheme="minorHAnsi" w:hAnsiTheme="minorHAnsi"/>
                <w:spacing w:val="-8"/>
                <w:sz w:val="18"/>
                <w:szCs w:val="18"/>
              </w:rPr>
              <w:t xml:space="preserve"> </w:t>
            </w:r>
            <w:r w:rsidRPr="00896C6F">
              <w:rPr>
                <w:rFonts w:asciiTheme="minorHAnsi" w:hAnsiTheme="minorHAnsi"/>
                <w:sz w:val="18"/>
                <w:szCs w:val="18"/>
              </w:rPr>
              <w:t>businesses as a core function.</w:t>
            </w:r>
            <w:r w:rsidR="007B30B0" w:rsidRPr="00896C6F">
              <w:rPr>
                <w:rFonts w:asciiTheme="minorHAnsi" w:hAnsiTheme="minorHAnsi"/>
                <w:sz w:val="18"/>
                <w:szCs w:val="18"/>
              </w:rPr>
              <w:t xml:space="preserve"> </w:t>
            </w:r>
          </w:p>
        </w:tc>
      </w:tr>
      <w:tr w:rsidR="00DF0694" w:rsidRPr="00896C6F" w14:paraId="3DD5B93D" w14:textId="77777777" w:rsidTr="00896C6F">
        <w:tc>
          <w:tcPr>
            <w:cnfStyle w:val="001000000000" w:firstRow="0" w:lastRow="0" w:firstColumn="1" w:lastColumn="0" w:oddVBand="0" w:evenVBand="0" w:oddHBand="0" w:evenHBand="0" w:firstRowFirstColumn="0" w:firstRowLastColumn="0" w:lastRowFirstColumn="0" w:lastRowLastColumn="0"/>
            <w:tcW w:w="2410" w:type="dxa"/>
          </w:tcPr>
          <w:p w14:paraId="66654D4E" w14:textId="77777777" w:rsidR="00DF0694" w:rsidRPr="00896C6F" w:rsidRDefault="00DF0694" w:rsidP="00DF0694">
            <w:pPr>
              <w:rPr>
                <w:sz w:val="18"/>
                <w:szCs w:val="18"/>
              </w:rPr>
            </w:pPr>
            <w:r w:rsidRPr="00896C6F">
              <w:rPr>
                <w:sz w:val="18"/>
                <w:szCs w:val="18"/>
              </w:rPr>
              <w:t>Income</w:t>
            </w:r>
            <w:r w:rsidRPr="00896C6F">
              <w:rPr>
                <w:spacing w:val="-4"/>
                <w:sz w:val="18"/>
                <w:szCs w:val="18"/>
              </w:rPr>
              <w:t xml:space="preserve"> </w:t>
            </w:r>
            <w:r w:rsidRPr="00896C6F">
              <w:rPr>
                <w:sz w:val="18"/>
                <w:szCs w:val="18"/>
              </w:rPr>
              <w:t>Or</w:t>
            </w:r>
            <w:r w:rsidRPr="00896C6F">
              <w:rPr>
                <w:spacing w:val="-4"/>
                <w:sz w:val="18"/>
                <w:szCs w:val="18"/>
              </w:rPr>
              <w:t xml:space="preserve"> </w:t>
            </w:r>
            <w:r w:rsidRPr="00896C6F">
              <w:rPr>
                <w:sz w:val="18"/>
                <w:szCs w:val="18"/>
              </w:rPr>
              <w:t>Payroll-Based</w:t>
            </w:r>
            <w:r w:rsidRPr="00896C6F">
              <w:rPr>
                <w:spacing w:val="-13"/>
                <w:sz w:val="18"/>
                <w:szCs w:val="18"/>
              </w:rPr>
              <w:t xml:space="preserve"> </w:t>
            </w:r>
            <w:r w:rsidRPr="00896C6F">
              <w:rPr>
                <w:spacing w:val="-4"/>
                <w:sz w:val="18"/>
                <w:szCs w:val="18"/>
              </w:rPr>
              <w:t>Tax</w:t>
            </w:r>
          </w:p>
        </w:tc>
        <w:tc>
          <w:tcPr>
            <w:tcW w:w="6300" w:type="dxa"/>
          </w:tcPr>
          <w:p w14:paraId="57539DB3" w14:textId="77777777" w:rsidR="00DF0694" w:rsidRPr="00896C6F" w:rsidRDefault="00DF0694" w:rsidP="00DF0694">
            <w:pPr>
              <w:pStyle w:val="BodyText"/>
              <w:spacing w:line="240" w:lineRule="exact"/>
              <w:ind w:left="0" w:right="51"/>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96C6F">
              <w:rPr>
                <w:rFonts w:asciiTheme="minorHAnsi" w:hAnsiTheme="minorHAnsi"/>
                <w:sz w:val="18"/>
                <w:szCs w:val="18"/>
              </w:rPr>
              <w:t>Income</w:t>
            </w:r>
            <w:r w:rsidRPr="00896C6F">
              <w:rPr>
                <w:rFonts w:asciiTheme="minorHAnsi" w:hAnsiTheme="minorHAnsi"/>
                <w:spacing w:val="-4"/>
                <w:sz w:val="18"/>
                <w:szCs w:val="18"/>
              </w:rPr>
              <w:t xml:space="preserve"> </w:t>
            </w:r>
            <w:r w:rsidRPr="00896C6F">
              <w:rPr>
                <w:rFonts w:asciiTheme="minorHAnsi" w:hAnsiTheme="minorHAnsi"/>
                <w:sz w:val="18"/>
                <w:szCs w:val="18"/>
              </w:rPr>
              <w:t>earners</w:t>
            </w:r>
            <w:r w:rsidRPr="00896C6F">
              <w:rPr>
                <w:rFonts w:asciiTheme="minorHAnsi" w:hAnsiTheme="minorHAnsi"/>
                <w:spacing w:val="-4"/>
                <w:sz w:val="18"/>
                <w:szCs w:val="18"/>
              </w:rPr>
              <w:t xml:space="preserve"> </w:t>
            </w:r>
            <w:r w:rsidRPr="00896C6F">
              <w:rPr>
                <w:rFonts w:asciiTheme="minorHAnsi" w:hAnsiTheme="minorHAnsi"/>
                <w:sz w:val="18"/>
                <w:szCs w:val="18"/>
              </w:rPr>
              <w:t>or</w:t>
            </w:r>
            <w:r w:rsidRPr="00896C6F">
              <w:rPr>
                <w:rFonts w:asciiTheme="minorHAnsi" w:hAnsiTheme="minorHAnsi"/>
                <w:spacing w:val="-4"/>
                <w:sz w:val="18"/>
                <w:szCs w:val="18"/>
              </w:rPr>
              <w:t xml:space="preserve"> </w:t>
            </w:r>
            <w:r w:rsidRPr="00896C6F">
              <w:rPr>
                <w:rFonts w:asciiTheme="minorHAnsi" w:hAnsiTheme="minorHAnsi"/>
                <w:sz w:val="18"/>
                <w:szCs w:val="18"/>
              </w:rPr>
              <w:t>employers</w:t>
            </w:r>
            <w:r w:rsidRPr="00896C6F">
              <w:rPr>
                <w:rFonts w:asciiTheme="minorHAnsi" w:hAnsiTheme="minorHAnsi"/>
                <w:spacing w:val="-4"/>
                <w:sz w:val="18"/>
                <w:szCs w:val="18"/>
              </w:rPr>
              <w:t xml:space="preserve"> </w:t>
            </w:r>
            <w:r w:rsidRPr="00896C6F">
              <w:rPr>
                <w:rFonts w:asciiTheme="minorHAnsi" w:hAnsiTheme="minorHAnsi"/>
                <w:sz w:val="18"/>
                <w:szCs w:val="18"/>
              </w:rPr>
              <w:t>in the</w:t>
            </w:r>
            <w:r w:rsidRPr="00896C6F">
              <w:rPr>
                <w:rFonts w:asciiTheme="minorHAnsi" w:hAnsiTheme="minorHAnsi"/>
                <w:spacing w:val="-4"/>
                <w:sz w:val="18"/>
                <w:szCs w:val="18"/>
              </w:rPr>
              <w:t xml:space="preserve"> </w:t>
            </w:r>
            <w:r w:rsidRPr="00896C6F">
              <w:rPr>
                <w:rFonts w:asciiTheme="minorHAnsi" w:hAnsiTheme="minorHAnsi"/>
                <w:sz w:val="18"/>
                <w:szCs w:val="18"/>
              </w:rPr>
              <w:t>region</w:t>
            </w:r>
            <w:r w:rsidRPr="00896C6F">
              <w:rPr>
                <w:rFonts w:asciiTheme="minorHAnsi" w:hAnsiTheme="minorHAnsi"/>
                <w:spacing w:val="-4"/>
                <w:sz w:val="18"/>
                <w:szCs w:val="18"/>
              </w:rPr>
              <w:t xml:space="preserve"> </w:t>
            </w:r>
            <w:r w:rsidRPr="00896C6F">
              <w:rPr>
                <w:rFonts w:asciiTheme="minorHAnsi" w:hAnsiTheme="minorHAnsi"/>
                <w:sz w:val="18"/>
                <w:szCs w:val="18"/>
              </w:rPr>
              <w:t>served</w:t>
            </w:r>
            <w:r w:rsidRPr="00896C6F">
              <w:rPr>
                <w:rFonts w:asciiTheme="minorHAnsi" w:hAnsiTheme="minorHAnsi"/>
                <w:spacing w:val="-4"/>
                <w:sz w:val="18"/>
                <w:szCs w:val="18"/>
              </w:rPr>
              <w:t xml:space="preserve"> </w:t>
            </w:r>
            <w:r w:rsidRPr="00896C6F">
              <w:rPr>
                <w:rFonts w:asciiTheme="minorHAnsi" w:hAnsiTheme="minorHAnsi"/>
                <w:sz w:val="18"/>
                <w:szCs w:val="18"/>
              </w:rPr>
              <w:t>by</w:t>
            </w:r>
            <w:r w:rsidRPr="00896C6F">
              <w:rPr>
                <w:rFonts w:asciiTheme="minorHAnsi" w:hAnsiTheme="minorHAnsi"/>
                <w:spacing w:val="-4"/>
                <w:sz w:val="18"/>
                <w:szCs w:val="18"/>
              </w:rPr>
              <w:t xml:space="preserve"> </w:t>
            </w:r>
            <w:r w:rsidRPr="00896C6F">
              <w:rPr>
                <w:rFonts w:asciiTheme="minorHAnsi" w:hAnsiTheme="minorHAnsi"/>
                <w:sz w:val="18"/>
                <w:szCs w:val="18"/>
              </w:rPr>
              <w:t>the</w:t>
            </w:r>
            <w:r w:rsidRPr="00896C6F">
              <w:rPr>
                <w:rFonts w:asciiTheme="minorHAnsi" w:hAnsiTheme="minorHAnsi"/>
                <w:spacing w:val="-4"/>
                <w:sz w:val="18"/>
                <w:szCs w:val="18"/>
              </w:rPr>
              <w:t xml:space="preserve"> </w:t>
            </w:r>
            <w:r w:rsidRPr="00896C6F">
              <w:rPr>
                <w:rFonts w:asciiTheme="minorHAnsi" w:hAnsiTheme="minorHAnsi"/>
                <w:sz w:val="18"/>
                <w:szCs w:val="18"/>
              </w:rPr>
              <w:t>transit</w:t>
            </w:r>
            <w:r w:rsidRPr="00896C6F">
              <w:rPr>
                <w:rFonts w:asciiTheme="minorHAnsi" w:hAnsiTheme="minorHAnsi"/>
                <w:spacing w:val="-4"/>
                <w:sz w:val="18"/>
                <w:szCs w:val="18"/>
              </w:rPr>
              <w:t xml:space="preserve"> </w:t>
            </w:r>
            <w:r w:rsidRPr="00896C6F">
              <w:rPr>
                <w:rFonts w:asciiTheme="minorHAnsi" w:hAnsiTheme="minorHAnsi"/>
                <w:sz w:val="18"/>
                <w:szCs w:val="18"/>
              </w:rPr>
              <w:t>system</w:t>
            </w:r>
            <w:r w:rsidRPr="00896C6F">
              <w:rPr>
                <w:rFonts w:asciiTheme="minorHAnsi" w:hAnsiTheme="minorHAnsi"/>
                <w:spacing w:val="-4"/>
                <w:sz w:val="18"/>
                <w:szCs w:val="18"/>
              </w:rPr>
              <w:t xml:space="preserve"> </w:t>
            </w:r>
            <w:r w:rsidRPr="00896C6F">
              <w:rPr>
                <w:rFonts w:asciiTheme="minorHAnsi" w:hAnsiTheme="minorHAnsi"/>
                <w:sz w:val="18"/>
                <w:szCs w:val="18"/>
              </w:rPr>
              <w:t>pay</w:t>
            </w:r>
            <w:r w:rsidRPr="00896C6F">
              <w:rPr>
                <w:rFonts w:asciiTheme="minorHAnsi" w:hAnsiTheme="minorHAnsi"/>
                <w:spacing w:val="-4"/>
                <w:sz w:val="18"/>
                <w:szCs w:val="18"/>
              </w:rPr>
              <w:t xml:space="preserve"> </w:t>
            </w:r>
            <w:r w:rsidRPr="00896C6F">
              <w:rPr>
                <w:rFonts w:asciiTheme="minorHAnsi" w:hAnsiTheme="minorHAnsi"/>
                <w:sz w:val="18"/>
                <w:szCs w:val="18"/>
              </w:rPr>
              <w:t>an</w:t>
            </w:r>
            <w:r w:rsidRPr="00896C6F">
              <w:rPr>
                <w:rFonts w:asciiTheme="minorHAnsi" w:hAnsiTheme="minorHAnsi"/>
                <w:spacing w:val="-4"/>
                <w:sz w:val="18"/>
                <w:szCs w:val="18"/>
              </w:rPr>
              <w:t xml:space="preserve"> </w:t>
            </w:r>
            <w:r w:rsidRPr="00896C6F">
              <w:rPr>
                <w:rFonts w:asciiTheme="minorHAnsi" w:hAnsiTheme="minorHAnsi"/>
                <w:sz w:val="18"/>
                <w:szCs w:val="18"/>
              </w:rPr>
              <w:t>extra</w:t>
            </w:r>
            <w:r w:rsidRPr="00896C6F">
              <w:rPr>
                <w:rFonts w:asciiTheme="minorHAnsi" w:hAnsiTheme="minorHAnsi"/>
                <w:spacing w:val="-4"/>
                <w:sz w:val="18"/>
                <w:szCs w:val="18"/>
              </w:rPr>
              <w:t xml:space="preserve"> </w:t>
            </w:r>
            <w:r w:rsidRPr="00896C6F">
              <w:rPr>
                <w:rFonts w:asciiTheme="minorHAnsi" w:hAnsiTheme="minorHAnsi"/>
                <w:sz w:val="18"/>
                <w:szCs w:val="18"/>
              </w:rPr>
              <w:t>increment</w:t>
            </w:r>
            <w:r w:rsidRPr="00896C6F">
              <w:rPr>
                <w:rFonts w:asciiTheme="minorHAnsi" w:hAnsiTheme="minorHAnsi"/>
                <w:spacing w:val="-4"/>
                <w:sz w:val="18"/>
                <w:szCs w:val="18"/>
              </w:rPr>
              <w:t xml:space="preserve"> </w:t>
            </w:r>
            <w:r w:rsidRPr="00896C6F">
              <w:rPr>
                <w:rFonts w:asciiTheme="minorHAnsi" w:hAnsiTheme="minorHAnsi"/>
                <w:sz w:val="18"/>
                <w:szCs w:val="18"/>
              </w:rPr>
              <w:t>of income or payroll tax that goes to government to pay back some of the cost of new public transport infrastructure.</w:t>
            </w:r>
          </w:p>
        </w:tc>
      </w:tr>
      <w:tr w:rsidR="00DF0694" w:rsidRPr="00896C6F" w14:paraId="63D3520F"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303180" w14:textId="77777777" w:rsidR="00DF0694" w:rsidRPr="00896C6F" w:rsidRDefault="00DF0694" w:rsidP="00DF0694">
            <w:pPr>
              <w:rPr>
                <w:sz w:val="18"/>
                <w:szCs w:val="18"/>
              </w:rPr>
            </w:pPr>
            <w:r w:rsidRPr="00896C6F">
              <w:rPr>
                <w:sz w:val="18"/>
                <w:szCs w:val="18"/>
              </w:rPr>
              <w:t>Transit-Focused</w:t>
            </w:r>
            <w:r w:rsidRPr="00896C6F">
              <w:rPr>
                <w:spacing w:val="-9"/>
                <w:sz w:val="18"/>
                <w:szCs w:val="18"/>
              </w:rPr>
              <w:t xml:space="preserve"> </w:t>
            </w:r>
            <w:r w:rsidRPr="00896C6F">
              <w:rPr>
                <w:sz w:val="18"/>
                <w:szCs w:val="18"/>
              </w:rPr>
              <w:t>Development</w:t>
            </w:r>
            <w:r w:rsidRPr="00896C6F">
              <w:rPr>
                <w:spacing w:val="-9"/>
                <w:sz w:val="18"/>
                <w:szCs w:val="18"/>
              </w:rPr>
              <w:t xml:space="preserve"> </w:t>
            </w:r>
            <w:r w:rsidRPr="00896C6F">
              <w:rPr>
                <w:sz w:val="18"/>
                <w:szCs w:val="18"/>
              </w:rPr>
              <w:t>Fees</w:t>
            </w:r>
          </w:p>
        </w:tc>
        <w:tc>
          <w:tcPr>
            <w:tcW w:w="6300" w:type="dxa"/>
          </w:tcPr>
          <w:p w14:paraId="12E7DB43" w14:textId="77777777" w:rsidR="00DF0694" w:rsidRPr="00896C6F" w:rsidRDefault="00DF0694" w:rsidP="00DF0694">
            <w:pPr>
              <w:pStyle w:val="BodyText"/>
              <w:spacing w:line="240" w:lineRule="exact"/>
              <w:ind w:left="0" w:right="51"/>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96C6F">
              <w:rPr>
                <w:rFonts w:asciiTheme="minorHAnsi" w:hAnsiTheme="minorHAnsi"/>
                <w:sz w:val="18"/>
                <w:szCs w:val="18"/>
              </w:rPr>
              <w:t>Developers</w:t>
            </w:r>
            <w:r w:rsidRPr="00896C6F">
              <w:rPr>
                <w:rFonts w:asciiTheme="minorHAnsi" w:hAnsiTheme="minorHAnsi"/>
                <w:spacing w:val="-8"/>
                <w:sz w:val="18"/>
                <w:szCs w:val="18"/>
              </w:rPr>
              <w:t xml:space="preserve"> </w:t>
            </w:r>
            <w:r w:rsidRPr="00896C6F">
              <w:rPr>
                <w:rFonts w:asciiTheme="minorHAnsi" w:hAnsiTheme="minorHAnsi"/>
                <w:sz w:val="18"/>
                <w:szCs w:val="18"/>
              </w:rPr>
              <w:t>working</w:t>
            </w:r>
            <w:r w:rsidRPr="00896C6F">
              <w:rPr>
                <w:rFonts w:asciiTheme="minorHAnsi" w:hAnsiTheme="minorHAnsi"/>
                <w:spacing w:val="-8"/>
                <w:sz w:val="18"/>
                <w:szCs w:val="18"/>
              </w:rPr>
              <w:t xml:space="preserve"> </w:t>
            </w:r>
            <w:r w:rsidRPr="00896C6F">
              <w:rPr>
                <w:rFonts w:asciiTheme="minorHAnsi" w:hAnsiTheme="minorHAnsi"/>
                <w:sz w:val="18"/>
                <w:szCs w:val="18"/>
              </w:rPr>
              <w:t>in the vicinity of a public transport system pay extra fees for the privilege of increasing the scale of new real estate</w:t>
            </w:r>
            <w:r w:rsidRPr="00896C6F">
              <w:rPr>
                <w:rFonts w:asciiTheme="minorHAnsi" w:hAnsiTheme="minorHAnsi"/>
                <w:spacing w:val="-10"/>
                <w:sz w:val="18"/>
                <w:szCs w:val="18"/>
              </w:rPr>
              <w:t xml:space="preserve"> </w:t>
            </w:r>
            <w:r w:rsidRPr="00896C6F">
              <w:rPr>
                <w:rFonts w:asciiTheme="minorHAnsi" w:hAnsiTheme="minorHAnsi"/>
                <w:sz w:val="18"/>
                <w:szCs w:val="18"/>
              </w:rPr>
              <w:t>projects.</w:t>
            </w:r>
          </w:p>
        </w:tc>
      </w:tr>
      <w:tr w:rsidR="00DF0694" w:rsidRPr="00896C6F" w14:paraId="6071F1E0" w14:textId="77777777" w:rsidTr="00896C6F">
        <w:tc>
          <w:tcPr>
            <w:cnfStyle w:val="001000000000" w:firstRow="0" w:lastRow="0" w:firstColumn="1" w:lastColumn="0" w:oddVBand="0" w:evenVBand="0" w:oddHBand="0" w:evenHBand="0" w:firstRowFirstColumn="0" w:firstRowLastColumn="0" w:lastRowFirstColumn="0" w:lastRowLastColumn="0"/>
            <w:tcW w:w="2410" w:type="dxa"/>
          </w:tcPr>
          <w:p w14:paraId="3CFFF68C" w14:textId="77777777" w:rsidR="00DF0694" w:rsidRPr="00896C6F" w:rsidRDefault="00DF0694" w:rsidP="00DF0694">
            <w:pPr>
              <w:rPr>
                <w:sz w:val="18"/>
                <w:szCs w:val="18"/>
              </w:rPr>
            </w:pPr>
            <w:r w:rsidRPr="00896C6F">
              <w:rPr>
                <w:sz w:val="18"/>
                <w:szCs w:val="18"/>
              </w:rPr>
              <w:t>Special Assessment Districts</w:t>
            </w:r>
          </w:p>
        </w:tc>
        <w:tc>
          <w:tcPr>
            <w:tcW w:w="6300" w:type="dxa"/>
          </w:tcPr>
          <w:p w14:paraId="42A21E51" w14:textId="77777777" w:rsidR="00DF0694" w:rsidRPr="00896C6F" w:rsidRDefault="00DF0694" w:rsidP="00DF0694">
            <w:pPr>
              <w:pStyle w:val="BodyText"/>
              <w:spacing w:line="240" w:lineRule="exact"/>
              <w:ind w:left="0" w:right="51"/>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96C6F">
              <w:rPr>
                <w:rFonts w:asciiTheme="minorHAnsi" w:hAnsiTheme="minorHAnsi"/>
                <w:sz w:val="18"/>
                <w:szCs w:val="18"/>
              </w:rPr>
              <w:t>Districts benefiting from a public transport improvement may choose to self-</w:t>
            </w:r>
            <w:r w:rsidRPr="00896C6F">
              <w:rPr>
                <w:rFonts w:asciiTheme="minorHAnsi" w:hAnsiTheme="minorHAnsi"/>
                <w:sz w:val="18"/>
                <w:szCs w:val="18"/>
              </w:rPr>
              <w:lastRenderedPageBreak/>
              <w:t>impose an additional tax</w:t>
            </w:r>
            <w:r w:rsidRPr="00896C6F">
              <w:rPr>
                <w:rFonts w:asciiTheme="minorHAnsi" w:hAnsiTheme="minorHAnsi"/>
                <w:spacing w:val="-9"/>
                <w:sz w:val="18"/>
                <w:szCs w:val="18"/>
              </w:rPr>
              <w:t xml:space="preserve"> </w:t>
            </w:r>
            <w:r w:rsidRPr="00896C6F">
              <w:rPr>
                <w:rFonts w:asciiTheme="minorHAnsi" w:hAnsiTheme="minorHAnsi"/>
                <w:sz w:val="18"/>
                <w:szCs w:val="18"/>
              </w:rPr>
              <w:t>to</w:t>
            </w:r>
            <w:r w:rsidRPr="00896C6F">
              <w:rPr>
                <w:rFonts w:asciiTheme="minorHAnsi" w:hAnsiTheme="minorHAnsi"/>
                <w:spacing w:val="-9"/>
                <w:sz w:val="18"/>
                <w:szCs w:val="18"/>
              </w:rPr>
              <w:t xml:space="preserve"> </w:t>
            </w:r>
            <w:r w:rsidRPr="00896C6F">
              <w:rPr>
                <w:rFonts w:asciiTheme="minorHAnsi" w:hAnsiTheme="minorHAnsi"/>
                <w:sz w:val="18"/>
                <w:szCs w:val="18"/>
              </w:rPr>
              <w:t>help</w:t>
            </w:r>
            <w:r w:rsidRPr="00896C6F">
              <w:rPr>
                <w:rFonts w:asciiTheme="minorHAnsi" w:hAnsiTheme="minorHAnsi"/>
                <w:spacing w:val="-9"/>
                <w:sz w:val="18"/>
                <w:szCs w:val="18"/>
              </w:rPr>
              <w:t xml:space="preserve"> </w:t>
            </w:r>
            <w:r w:rsidRPr="00896C6F">
              <w:rPr>
                <w:rFonts w:asciiTheme="minorHAnsi" w:hAnsiTheme="minorHAnsi"/>
                <w:sz w:val="18"/>
                <w:szCs w:val="18"/>
              </w:rPr>
              <w:t>finance</w:t>
            </w:r>
            <w:r w:rsidRPr="00896C6F">
              <w:rPr>
                <w:rFonts w:asciiTheme="minorHAnsi" w:hAnsiTheme="minorHAnsi"/>
                <w:spacing w:val="-9"/>
                <w:sz w:val="18"/>
                <w:szCs w:val="18"/>
              </w:rPr>
              <w:t xml:space="preserve"> </w:t>
            </w:r>
            <w:r w:rsidRPr="00896C6F">
              <w:rPr>
                <w:rFonts w:asciiTheme="minorHAnsi" w:hAnsiTheme="minorHAnsi"/>
                <w:sz w:val="18"/>
                <w:szCs w:val="18"/>
              </w:rPr>
              <w:t>the</w:t>
            </w:r>
            <w:r w:rsidRPr="00896C6F">
              <w:rPr>
                <w:rFonts w:asciiTheme="minorHAnsi" w:hAnsiTheme="minorHAnsi"/>
                <w:spacing w:val="-9"/>
                <w:sz w:val="18"/>
                <w:szCs w:val="18"/>
              </w:rPr>
              <w:t xml:space="preserve"> </w:t>
            </w:r>
            <w:r w:rsidRPr="00896C6F">
              <w:rPr>
                <w:rFonts w:asciiTheme="minorHAnsi" w:hAnsiTheme="minorHAnsi"/>
                <w:sz w:val="18"/>
                <w:szCs w:val="18"/>
              </w:rPr>
              <w:t>improvement.</w:t>
            </w:r>
            <w:r w:rsidRPr="00896C6F">
              <w:rPr>
                <w:rFonts w:asciiTheme="minorHAnsi" w:hAnsiTheme="minorHAnsi"/>
                <w:spacing w:val="-9"/>
                <w:sz w:val="18"/>
                <w:szCs w:val="18"/>
              </w:rPr>
              <w:t xml:space="preserve"> </w:t>
            </w:r>
            <w:r w:rsidRPr="00896C6F">
              <w:rPr>
                <w:rFonts w:asciiTheme="minorHAnsi" w:hAnsiTheme="minorHAnsi"/>
                <w:sz w:val="18"/>
                <w:szCs w:val="18"/>
              </w:rPr>
              <w:t>These</w:t>
            </w:r>
            <w:r w:rsidRPr="00896C6F">
              <w:rPr>
                <w:rFonts w:asciiTheme="minorHAnsi" w:hAnsiTheme="minorHAnsi"/>
                <w:spacing w:val="-9"/>
                <w:sz w:val="18"/>
                <w:szCs w:val="18"/>
              </w:rPr>
              <w:t xml:space="preserve"> </w:t>
            </w:r>
            <w:r w:rsidRPr="00896C6F">
              <w:rPr>
                <w:rFonts w:asciiTheme="minorHAnsi" w:hAnsiTheme="minorHAnsi"/>
                <w:sz w:val="18"/>
                <w:szCs w:val="18"/>
              </w:rPr>
              <w:t>special</w:t>
            </w:r>
            <w:r w:rsidRPr="00896C6F">
              <w:rPr>
                <w:rFonts w:asciiTheme="minorHAnsi" w:hAnsiTheme="minorHAnsi"/>
                <w:spacing w:val="-9"/>
                <w:sz w:val="18"/>
                <w:szCs w:val="18"/>
              </w:rPr>
              <w:t xml:space="preserve"> </w:t>
            </w:r>
            <w:r w:rsidRPr="00896C6F">
              <w:rPr>
                <w:rFonts w:asciiTheme="minorHAnsi" w:hAnsiTheme="minorHAnsi"/>
                <w:sz w:val="18"/>
                <w:szCs w:val="18"/>
              </w:rPr>
              <w:t>assessments</w:t>
            </w:r>
          </w:p>
        </w:tc>
      </w:tr>
    </w:tbl>
    <w:p w14:paraId="0E590029" w14:textId="77777777" w:rsidR="00DB737F" w:rsidRPr="007C7210" w:rsidRDefault="00DB737F" w:rsidP="00DA5D9E"/>
    <w:p w14:paraId="0767D9F3" w14:textId="77777777" w:rsidR="00DA5D9E" w:rsidRDefault="006273C3" w:rsidP="00DA5D9E">
      <w:pPr>
        <w:pStyle w:val="BodyText"/>
        <w:spacing w:before="140" w:line="240" w:lineRule="exact"/>
        <w:ind w:left="0" w:right="-7"/>
        <w:rPr>
          <w:rFonts w:asciiTheme="minorHAnsi" w:hAnsiTheme="minorHAnsi"/>
        </w:rPr>
      </w:pPr>
      <w:r w:rsidRPr="006273C3">
        <w:rPr>
          <w:rFonts w:asciiTheme="minorHAnsi" w:hAnsiTheme="minorHAnsi"/>
        </w:rPr>
        <w:t>C</w:t>
      </w:r>
      <w:r w:rsidR="00DA5D9E" w:rsidRPr="006273C3">
        <w:rPr>
          <w:rFonts w:asciiTheme="minorHAnsi" w:hAnsiTheme="minorHAnsi"/>
        </w:rPr>
        <w:t xml:space="preserve">ities implementing </w:t>
      </w:r>
      <w:r w:rsidRPr="006273C3">
        <w:rPr>
          <w:rFonts w:asciiTheme="minorHAnsi" w:hAnsiTheme="minorHAnsi"/>
        </w:rPr>
        <w:t xml:space="preserve">value capture usually introduce </w:t>
      </w:r>
      <w:r w:rsidR="003764CC">
        <w:rPr>
          <w:rFonts w:asciiTheme="minorHAnsi" w:hAnsiTheme="minorHAnsi"/>
        </w:rPr>
        <w:t>multiple</w:t>
      </w:r>
      <w:r w:rsidR="00DA5D9E" w:rsidRPr="006273C3">
        <w:rPr>
          <w:rFonts w:asciiTheme="minorHAnsi" w:hAnsiTheme="minorHAnsi"/>
        </w:rPr>
        <w:t xml:space="preserve"> mechanisms</w:t>
      </w:r>
      <w:r w:rsidR="00216109">
        <w:rPr>
          <w:rFonts w:asciiTheme="minorHAnsi" w:hAnsiTheme="minorHAnsi"/>
        </w:rPr>
        <w:t xml:space="preserve"> to</w:t>
      </w:r>
      <w:r w:rsidR="00DA5D9E" w:rsidRPr="006273C3">
        <w:rPr>
          <w:rFonts w:asciiTheme="minorHAnsi" w:hAnsiTheme="minorHAnsi"/>
        </w:rPr>
        <w:t xml:space="preserve"> capture significant</w:t>
      </w:r>
      <w:r w:rsidR="00216109">
        <w:rPr>
          <w:rFonts w:asciiTheme="minorHAnsi" w:hAnsiTheme="minorHAnsi"/>
        </w:rPr>
        <w:t xml:space="preserve"> amounts of funding</w:t>
      </w:r>
      <w:r w:rsidR="00DA5D9E" w:rsidRPr="006273C3">
        <w:rPr>
          <w:rFonts w:asciiTheme="minorHAnsi" w:hAnsiTheme="minorHAnsi"/>
        </w:rPr>
        <w:t>.</w:t>
      </w:r>
      <w:r w:rsidR="00384B6D">
        <w:rPr>
          <w:rFonts w:asciiTheme="minorHAnsi" w:hAnsiTheme="minorHAnsi"/>
        </w:rPr>
        <w:t xml:space="preserve"> Cro</w:t>
      </w:r>
      <w:r>
        <w:rPr>
          <w:rFonts w:asciiTheme="minorHAnsi" w:hAnsiTheme="minorHAnsi"/>
        </w:rPr>
        <w:t>ssrail in London</w:t>
      </w:r>
      <w:r w:rsidR="00180836">
        <w:rPr>
          <w:rFonts w:asciiTheme="minorHAnsi" w:hAnsiTheme="minorHAnsi"/>
        </w:rPr>
        <w:t>, for example,</w:t>
      </w:r>
      <w:r>
        <w:rPr>
          <w:rFonts w:asciiTheme="minorHAnsi" w:hAnsiTheme="minorHAnsi"/>
        </w:rPr>
        <w:t xml:space="preserve"> uses a business rates supplement</w:t>
      </w:r>
      <w:r w:rsidR="001E4D63">
        <w:rPr>
          <w:rFonts w:asciiTheme="minorHAnsi" w:hAnsiTheme="minorHAnsi"/>
        </w:rPr>
        <w:t>,</w:t>
      </w:r>
      <w:r>
        <w:rPr>
          <w:rFonts w:asciiTheme="minorHAnsi" w:hAnsiTheme="minorHAnsi"/>
        </w:rPr>
        <w:t xml:space="preserve"> a small</w:t>
      </w:r>
      <w:r w:rsidR="00613608">
        <w:rPr>
          <w:rFonts w:asciiTheme="minorHAnsi" w:hAnsiTheme="minorHAnsi"/>
        </w:rPr>
        <w:t xml:space="preserve"> community</w:t>
      </w:r>
      <w:r>
        <w:rPr>
          <w:rFonts w:asciiTheme="minorHAnsi" w:hAnsiTheme="minorHAnsi"/>
        </w:rPr>
        <w:t xml:space="preserve"> infrastructure levy</w:t>
      </w:r>
      <w:r w:rsidR="001E4D63">
        <w:rPr>
          <w:rFonts w:asciiTheme="minorHAnsi" w:hAnsiTheme="minorHAnsi"/>
        </w:rPr>
        <w:t xml:space="preserve"> and </w:t>
      </w:r>
      <w:r w:rsidR="00180836">
        <w:rPr>
          <w:rFonts w:asciiTheme="minorHAnsi" w:hAnsiTheme="minorHAnsi"/>
        </w:rPr>
        <w:t xml:space="preserve">the </w:t>
      </w:r>
      <w:r w:rsidR="001E4D63">
        <w:rPr>
          <w:rFonts w:asciiTheme="minorHAnsi" w:hAnsiTheme="minorHAnsi"/>
        </w:rPr>
        <w:t>sale of surplus land</w:t>
      </w:r>
      <w:r>
        <w:rPr>
          <w:rFonts w:asciiTheme="minorHAnsi" w:hAnsiTheme="minorHAnsi"/>
        </w:rPr>
        <w:t>.</w:t>
      </w:r>
      <w:r w:rsidR="00DA5D9E" w:rsidRPr="006273C3">
        <w:rPr>
          <w:rFonts w:asciiTheme="minorHAnsi" w:hAnsiTheme="minorHAnsi"/>
        </w:rPr>
        <w:t xml:space="preserve"> </w:t>
      </w:r>
      <w:r w:rsidRPr="006273C3">
        <w:rPr>
          <w:rFonts w:asciiTheme="minorHAnsi" w:hAnsiTheme="minorHAnsi"/>
        </w:rPr>
        <w:t>P</w:t>
      </w:r>
      <w:r w:rsidR="00DA5D9E" w:rsidRPr="006273C3">
        <w:rPr>
          <w:rFonts w:asciiTheme="minorHAnsi" w:hAnsiTheme="minorHAnsi"/>
        </w:rPr>
        <w:t xml:space="preserve">ayroll taxes in Paris and New </w:t>
      </w:r>
      <w:r w:rsidR="00DA5D9E" w:rsidRPr="006273C3">
        <w:rPr>
          <w:rFonts w:asciiTheme="minorHAnsi" w:hAnsiTheme="minorHAnsi"/>
          <w:spacing w:val="-7"/>
        </w:rPr>
        <w:t xml:space="preserve">York </w:t>
      </w:r>
      <w:r w:rsidR="00DA5D9E" w:rsidRPr="006273C3">
        <w:rPr>
          <w:rFonts w:asciiTheme="minorHAnsi" w:hAnsiTheme="minorHAnsi"/>
        </w:rPr>
        <w:t>cover 40% of operating costs and 10% of system costs, respectively, and each of these</w:t>
      </w:r>
      <w:r w:rsidR="00DA5D9E" w:rsidRPr="006273C3">
        <w:rPr>
          <w:rFonts w:asciiTheme="minorHAnsi" w:hAnsiTheme="minorHAnsi"/>
          <w:spacing w:val="-6"/>
        </w:rPr>
        <w:t xml:space="preserve"> </w:t>
      </w:r>
      <w:r w:rsidR="00DA5D9E" w:rsidRPr="006273C3">
        <w:rPr>
          <w:rFonts w:asciiTheme="minorHAnsi" w:hAnsiTheme="minorHAnsi"/>
        </w:rPr>
        <w:t>cities</w:t>
      </w:r>
      <w:r w:rsidR="00DA5D9E" w:rsidRPr="006273C3">
        <w:rPr>
          <w:rFonts w:asciiTheme="minorHAnsi" w:hAnsiTheme="minorHAnsi"/>
          <w:spacing w:val="-6"/>
        </w:rPr>
        <w:t xml:space="preserve"> </w:t>
      </w:r>
      <w:r w:rsidR="00DA5D9E" w:rsidRPr="006273C3">
        <w:rPr>
          <w:rFonts w:asciiTheme="minorHAnsi" w:hAnsiTheme="minorHAnsi"/>
        </w:rPr>
        <w:t>has</w:t>
      </w:r>
      <w:r w:rsidR="00DA5D9E" w:rsidRPr="006273C3">
        <w:rPr>
          <w:rFonts w:asciiTheme="minorHAnsi" w:hAnsiTheme="minorHAnsi"/>
          <w:spacing w:val="-6"/>
        </w:rPr>
        <w:t xml:space="preserve"> </w:t>
      </w:r>
      <w:r w:rsidR="00DA5D9E" w:rsidRPr="006273C3">
        <w:rPr>
          <w:rFonts w:asciiTheme="minorHAnsi" w:hAnsiTheme="minorHAnsi"/>
        </w:rPr>
        <w:t>other</w:t>
      </w:r>
      <w:r w:rsidR="00DA5D9E" w:rsidRPr="006273C3">
        <w:rPr>
          <w:rFonts w:asciiTheme="minorHAnsi" w:hAnsiTheme="minorHAnsi"/>
          <w:spacing w:val="-6"/>
        </w:rPr>
        <w:t xml:space="preserve"> </w:t>
      </w:r>
      <w:r w:rsidR="00DA5D9E" w:rsidRPr="006273C3">
        <w:rPr>
          <w:rFonts w:asciiTheme="minorHAnsi" w:hAnsiTheme="minorHAnsi"/>
        </w:rPr>
        <w:t>important</w:t>
      </w:r>
      <w:r w:rsidR="00DA5D9E" w:rsidRPr="006273C3">
        <w:rPr>
          <w:rFonts w:asciiTheme="minorHAnsi" w:hAnsiTheme="minorHAnsi"/>
          <w:spacing w:val="-6"/>
        </w:rPr>
        <w:t xml:space="preserve"> </w:t>
      </w:r>
      <w:r w:rsidR="00DA5D9E" w:rsidRPr="006273C3">
        <w:rPr>
          <w:rFonts w:asciiTheme="minorHAnsi" w:hAnsiTheme="minorHAnsi"/>
        </w:rPr>
        <w:t>sources</w:t>
      </w:r>
      <w:r w:rsidR="00DA5D9E" w:rsidRPr="006273C3">
        <w:rPr>
          <w:rFonts w:asciiTheme="minorHAnsi" w:hAnsiTheme="minorHAnsi"/>
          <w:spacing w:val="-6"/>
        </w:rPr>
        <w:t xml:space="preserve"> </w:t>
      </w:r>
      <w:r w:rsidR="00DA5D9E" w:rsidRPr="006273C3">
        <w:rPr>
          <w:rFonts w:asciiTheme="minorHAnsi" w:hAnsiTheme="minorHAnsi"/>
        </w:rPr>
        <w:t>of</w:t>
      </w:r>
      <w:r w:rsidR="00DA5D9E" w:rsidRPr="006273C3">
        <w:rPr>
          <w:rFonts w:asciiTheme="minorHAnsi" w:hAnsiTheme="minorHAnsi"/>
          <w:spacing w:val="-6"/>
        </w:rPr>
        <w:t xml:space="preserve"> </w:t>
      </w:r>
      <w:r w:rsidR="00DA5D9E" w:rsidRPr="006273C3">
        <w:rPr>
          <w:rFonts w:asciiTheme="minorHAnsi" w:hAnsiTheme="minorHAnsi"/>
        </w:rPr>
        <w:t>location-based</w:t>
      </w:r>
      <w:r w:rsidR="00DA5D9E" w:rsidRPr="006273C3">
        <w:rPr>
          <w:rFonts w:asciiTheme="minorHAnsi" w:hAnsiTheme="minorHAnsi"/>
          <w:spacing w:val="-6"/>
        </w:rPr>
        <w:t xml:space="preserve"> </w:t>
      </w:r>
      <w:r w:rsidR="00DA5D9E" w:rsidRPr="006273C3">
        <w:rPr>
          <w:rFonts w:asciiTheme="minorHAnsi" w:hAnsiTheme="minorHAnsi"/>
        </w:rPr>
        <w:t xml:space="preserve">revenue as well. </w:t>
      </w:r>
    </w:p>
    <w:p w14:paraId="3620E378" w14:textId="77777777" w:rsidR="006273C3" w:rsidRDefault="006273C3" w:rsidP="006273C3">
      <w:pPr>
        <w:pStyle w:val="BodyText"/>
        <w:spacing w:line="240" w:lineRule="exact"/>
        <w:ind w:left="0" w:right="138"/>
        <w:rPr>
          <w:rFonts w:asciiTheme="minorHAnsi" w:hAnsiTheme="minorHAnsi"/>
          <w:spacing w:val="-5"/>
        </w:rPr>
      </w:pPr>
    </w:p>
    <w:p w14:paraId="26C3422B" w14:textId="77777777" w:rsidR="006273C3" w:rsidRDefault="006273C3" w:rsidP="006273C3">
      <w:pPr>
        <w:pStyle w:val="BodyText"/>
        <w:spacing w:line="240" w:lineRule="exact"/>
        <w:ind w:left="0" w:right="138"/>
        <w:rPr>
          <w:rFonts w:asciiTheme="minorHAnsi" w:hAnsiTheme="minorHAnsi"/>
        </w:rPr>
      </w:pPr>
      <w:r w:rsidRPr="007C7210">
        <w:rPr>
          <w:rFonts w:asciiTheme="minorHAnsi" w:hAnsiTheme="minorHAnsi"/>
          <w:spacing w:val="-5"/>
        </w:rPr>
        <w:t xml:space="preserve">It </w:t>
      </w:r>
      <w:r w:rsidRPr="007C7210">
        <w:rPr>
          <w:rFonts w:asciiTheme="minorHAnsi" w:hAnsiTheme="minorHAnsi"/>
        </w:rPr>
        <w:t xml:space="preserve">is not </w:t>
      </w:r>
      <w:r>
        <w:rPr>
          <w:rFonts w:asciiTheme="minorHAnsi" w:hAnsiTheme="minorHAnsi"/>
        </w:rPr>
        <w:t>realistic to attempt to</w:t>
      </w:r>
      <w:r w:rsidRPr="007C7210">
        <w:rPr>
          <w:rFonts w:asciiTheme="minorHAnsi" w:hAnsiTheme="minorHAnsi"/>
        </w:rPr>
        <w:t xml:space="preserve"> capture all of the location-based added value of </w:t>
      </w:r>
      <w:r w:rsidR="00F55E9F">
        <w:rPr>
          <w:rFonts w:asciiTheme="minorHAnsi" w:hAnsiTheme="minorHAnsi"/>
        </w:rPr>
        <w:t>public transport infrastructure</w:t>
      </w:r>
      <w:r w:rsidRPr="007C7210">
        <w:rPr>
          <w:rFonts w:asciiTheme="minorHAnsi" w:hAnsiTheme="minorHAnsi"/>
        </w:rPr>
        <w:t xml:space="preserve"> for two related reasons</w:t>
      </w:r>
      <w:r>
        <w:rPr>
          <w:rFonts w:asciiTheme="minorHAnsi" w:hAnsiTheme="minorHAnsi"/>
        </w:rPr>
        <w:t>:</w:t>
      </w:r>
    </w:p>
    <w:p w14:paraId="2BCE41B7" w14:textId="77777777" w:rsidR="006273C3" w:rsidRDefault="006273C3" w:rsidP="006273C3">
      <w:pPr>
        <w:pStyle w:val="BodyText"/>
        <w:spacing w:line="240" w:lineRule="exact"/>
        <w:ind w:left="0" w:right="138"/>
        <w:rPr>
          <w:rFonts w:asciiTheme="minorHAnsi" w:hAnsiTheme="minorHAnsi"/>
        </w:rPr>
      </w:pPr>
    </w:p>
    <w:p w14:paraId="22BBD802" w14:textId="77777777" w:rsidR="006273C3" w:rsidRDefault="006273C3" w:rsidP="00791C11">
      <w:pPr>
        <w:pStyle w:val="BodyText"/>
        <w:numPr>
          <w:ilvl w:val="0"/>
          <w:numId w:val="15"/>
        </w:numPr>
        <w:spacing w:line="240" w:lineRule="exact"/>
        <w:ind w:right="138"/>
        <w:rPr>
          <w:rFonts w:asciiTheme="minorHAnsi" w:hAnsiTheme="minorHAnsi"/>
        </w:rPr>
      </w:pPr>
      <w:r>
        <w:rPr>
          <w:rFonts w:asciiTheme="minorHAnsi" w:hAnsiTheme="minorHAnsi"/>
        </w:rPr>
        <w:t>I</w:t>
      </w:r>
      <w:r w:rsidRPr="007C7210">
        <w:rPr>
          <w:rFonts w:asciiTheme="minorHAnsi" w:hAnsiTheme="minorHAnsi"/>
          <w:spacing w:val="-5"/>
        </w:rPr>
        <w:t>t</w:t>
      </w:r>
      <w:r>
        <w:rPr>
          <w:rFonts w:asciiTheme="minorHAnsi" w:hAnsiTheme="minorHAnsi"/>
          <w:spacing w:val="-5"/>
        </w:rPr>
        <w:t xml:space="preserve"> is in the interests of </w:t>
      </w:r>
      <w:r w:rsidRPr="007C7210">
        <w:rPr>
          <w:rFonts w:asciiTheme="minorHAnsi" w:hAnsiTheme="minorHAnsi"/>
        </w:rPr>
        <w:t>the</w:t>
      </w:r>
      <w:r w:rsidRPr="007C7210">
        <w:rPr>
          <w:rFonts w:asciiTheme="minorHAnsi" w:hAnsiTheme="minorHAnsi"/>
          <w:spacing w:val="-5"/>
        </w:rPr>
        <w:t xml:space="preserve"> </w:t>
      </w:r>
      <w:r w:rsidRPr="007C7210">
        <w:rPr>
          <w:rFonts w:asciiTheme="minorHAnsi" w:hAnsiTheme="minorHAnsi"/>
        </w:rPr>
        <w:t>city</w:t>
      </w:r>
      <w:r w:rsidRPr="007C7210">
        <w:rPr>
          <w:rFonts w:asciiTheme="minorHAnsi" w:hAnsiTheme="minorHAnsi"/>
          <w:spacing w:val="-5"/>
        </w:rPr>
        <w:t xml:space="preserve"> </w:t>
      </w:r>
      <w:r w:rsidRPr="007C7210">
        <w:rPr>
          <w:rFonts w:asciiTheme="minorHAnsi" w:hAnsiTheme="minorHAnsi"/>
        </w:rPr>
        <w:t>to encourage people to live close to transit stations. Thus, leaving some windfall value on the table for developers is a good way to incentivize the construction of higher</w:t>
      </w:r>
      <w:r w:rsidRPr="007C7210">
        <w:rPr>
          <w:rFonts w:asciiTheme="minorHAnsi" w:hAnsiTheme="minorHAnsi"/>
          <w:spacing w:val="-24"/>
        </w:rPr>
        <w:t xml:space="preserve"> </w:t>
      </w:r>
      <w:r w:rsidRPr="007C7210">
        <w:rPr>
          <w:rFonts w:asciiTheme="minorHAnsi" w:hAnsiTheme="minorHAnsi"/>
        </w:rPr>
        <w:t>density development near transit</w:t>
      </w:r>
      <w:r w:rsidR="00000335">
        <w:rPr>
          <w:rFonts w:asciiTheme="minorHAnsi" w:hAnsiTheme="minorHAnsi"/>
        </w:rPr>
        <w:t xml:space="preserve"> nodes</w:t>
      </w:r>
      <w:r w:rsidRPr="007C7210">
        <w:rPr>
          <w:rFonts w:asciiTheme="minorHAnsi" w:hAnsiTheme="minorHAnsi"/>
        </w:rPr>
        <w:t xml:space="preserve">. </w:t>
      </w:r>
    </w:p>
    <w:p w14:paraId="1B5A85FE" w14:textId="77777777" w:rsidR="006273C3" w:rsidRDefault="006273C3" w:rsidP="00791C11">
      <w:pPr>
        <w:pStyle w:val="BodyText"/>
        <w:numPr>
          <w:ilvl w:val="0"/>
          <w:numId w:val="15"/>
        </w:numPr>
        <w:spacing w:line="240" w:lineRule="exact"/>
        <w:ind w:right="138"/>
        <w:rPr>
          <w:rFonts w:asciiTheme="minorHAnsi" w:hAnsiTheme="minorHAnsi"/>
        </w:rPr>
      </w:pPr>
      <w:r>
        <w:rPr>
          <w:rFonts w:asciiTheme="minorHAnsi" w:hAnsiTheme="minorHAnsi"/>
        </w:rPr>
        <w:t>The</w:t>
      </w:r>
      <w:r w:rsidRPr="007C7210">
        <w:rPr>
          <w:rFonts w:asciiTheme="minorHAnsi" w:hAnsiTheme="minorHAnsi"/>
        </w:rPr>
        <w:t xml:space="preserve"> public sector may over-reach and actually depress development near transit</w:t>
      </w:r>
      <w:r w:rsidR="00334A7C">
        <w:rPr>
          <w:rFonts w:asciiTheme="minorHAnsi" w:hAnsiTheme="minorHAnsi"/>
        </w:rPr>
        <w:t xml:space="preserve"> nodes</w:t>
      </w:r>
      <w:r w:rsidRPr="007C7210">
        <w:rPr>
          <w:rFonts w:asciiTheme="minorHAnsi" w:hAnsiTheme="minorHAnsi"/>
        </w:rPr>
        <w:t xml:space="preserve">. </w:t>
      </w:r>
    </w:p>
    <w:p w14:paraId="7AD31CC3" w14:textId="77777777" w:rsidR="0085750B" w:rsidRDefault="0085750B" w:rsidP="0085750B">
      <w:pPr>
        <w:pStyle w:val="BodyText"/>
        <w:spacing w:line="240" w:lineRule="exact"/>
        <w:ind w:right="138"/>
        <w:rPr>
          <w:rFonts w:asciiTheme="minorHAnsi" w:hAnsiTheme="minorHAnsi"/>
        </w:rPr>
      </w:pPr>
    </w:p>
    <w:p w14:paraId="10036D96" w14:textId="77777777" w:rsidR="0085750B" w:rsidRPr="007C7210" w:rsidRDefault="0085750B" w:rsidP="0085750B">
      <w:pPr>
        <w:pStyle w:val="BodyText"/>
        <w:spacing w:line="240" w:lineRule="exact"/>
        <w:ind w:right="138"/>
        <w:rPr>
          <w:rFonts w:asciiTheme="minorHAnsi" w:hAnsiTheme="minorHAnsi"/>
        </w:rPr>
      </w:pPr>
      <w:r>
        <w:rPr>
          <w:rFonts w:asciiTheme="minorHAnsi" w:hAnsiTheme="minorHAnsi"/>
        </w:rPr>
        <w:t xml:space="preserve">The following sub-section provides a </w:t>
      </w:r>
      <w:r w:rsidR="00334A7C">
        <w:rPr>
          <w:rFonts w:asciiTheme="minorHAnsi" w:hAnsiTheme="minorHAnsi"/>
        </w:rPr>
        <w:t>more detailed analysis</w:t>
      </w:r>
      <w:r>
        <w:rPr>
          <w:rFonts w:asciiTheme="minorHAnsi" w:hAnsiTheme="minorHAnsi"/>
        </w:rPr>
        <w:t xml:space="preserve"> of a prominent form of value capture </w:t>
      </w:r>
      <w:r w:rsidR="00334A7C">
        <w:rPr>
          <w:rFonts w:asciiTheme="minorHAnsi" w:hAnsiTheme="minorHAnsi"/>
        </w:rPr>
        <w:t xml:space="preserve">globally known as </w:t>
      </w:r>
      <w:r>
        <w:rPr>
          <w:rFonts w:asciiTheme="minorHAnsi" w:hAnsiTheme="minorHAnsi"/>
        </w:rPr>
        <w:t xml:space="preserve">Tax Increment Financing. </w:t>
      </w:r>
    </w:p>
    <w:p w14:paraId="6E8FD9FF" w14:textId="77777777" w:rsidR="00DA5D9E" w:rsidRDefault="00DA5D9E" w:rsidP="009861AC">
      <w:pPr>
        <w:pStyle w:val="Heading2"/>
        <w:rPr>
          <w:lang w:val="en-AU" w:eastAsia="en-US"/>
        </w:rPr>
      </w:pPr>
      <w:bookmarkStart w:id="18" w:name="_Toc430896829"/>
      <w:r>
        <w:rPr>
          <w:lang w:val="en-AU" w:eastAsia="en-US"/>
        </w:rPr>
        <w:t>Tax Increment Financing</w:t>
      </w:r>
      <w:bookmarkEnd w:id="18"/>
      <w:r w:rsidR="00613608" w:rsidRPr="00613608">
        <w:rPr>
          <w:lang w:val="en-AU" w:eastAsia="en-US"/>
        </w:rPr>
        <w:t xml:space="preserve"> </w:t>
      </w:r>
    </w:p>
    <w:p w14:paraId="1FAB08EB" w14:textId="77777777" w:rsidR="00951E03" w:rsidRPr="009D7541" w:rsidRDefault="0035127E" w:rsidP="00951E03">
      <w:pPr>
        <w:rPr>
          <w:lang w:val="en-AU" w:eastAsia="en-US"/>
        </w:rPr>
      </w:pPr>
      <w:r w:rsidRPr="0035127E">
        <w:rPr>
          <w:rFonts w:cs="Arial"/>
          <w:bCs/>
          <w:color w:val="252525"/>
          <w:szCs w:val="20"/>
          <w:shd w:val="clear" w:color="auto" w:fill="FFFFFF"/>
        </w:rPr>
        <w:t>Tax increment financing (TIF)</w:t>
      </w:r>
      <w:r w:rsidRPr="0035127E">
        <w:rPr>
          <w:rFonts w:cs="Arial"/>
          <w:color w:val="252525"/>
          <w:szCs w:val="20"/>
          <w:shd w:val="clear" w:color="auto" w:fill="FFFFFF"/>
        </w:rPr>
        <w:t xml:space="preserve"> is a</w:t>
      </w:r>
      <w:r w:rsidRPr="005C3698">
        <w:rPr>
          <w:rFonts w:cs="Arial"/>
          <w:color w:val="252525"/>
          <w:szCs w:val="20"/>
          <w:shd w:val="clear" w:color="auto" w:fill="FFFFFF"/>
        </w:rPr>
        <w:t xml:space="preserve"> public financing method used to subsidise urban renewal, new infrastructure and community projects in a designate zone.</w:t>
      </w:r>
      <w:r>
        <w:rPr>
          <w:rFonts w:cs="Arial"/>
          <w:color w:val="252525"/>
          <w:szCs w:val="20"/>
          <w:shd w:val="clear" w:color="auto" w:fill="FFFFFF"/>
        </w:rPr>
        <w:t xml:space="preserve"> It is also known as a Betterment </w:t>
      </w:r>
      <w:r w:rsidR="00D26126">
        <w:rPr>
          <w:rFonts w:cs="Arial"/>
          <w:color w:val="252525"/>
          <w:szCs w:val="20"/>
          <w:shd w:val="clear" w:color="auto" w:fill="FFFFFF"/>
        </w:rPr>
        <w:t>Levy</w:t>
      </w:r>
      <w:r>
        <w:rPr>
          <w:rFonts w:cs="Arial"/>
          <w:color w:val="252525"/>
          <w:szCs w:val="20"/>
          <w:shd w:val="clear" w:color="auto" w:fill="FFFFFF"/>
        </w:rPr>
        <w:t xml:space="preserve"> in some jurisdictions. </w:t>
      </w:r>
      <w:r w:rsidR="00951E03">
        <w:rPr>
          <w:lang w:val="en-AU" w:eastAsia="en-US"/>
        </w:rPr>
        <w:t xml:space="preserve">A levy is applied to land owners who stand to enjoy a heightened level of benefit generated by an infrastructure project. </w:t>
      </w:r>
    </w:p>
    <w:p w14:paraId="7F81EDD1" w14:textId="77777777" w:rsidR="00951E03" w:rsidRDefault="00951E03" w:rsidP="0035127E">
      <w:pPr>
        <w:rPr>
          <w:rFonts w:cs="Arial"/>
          <w:color w:val="252525"/>
          <w:szCs w:val="20"/>
          <w:shd w:val="clear" w:color="auto" w:fill="FFFFFF"/>
        </w:rPr>
      </w:pPr>
    </w:p>
    <w:p w14:paraId="368D71F3" w14:textId="77777777" w:rsidR="003520D5" w:rsidRDefault="00160248" w:rsidP="003520D5">
      <w:pPr>
        <w:rPr>
          <w:rFonts w:cs="Arial"/>
          <w:color w:val="252525"/>
          <w:szCs w:val="20"/>
          <w:shd w:val="clear" w:color="auto" w:fill="FFFFFF"/>
        </w:rPr>
      </w:pPr>
      <w:r w:rsidRPr="003A6961">
        <w:t xml:space="preserve">TIF </w:t>
      </w:r>
      <w:r>
        <w:t xml:space="preserve">can </w:t>
      </w:r>
      <w:r w:rsidRPr="003A6961">
        <w:t xml:space="preserve">enable governments to raise bond finance against the future additional tax revenue generated by a TIF district. </w:t>
      </w:r>
      <w:r>
        <w:t>This</w:t>
      </w:r>
      <w:r w:rsidRPr="003A6961">
        <w:t xml:space="preserve"> is a </w:t>
      </w:r>
      <w:r>
        <w:t>means</w:t>
      </w:r>
      <w:r w:rsidRPr="003A6961">
        <w:t xml:space="preserve"> of pulling forward funds to the construction stage then repaying the bond finance as tax revenue </w:t>
      </w:r>
      <w:r>
        <w:t>is received</w:t>
      </w:r>
      <w:r w:rsidRPr="003A6961">
        <w:t>.</w:t>
      </w:r>
    </w:p>
    <w:p w14:paraId="6B59370A" w14:textId="77777777" w:rsidR="003520D5" w:rsidRDefault="003520D5" w:rsidP="003520D5">
      <w:pPr>
        <w:rPr>
          <w:rFonts w:cs="Arial"/>
          <w:color w:val="252525"/>
          <w:szCs w:val="20"/>
          <w:shd w:val="clear" w:color="auto" w:fill="FFFFFF"/>
        </w:rPr>
      </w:pPr>
    </w:p>
    <w:p w14:paraId="58A16A93" w14:textId="77777777" w:rsidR="00D34568" w:rsidRPr="00071C54" w:rsidRDefault="00951E03" w:rsidP="00324645">
      <w:pPr>
        <w:rPr>
          <w:szCs w:val="20"/>
        </w:rPr>
      </w:pPr>
      <w:r w:rsidRPr="005C3698">
        <w:rPr>
          <w:rFonts w:cs="Arial"/>
          <w:color w:val="252525"/>
          <w:szCs w:val="20"/>
          <w:shd w:val="clear" w:color="auto" w:fill="FFFFFF"/>
        </w:rPr>
        <w:t>Almost all US States are authorized to use TIFs. The first TIF in Canada was used in 2007.</w:t>
      </w:r>
      <w:r>
        <w:rPr>
          <w:rFonts w:cs="Arial"/>
          <w:color w:val="252525"/>
          <w:szCs w:val="20"/>
          <w:shd w:val="clear" w:color="auto" w:fill="FFFFFF"/>
        </w:rPr>
        <w:t xml:space="preserve"> The UK government introduced TIF legislation in 2012 to allow local authorities to borrow against future growth in rates. It allocated UKP150 million for TIF projects in 2013-14</w:t>
      </w:r>
      <w:r w:rsidR="00CB17DB">
        <w:rPr>
          <w:rFonts w:cs="Arial"/>
          <w:color w:val="252525"/>
          <w:szCs w:val="20"/>
          <w:shd w:val="clear" w:color="auto" w:fill="FFFFFF"/>
        </w:rPr>
        <w:t>.</w:t>
      </w:r>
      <w:r w:rsidR="00AF60C8">
        <w:rPr>
          <w:rFonts w:cs="Arial"/>
          <w:color w:val="252525"/>
          <w:szCs w:val="20"/>
          <w:shd w:val="clear" w:color="auto" w:fill="FFFFFF"/>
        </w:rPr>
        <w:t xml:space="preserve"> </w:t>
      </w:r>
      <w:r w:rsidR="00D34568" w:rsidRPr="00071C54">
        <w:rPr>
          <w:szCs w:val="20"/>
        </w:rPr>
        <w:t xml:space="preserve">Australia’s Future Tax System (the “Henry Tax Review”) examined the role of infrastructure charges in Chapter E of the Final Report (2010). In Box E4-2, Betterment Taxes were </w:t>
      </w:r>
      <w:r w:rsidR="00D34568">
        <w:rPr>
          <w:szCs w:val="20"/>
        </w:rPr>
        <w:t>considered</w:t>
      </w:r>
      <w:r w:rsidR="00D34568" w:rsidRPr="00071C54">
        <w:rPr>
          <w:szCs w:val="20"/>
        </w:rPr>
        <w:t xml:space="preserve">. The Report concluded that “betterment taxes are attractive since they aim to tax the economic rent from land rezoning that would otherwise accrue to the landowner.” </w:t>
      </w:r>
    </w:p>
    <w:p w14:paraId="438271A1" w14:textId="77777777" w:rsidR="00DA5D9E" w:rsidRDefault="00DA5D9E" w:rsidP="00DA5D9E">
      <w:pPr>
        <w:jc w:val="both"/>
        <w:rPr>
          <w:szCs w:val="18"/>
        </w:rPr>
      </w:pPr>
    </w:p>
    <w:p w14:paraId="7E4DFA5C" w14:textId="77777777" w:rsidR="00DA5D9E" w:rsidRDefault="00634BF2" w:rsidP="00DA5D9E">
      <w:pPr>
        <w:jc w:val="both"/>
        <w:rPr>
          <w:szCs w:val="18"/>
        </w:rPr>
      </w:pPr>
      <w:r>
        <w:rPr>
          <w:szCs w:val="18"/>
        </w:rPr>
        <w:t xml:space="preserve">Typically, </w:t>
      </w:r>
      <w:r w:rsidR="00F02784">
        <w:rPr>
          <w:szCs w:val="18"/>
        </w:rPr>
        <w:t>TIF works as follows:</w:t>
      </w:r>
    </w:p>
    <w:p w14:paraId="108AA990" w14:textId="77777777" w:rsidR="000B3042" w:rsidRDefault="000B3042" w:rsidP="00DA5D9E">
      <w:pPr>
        <w:jc w:val="both"/>
        <w:rPr>
          <w:szCs w:val="18"/>
        </w:rPr>
      </w:pPr>
    </w:p>
    <w:p w14:paraId="3297C2D1" w14:textId="77777777" w:rsidR="002F3156" w:rsidRPr="002F3156" w:rsidRDefault="00F02784" w:rsidP="00791C11">
      <w:pPr>
        <w:pStyle w:val="Bullet1"/>
        <w:numPr>
          <w:ilvl w:val="0"/>
          <w:numId w:val="29"/>
        </w:numPr>
      </w:pPr>
      <w:r w:rsidRPr="00452356">
        <w:rPr>
          <w:szCs w:val="18"/>
        </w:rPr>
        <w:t>TIF District is established</w:t>
      </w:r>
    </w:p>
    <w:p w14:paraId="0319AD09" w14:textId="77777777" w:rsidR="00F02784" w:rsidRPr="00452356" w:rsidRDefault="002F3156" w:rsidP="00791C11">
      <w:pPr>
        <w:pStyle w:val="Bullet1"/>
        <w:numPr>
          <w:ilvl w:val="0"/>
          <w:numId w:val="29"/>
        </w:numPr>
      </w:pPr>
      <w:r>
        <w:rPr>
          <w:szCs w:val="18"/>
        </w:rPr>
        <w:t>A</w:t>
      </w:r>
      <w:r w:rsidR="00F02784" w:rsidRPr="00452356">
        <w:rPr>
          <w:szCs w:val="18"/>
        </w:rPr>
        <w:t xml:space="preserve"> redevelopment plan</w:t>
      </w:r>
      <w:r w:rsidR="00452356">
        <w:rPr>
          <w:szCs w:val="18"/>
        </w:rPr>
        <w:t>,</w:t>
      </w:r>
      <w:r w:rsidR="00F02784" w:rsidRPr="00452356">
        <w:rPr>
          <w:szCs w:val="18"/>
        </w:rPr>
        <w:t xml:space="preserve"> project budget </w:t>
      </w:r>
      <w:r w:rsidR="00452356">
        <w:rPr>
          <w:szCs w:val="18"/>
        </w:rPr>
        <w:t>and time period</w:t>
      </w:r>
      <w:r>
        <w:rPr>
          <w:szCs w:val="18"/>
        </w:rPr>
        <w:t xml:space="preserve"> are</w:t>
      </w:r>
      <w:r w:rsidR="00452356">
        <w:rPr>
          <w:szCs w:val="18"/>
        </w:rPr>
        <w:t xml:space="preserve"> </w:t>
      </w:r>
      <w:r w:rsidR="00F02784" w:rsidRPr="00452356">
        <w:rPr>
          <w:szCs w:val="18"/>
        </w:rPr>
        <w:t>prepared</w:t>
      </w:r>
      <w:r w:rsidR="00F02784" w:rsidRPr="00452356">
        <w:t xml:space="preserve"> </w:t>
      </w:r>
    </w:p>
    <w:p w14:paraId="0B0FF555" w14:textId="77777777" w:rsidR="00634BF2" w:rsidRPr="00452356" w:rsidRDefault="00F02784" w:rsidP="00791C11">
      <w:pPr>
        <w:pStyle w:val="Bullet1"/>
        <w:numPr>
          <w:ilvl w:val="0"/>
          <w:numId w:val="29"/>
        </w:numPr>
      </w:pPr>
      <w:r w:rsidRPr="00452356">
        <w:t>B</w:t>
      </w:r>
      <w:r w:rsidR="00DA5D9E" w:rsidRPr="00452356">
        <w:t>ase year assessment of property value</w:t>
      </w:r>
      <w:r w:rsidRPr="00452356">
        <w:t>s</w:t>
      </w:r>
      <w:r w:rsidR="00DA5D9E" w:rsidRPr="00452356">
        <w:t xml:space="preserve"> in the TIF District </w:t>
      </w:r>
    </w:p>
    <w:p w14:paraId="7E438728" w14:textId="77777777" w:rsidR="004B4E83" w:rsidRPr="00452356" w:rsidRDefault="00F02784" w:rsidP="00791C11">
      <w:pPr>
        <w:pStyle w:val="Bullet1"/>
        <w:numPr>
          <w:ilvl w:val="0"/>
          <w:numId w:val="29"/>
        </w:numPr>
      </w:pPr>
      <w:r w:rsidRPr="00452356">
        <w:t>A</w:t>
      </w:r>
      <w:r w:rsidR="002F3156">
        <w:t>nnual a</w:t>
      </w:r>
      <w:r w:rsidRPr="00452356">
        <w:t>s</w:t>
      </w:r>
      <w:r w:rsidR="002F3156">
        <w:t>s</w:t>
      </w:r>
      <w:r w:rsidRPr="00452356">
        <w:t xml:space="preserve">essment </w:t>
      </w:r>
      <w:r w:rsidR="002F3156">
        <w:t>of</w:t>
      </w:r>
      <w:r w:rsidR="00DA5D9E" w:rsidRPr="00452356">
        <w:t xml:space="preserve"> incre</w:t>
      </w:r>
      <w:r w:rsidR="000B3042" w:rsidRPr="00452356">
        <w:t xml:space="preserve">mental </w:t>
      </w:r>
      <w:r w:rsidRPr="00452356">
        <w:t>increase</w:t>
      </w:r>
      <w:r w:rsidR="000B3042" w:rsidRPr="00452356">
        <w:t xml:space="preserve"> in property values</w:t>
      </w:r>
      <w:r w:rsidR="004B4E83" w:rsidRPr="00452356">
        <w:rPr>
          <w:rFonts w:eastAsia="Times New Roman" w:cs="Times New Roman"/>
          <w:color w:val="000000"/>
          <w:spacing w:val="1"/>
          <w:szCs w:val="20"/>
        </w:rPr>
        <w:t xml:space="preserve"> </w:t>
      </w:r>
    </w:p>
    <w:p w14:paraId="7FA51316" w14:textId="77777777" w:rsidR="000B3042" w:rsidRPr="00452356" w:rsidRDefault="00AC6585" w:rsidP="00791C11">
      <w:pPr>
        <w:pStyle w:val="Bullet1"/>
        <w:numPr>
          <w:ilvl w:val="0"/>
          <w:numId w:val="29"/>
        </w:numPr>
      </w:pPr>
      <w:r w:rsidRPr="00452356">
        <w:t xml:space="preserve">TIF </w:t>
      </w:r>
      <w:r w:rsidR="00DA5D9E" w:rsidRPr="00452356">
        <w:t xml:space="preserve">tax rate </w:t>
      </w:r>
      <w:r w:rsidR="00F90EBC">
        <w:t xml:space="preserve">applied </w:t>
      </w:r>
      <w:r w:rsidR="00DA5D9E" w:rsidRPr="00452356">
        <w:t xml:space="preserve">to </w:t>
      </w:r>
      <w:r w:rsidR="000B3042" w:rsidRPr="00452356">
        <w:t xml:space="preserve">added </w:t>
      </w:r>
      <w:r w:rsidR="00F90EBC">
        <w:t xml:space="preserve">property </w:t>
      </w:r>
      <w:r w:rsidR="00DA5D9E" w:rsidRPr="00452356">
        <w:t>value</w:t>
      </w:r>
      <w:r w:rsidR="00F90EBC">
        <w:t>s</w:t>
      </w:r>
      <w:r w:rsidR="00DA5D9E" w:rsidRPr="00452356">
        <w:t xml:space="preserve"> </w:t>
      </w:r>
    </w:p>
    <w:p w14:paraId="7ADA36F0" w14:textId="77777777" w:rsidR="00452356" w:rsidRPr="00452356" w:rsidRDefault="00A07620" w:rsidP="00791C11">
      <w:pPr>
        <w:pStyle w:val="Bullet1"/>
        <w:numPr>
          <w:ilvl w:val="0"/>
          <w:numId w:val="29"/>
        </w:numPr>
      </w:pPr>
      <w:r>
        <w:t>T</w:t>
      </w:r>
      <w:r w:rsidR="00F02784" w:rsidRPr="00452356">
        <w:t xml:space="preserve">ax revenue </w:t>
      </w:r>
      <w:r>
        <w:t xml:space="preserve">used </w:t>
      </w:r>
      <w:r w:rsidR="00F02784" w:rsidRPr="00452356">
        <w:t>to pay bond finance or invest in individual projects</w:t>
      </w:r>
      <w:r w:rsidR="00452356">
        <w:t>.</w:t>
      </w:r>
    </w:p>
    <w:p w14:paraId="207A9072" w14:textId="77777777" w:rsidR="00C43630" w:rsidRDefault="00C43630" w:rsidP="00C43630">
      <w:pPr>
        <w:pStyle w:val="Bullet1"/>
      </w:pPr>
    </w:p>
    <w:p w14:paraId="1904379D" w14:textId="77777777" w:rsidR="000B3042" w:rsidRDefault="000B3042" w:rsidP="000B3042">
      <w:pPr>
        <w:jc w:val="both"/>
        <w:rPr>
          <w:szCs w:val="18"/>
        </w:rPr>
      </w:pPr>
      <w:r>
        <w:rPr>
          <w:szCs w:val="18"/>
        </w:rPr>
        <w:t>Once the TIF District is established, local taxing bodies receive no new revenue from that area - that is, their tax income is frozen and all additional taxes flow to a regional/State agency which is funding the infrastructure investment.</w:t>
      </w:r>
    </w:p>
    <w:p w14:paraId="51D63F7A" w14:textId="77777777" w:rsidR="000B3042" w:rsidRDefault="000B3042" w:rsidP="000B3042">
      <w:pPr>
        <w:jc w:val="both"/>
        <w:rPr>
          <w:szCs w:val="18"/>
        </w:rPr>
      </w:pPr>
    </w:p>
    <w:p w14:paraId="234E0310" w14:textId="77777777" w:rsidR="00C43630" w:rsidRPr="00BC312A" w:rsidRDefault="00C43630" w:rsidP="00C43630">
      <w:pPr>
        <w:pStyle w:val="Bullet1"/>
      </w:pPr>
      <w:r>
        <w:t>A TIF</w:t>
      </w:r>
      <w:r w:rsidRPr="00BC312A">
        <w:t xml:space="preserve"> mechanism was </w:t>
      </w:r>
      <w:r w:rsidR="006229D2">
        <w:t>used</w:t>
      </w:r>
      <w:r w:rsidRPr="00BC312A">
        <w:t xml:space="preserve"> in New </w:t>
      </w:r>
      <w:r w:rsidRPr="00BC312A">
        <w:rPr>
          <w:spacing w:val="-7"/>
        </w:rPr>
        <w:t xml:space="preserve">York </w:t>
      </w:r>
      <w:r w:rsidR="000C1BED">
        <w:rPr>
          <w:spacing w:val="-7"/>
        </w:rPr>
        <w:t xml:space="preserve">City </w:t>
      </w:r>
      <w:r w:rsidRPr="00BC312A">
        <w:t xml:space="preserve">to help fund the Hudson </w:t>
      </w:r>
      <w:r w:rsidRPr="00BC312A">
        <w:rPr>
          <w:spacing w:val="-5"/>
        </w:rPr>
        <w:t xml:space="preserve">Yards </w:t>
      </w:r>
      <w:r w:rsidRPr="00BC312A">
        <w:t xml:space="preserve">redevelopment and </w:t>
      </w:r>
      <w:r>
        <w:t>S</w:t>
      </w:r>
      <w:r w:rsidRPr="00BC312A">
        <w:t xml:space="preserve">ubway </w:t>
      </w:r>
      <w:r>
        <w:t xml:space="preserve">Line </w:t>
      </w:r>
      <w:r w:rsidRPr="00BC312A">
        <w:t>7 extension. This example represents an extreme case where the baseline value was set at zero, meaning that all of the property tax proceeds from</w:t>
      </w:r>
      <w:r w:rsidRPr="00BC312A">
        <w:rPr>
          <w:spacing w:val="-21"/>
        </w:rPr>
        <w:t xml:space="preserve"> </w:t>
      </w:r>
      <w:r w:rsidRPr="00BC312A">
        <w:t xml:space="preserve">the area </w:t>
      </w:r>
      <w:r w:rsidR="00DB491D">
        <w:t xml:space="preserve">are </w:t>
      </w:r>
      <w:r w:rsidRPr="00BC312A">
        <w:t>to pay for local infrastructure, and the people who live there</w:t>
      </w:r>
      <w:r w:rsidRPr="00BC312A">
        <w:rPr>
          <w:spacing w:val="-3"/>
        </w:rPr>
        <w:t xml:space="preserve"> </w:t>
      </w:r>
      <w:r w:rsidRPr="00BC312A">
        <w:t>(or</w:t>
      </w:r>
      <w:r w:rsidRPr="00BC312A">
        <w:rPr>
          <w:spacing w:val="-3"/>
        </w:rPr>
        <w:t xml:space="preserve"> </w:t>
      </w:r>
      <w:r w:rsidRPr="00BC312A">
        <w:t>who</w:t>
      </w:r>
      <w:r w:rsidRPr="00BC312A">
        <w:rPr>
          <w:spacing w:val="-3"/>
        </w:rPr>
        <w:t xml:space="preserve"> </w:t>
      </w:r>
      <w:r w:rsidRPr="00BC312A">
        <w:t>will</w:t>
      </w:r>
      <w:r w:rsidRPr="00BC312A">
        <w:rPr>
          <w:spacing w:val="-3"/>
        </w:rPr>
        <w:t xml:space="preserve"> </w:t>
      </w:r>
      <w:r w:rsidRPr="00BC312A">
        <w:t>live</w:t>
      </w:r>
      <w:r w:rsidRPr="00BC312A">
        <w:rPr>
          <w:spacing w:val="-3"/>
        </w:rPr>
        <w:t xml:space="preserve"> </w:t>
      </w:r>
      <w:r w:rsidRPr="00BC312A">
        <w:t>there</w:t>
      </w:r>
      <w:r w:rsidRPr="00BC312A">
        <w:rPr>
          <w:spacing w:val="-3"/>
        </w:rPr>
        <w:t xml:space="preserve"> </w:t>
      </w:r>
      <w:r w:rsidRPr="00BC312A">
        <w:t>in</w:t>
      </w:r>
      <w:r w:rsidRPr="00BC312A">
        <w:rPr>
          <w:spacing w:val="-3"/>
        </w:rPr>
        <w:t xml:space="preserve"> </w:t>
      </w:r>
      <w:r w:rsidRPr="00BC312A">
        <w:t>the</w:t>
      </w:r>
      <w:r w:rsidRPr="00BC312A">
        <w:rPr>
          <w:spacing w:val="-3"/>
        </w:rPr>
        <w:t xml:space="preserve"> </w:t>
      </w:r>
      <w:r w:rsidRPr="00BC312A">
        <w:t>new</w:t>
      </w:r>
      <w:r w:rsidRPr="00BC312A">
        <w:rPr>
          <w:spacing w:val="-3"/>
        </w:rPr>
        <w:t xml:space="preserve"> </w:t>
      </w:r>
      <w:r w:rsidRPr="00BC312A">
        <w:t>developments)</w:t>
      </w:r>
      <w:r w:rsidRPr="00BC312A">
        <w:rPr>
          <w:spacing w:val="-3"/>
        </w:rPr>
        <w:t xml:space="preserve"> </w:t>
      </w:r>
      <w:r w:rsidRPr="00BC312A">
        <w:t>do</w:t>
      </w:r>
      <w:r w:rsidRPr="00BC312A">
        <w:rPr>
          <w:spacing w:val="-3"/>
        </w:rPr>
        <w:t xml:space="preserve"> </w:t>
      </w:r>
      <w:r w:rsidRPr="00BC312A">
        <w:t>not</w:t>
      </w:r>
      <w:r w:rsidRPr="00BC312A">
        <w:rPr>
          <w:spacing w:val="-3"/>
        </w:rPr>
        <w:t xml:space="preserve"> </w:t>
      </w:r>
      <w:r w:rsidRPr="00BC312A">
        <w:t>pay into the general city</w:t>
      </w:r>
      <w:r w:rsidRPr="00BC312A">
        <w:rPr>
          <w:spacing w:val="-12"/>
        </w:rPr>
        <w:t xml:space="preserve"> </w:t>
      </w:r>
      <w:r w:rsidR="00DA5CA9">
        <w:t>budget</w:t>
      </w:r>
      <w:r w:rsidRPr="00BC312A">
        <w:t>.</w:t>
      </w:r>
    </w:p>
    <w:p w14:paraId="02D84B31" w14:textId="77777777" w:rsidR="00DA5D9E" w:rsidRDefault="00DA5D9E" w:rsidP="00DA5D9E">
      <w:pPr>
        <w:spacing w:line="280" w:lineRule="atLeast"/>
        <w:contextualSpacing/>
        <w:jc w:val="both"/>
        <w:rPr>
          <w:rFonts w:ascii="Verdana" w:eastAsia="Times" w:hAnsi="Verdana" w:cs="Times New Roman"/>
          <w:kern w:val="0"/>
          <w:sz w:val="16"/>
          <w:szCs w:val="16"/>
          <w:lang w:val="en-AU" w:eastAsia="en-US"/>
        </w:rPr>
      </w:pPr>
    </w:p>
    <w:p w14:paraId="3EC94A21" w14:textId="77777777" w:rsidR="00EF3C2F" w:rsidRPr="00E245F7" w:rsidRDefault="00B25E2A" w:rsidP="00EF3C2F">
      <w:pPr>
        <w:rPr>
          <w:rFonts w:cs="Arial"/>
          <w:color w:val="252525"/>
          <w:szCs w:val="20"/>
          <w:shd w:val="clear" w:color="auto" w:fill="FFFFFF"/>
        </w:rPr>
      </w:pPr>
      <w:r>
        <w:rPr>
          <w:rFonts w:cs="Arial"/>
          <w:color w:val="252525"/>
          <w:szCs w:val="20"/>
          <w:shd w:val="clear" w:color="auto" w:fill="FFFFFF"/>
        </w:rPr>
        <w:t>The following potential flaws have been identified with regard to TIF</w:t>
      </w:r>
      <w:r w:rsidR="00EF3C2F" w:rsidRPr="00E245F7">
        <w:rPr>
          <w:rFonts w:cs="Arial"/>
          <w:color w:val="252525"/>
          <w:szCs w:val="20"/>
          <w:shd w:val="clear" w:color="auto" w:fill="FFFFFF"/>
        </w:rPr>
        <w:t>:</w:t>
      </w:r>
    </w:p>
    <w:p w14:paraId="4B2D97BA" w14:textId="77777777" w:rsidR="00EF3C2F" w:rsidRPr="00BC312A" w:rsidRDefault="00EF3C2F" w:rsidP="00EF3C2F">
      <w:pPr>
        <w:rPr>
          <w:rFonts w:cs="Arial"/>
          <w:szCs w:val="20"/>
          <w:shd w:val="clear" w:color="auto" w:fill="FFFFFF"/>
        </w:rPr>
      </w:pPr>
    </w:p>
    <w:p w14:paraId="2F228CD8" w14:textId="7096F4DB" w:rsidR="00C43630" w:rsidRPr="00C43630" w:rsidRDefault="00EF3C2F" w:rsidP="00791C11">
      <w:pPr>
        <w:pStyle w:val="ListParagraph"/>
        <w:numPr>
          <w:ilvl w:val="0"/>
          <w:numId w:val="28"/>
        </w:numPr>
        <w:rPr>
          <w:rFonts w:cs="Arial"/>
          <w:szCs w:val="20"/>
          <w:shd w:val="clear" w:color="auto" w:fill="FFFFFF"/>
        </w:rPr>
      </w:pPr>
      <w:r w:rsidRPr="00C43630">
        <w:rPr>
          <w:rFonts w:cs="Arial"/>
          <w:szCs w:val="20"/>
          <w:shd w:val="clear" w:color="auto" w:fill="FFFFFF"/>
        </w:rPr>
        <w:t>Excessive use of TIF</w:t>
      </w:r>
      <w:r w:rsidR="00B25E2A" w:rsidRPr="00C43630">
        <w:rPr>
          <w:rFonts w:cs="Arial"/>
          <w:szCs w:val="20"/>
          <w:shd w:val="clear" w:color="auto" w:fill="FFFFFF"/>
        </w:rPr>
        <w:t xml:space="preserve"> in the US</w:t>
      </w:r>
      <w:r w:rsidRPr="00C43630">
        <w:rPr>
          <w:rFonts w:cs="Arial"/>
          <w:szCs w:val="20"/>
          <w:shd w:val="clear" w:color="auto" w:fill="FFFFFF"/>
        </w:rPr>
        <w:t xml:space="preserve"> is placing government budgets at risk by foregoing</w:t>
      </w:r>
      <w:r w:rsidR="00B25E2A" w:rsidRPr="00C43630">
        <w:rPr>
          <w:rFonts w:cs="Arial"/>
          <w:szCs w:val="20"/>
          <w:shd w:val="clear" w:color="auto" w:fill="FFFFFF"/>
        </w:rPr>
        <w:t xml:space="preserve"> large amounts of</w:t>
      </w:r>
      <w:r w:rsidRPr="00C43630">
        <w:rPr>
          <w:rFonts w:cs="Arial"/>
          <w:szCs w:val="20"/>
          <w:shd w:val="clear" w:color="auto" w:fill="FFFFFF"/>
        </w:rPr>
        <w:t xml:space="preserve"> tax revenue</w:t>
      </w:r>
      <w:r w:rsidR="00C43630" w:rsidRPr="00C43630">
        <w:rPr>
          <w:rFonts w:cs="Arial"/>
          <w:szCs w:val="20"/>
          <w:shd w:val="clear" w:color="auto" w:fill="FFFFFF"/>
        </w:rPr>
        <w:t>. It must be kept in mind that TIFs sacrifice future tax revenue to bring forward urban development and new infrastructure</w:t>
      </w:r>
    </w:p>
    <w:p w14:paraId="5B81FEE0" w14:textId="6A3C7A7B" w:rsidR="00EF3C2F" w:rsidRPr="00BC312A" w:rsidRDefault="00EF3C2F" w:rsidP="003C2621">
      <w:pPr>
        <w:pStyle w:val="ListParagraph"/>
        <w:numPr>
          <w:ilvl w:val="0"/>
          <w:numId w:val="9"/>
        </w:numPr>
        <w:rPr>
          <w:rFonts w:cs="Arial"/>
          <w:szCs w:val="20"/>
          <w:shd w:val="clear" w:color="auto" w:fill="FFFFFF"/>
        </w:rPr>
      </w:pPr>
      <w:r w:rsidRPr="00BC312A">
        <w:rPr>
          <w:rFonts w:cs="Arial"/>
          <w:szCs w:val="20"/>
          <w:shd w:val="clear" w:color="auto" w:fill="FFFFFF"/>
        </w:rPr>
        <w:t>Excessive numbers of TIF districts is resulting in too many projects for the market to bear and promoting projects with marginal benefits</w:t>
      </w:r>
    </w:p>
    <w:p w14:paraId="251BD15C" w14:textId="2D33A384" w:rsidR="0072216C" w:rsidRPr="00BC312A" w:rsidRDefault="0072216C" w:rsidP="003C2621">
      <w:pPr>
        <w:pStyle w:val="ListParagraph"/>
        <w:numPr>
          <w:ilvl w:val="0"/>
          <w:numId w:val="9"/>
        </w:numPr>
        <w:rPr>
          <w:rFonts w:cs="Arial"/>
          <w:szCs w:val="20"/>
          <w:shd w:val="clear" w:color="auto" w:fill="FFFFFF"/>
        </w:rPr>
      </w:pPr>
      <w:r w:rsidRPr="00BC312A">
        <w:rPr>
          <w:rFonts w:cs="Arial"/>
          <w:szCs w:val="20"/>
          <w:shd w:val="clear" w:color="auto" w:fill="FFFFFF"/>
        </w:rPr>
        <w:t>Some areas should not have been selected as TIF districts because they would have experienced successful urban renewal anyway</w:t>
      </w:r>
    </w:p>
    <w:p w14:paraId="373B852C" w14:textId="3114C8D5" w:rsidR="00EF3C2F" w:rsidRPr="00BC312A" w:rsidRDefault="00EF3C2F" w:rsidP="003C2621">
      <w:pPr>
        <w:pStyle w:val="ListParagraph"/>
        <w:numPr>
          <w:ilvl w:val="0"/>
          <w:numId w:val="9"/>
        </w:numPr>
        <w:rPr>
          <w:rFonts w:cs="Arial"/>
          <w:szCs w:val="20"/>
          <w:shd w:val="clear" w:color="auto" w:fill="FFFFFF"/>
        </w:rPr>
      </w:pPr>
      <w:r w:rsidRPr="00BC312A">
        <w:rPr>
          <w:rFonts w:cs="Arial"/>
          <w:szCs w:val="20"/>
          <w:shd w:val="clear" w:color="auto" w:fill="FFFFFF"/>
        </w:rPr>
        <w:t>Developers with political influence can manipulate the system to gain TIF district status. Effectively, this represents a distorted use or misuse of government funds</w:t>
      </w:r>
    </w:p>
    <w:p w14:paraId="0170BF28" w14:textId="056970F8" w:rsidR="00EF3C2F" w:rsidRPr="00BC312A" w:rsidRDefault="00EF3C2F" w:rsidP="003C2621">
      <w:pPr>
        <w:pStyle w:val="ListParagraph"/>
        <w:numPr>
          <w:ilvl w:val="0"/>
          <w:numId w:val="9"/>
        </w:numPr>
        <w:rPr>
          <w:rFonts w:cs="Arial"/>
          <w:szCs w:val="20"/>
          <w:shd w:val="clear" w:color="auto" w:fill="FFFFFF"/>
        </w:rPr>
      </w:pPr>
      <w:r w:rsidRPr="00BC312A">
        <w:rPr>
          <w:rFonts w:cs="Arial"/>
          <w:szCs w:val="20"/>
          <w:shd w:val="clear" w:color="auto" w:fill="FFFFFF"/>
        </w:rPr>
        <w:t>Laws supporting TIF districts can be used to unfairly condemn properties and evict dwellers</w:t>
      </w:r>
    </w:p>
    <w:p w14:paraId="5D6210A9" w14:textId="77777777" w:rsidR="0072216C" w:rsidRPr="00BC312A" w:rsidRDefault="0072216C" w:rsidP="003C2621">
      <w:pPr>
        <w:pStyle w:val="ListParagraph"/>
        <w:numPr>
          <w:ilvl w:val="0"/>
          <w:numId w:val="9"/>
        </w:numPr>
        <w:rPr>
          <w:rFonts w:cs="Arial"/>
          <w:szCs w:val="20"/>
          <w:shd w:val="clear" w:color="auto" w:fill="FFFFFF"/>
        </w:rPr>
      </w:pPr>
      <w:r w:rsidRPr="00BC312A">
        <w:rPr>
          <w:rFonts w:cs="Arial"/>
          <w:szCs w:val="20"/>
          <w:shd w:val="clear" w:color="auto" w:fill="FFFFFF"/>
        </w:rPr>
        <w:t>TIF districts become more expensive and gentrified destroying the character of the district</w:t>
      </w:r>
    </w:p>
    <w:p w14:paraId="162606E7" w14:textId="391F888D" w:rsidR="00EF3C2F" w:rsidRPr="00BC312A" w:rsidRDefault="00EF3C2F" w:rsidP="003C2621">
      <w:pPr>
        <w:pStyle w:val="ListParagraph"/>
        <w:numPr>
          <w:ilvl w:val="0"/>
          <w:numId w:val="9"/>
        </w:numPr>
        <w:rPr>
          <w:rFonts w:cs="Arial"/>
          <w:szCs w:val="20"/>
          <w:shd w:val="clear" w:color="auto" w:fill="FFFFFF"/>
        </w:rPr>
      </w:pPr>
      <w:r w:rsidRPr="00BC312A">
        <w:rPr>
          <w:rFonts w:cs="Arial"/>
          <w:szCs w:val="20"/>
          <w:shd w:val="clear" w:color="auto" w:fill="FFFFFF"/>
        </w:rPr>
        <w:t>TIF districts have been securing extra state financial assistance effectively punishing the rest of the city</w:t>
      </w:r>
    </w:p>
    <w:p w14:paraId="4BE39340" w14:textId="09C65461" w:rsidR="00EF3C2F" w:rsidRDefault="00EF3C2F" w:rsidP="003C2621">
      <w:pPr>
        <w:pStyle w:val="ListParagraph"/>
        <w:numPr>
          <w:ilvl w:val="0"/>
          <w:numId w:val="9"/>
        </w:numPr>
        <w:rPr>
          <w:rFonts w:cs="Arial"/>
          <w:szCs w:val="20"/>
          <w:shd w:val="clear" w:color="auto" w:fill="FFFFFF"/>
        </w:rPr>
      </w:pPr>
      <w:r w:rsidRPr="00BC312A">
        <w:rPr>
          <w:rFonts w:cs="Arial"/>
          <w:szCs w:val="20"/>
          <w:shd w:val="clear" w:color="auto" w:fill="FFFFFF"/>
        </w:rPr>
        <w:t xml:space="preserve">TIF funds are not meeting the extra infrastructure and service requirements of TIF districts as they grow. This means cross-subsidies from other areas or sub-optimal TIF district development </w:t>
      </w:r>
    </w:p>
    <w:p w14:paraId="7494D517" w14:textId="77777777" w:rsidR="000E46CD" w:rsidRPr="000E46CD" w:rsidRDefault="000E46CD" w:rsidP="003C2621">
      <w:pPr>
        <w:pStyle w:val="ListParagraph"/>
        <w:numPr>
          <w:ilvl w:val="0"/>
          <w:numId w:val="9"/>
        </w:numPr>
        <w:rPr>
          <w:rFonts w:cs="Arial"/>
          <w:szCs w:val="20"/>
          <w:shd w:val="clear" w:color="auto" w:fill="FFFFFF"/>
        </w:rPr>
      </w:pPr>
      <w:r w:rsidRPr="000E46CD">
        <w:rPr>
          <w:rFonts w:cs="Arial"/>
          <w:szCs w:val="20"/>
          <w:shd w:val="clear" w:color="auto" w:fill="FFFFFF"/>
        </w:rPr>
        <w:t>It is possible for governments to suspend or cancel TIF districts</w:t>
      </w:r>
      <w:r w:rsidR="00C43630">
        <w:rPr>
          <w:rFonts w:cs="Arial"/>
          <w:szCs w:val="20"/>
          <w:shd w:val="clear" w:color="auto" w:fill="FFFFFF"/>
        </w:rPr>
        <w:t xml:space="preserve"> according to political circumstances</w:t>
      </w:r>
      <w:r w:rsidRPr="000E46CD">
        <w:rPr>
          <w:rFonts w:cs="Arial"/>
          <w:szCs w:val="20"/>
          <w:shd w:val="clear" w:color="auto" w:fill="FFFFFF"/>
        </w:rPr>
        <w:t xml:space="preserve">. In California, Governor Jerry Brown enacted legislation to eliminate nearly 400 agencies that had implemented TIFs in response to the state’s Fiscal 2010 Emergency proclamation. This stopped the diversion of property tax revenues to TIFs. It was reported in July 2015 that Chicago Mayor Emanuel planned to suspend new funding to 7 downtown TIF districts and shut down these TIF districts when existing projects were paid off. This was designed to retain approximately USD250 million over 5 years. </w:t>
      </w:r>
    </w:p>
    <w:p w14:paraId="0CBFC134" w14:textId="77777777" w:rsidR="00EF3C2F" w:rsidRPr="005D14D9" w:rsidRDefault="00EF3C2F" w:rsidP="00EF3C2F">
      <w:pPr>
        <w:rPr>
          <w:rFonts w:ascii="Arial" w:hAnsi="Arial" w:cs="Arial"/>
          <w:color w:val="252525"/>
          <w:shd w:val="clear" w:color="auto" w:fill="FFFFFF"/>
        </w:rPr>
      </w:pPr>
    </w:p>
    <w:p w14:paraId="3363A675" w14:textId="77777777" w:rsidR="00F27ED7" w:rsidRDefault="00EB15D6" w:rsidP="008F2B77">
      <w:pPr>
        <w:pStyle w:val="Heading2"/>
      </w:pPr>
      <w:bookmarkStart w:id="19" w:name="_Toc430896830"/>
      <w:r>
        <w:t xml:space="preserve">The Role of </w:t>
      </w:r>
      <w:r w:rsidR="00F27ED7">
        <w:t>Farebox Revenue</w:t>
      </w:r>
      <w:bookmarkEnd w:id="19"/>
      <w:r w:rsidR="00F27ED7">
        <w:t xml:space="preserve"> </w:t>
      </w:r>
    </w:p>
    <w:p w14:paraId="10F5A3AF" w14:textId="77777777" w:rsidR="00C830E3" w:rsidRDefault="00F77D6A" w:rsidP="00F27ED7">
      <w:r>
        <w:t xml:space="preserve">Farebox revenue is one </w:t>
      </w:r>
      <w:r w:rsidR="00BA6339">
        <w:t xml:space="preserve">source of funding for public transport infrastructure. </w:t>
      </w:r>
      <w:r>
        <w:t xml:space="preserve">In some jurisdictions, farebox revenue can support operating costs and even the cost of new infrastructure. </w:t>
      </w:r>
      <w:r w:rsidR="00C830E3">
        <w:t xml:space="preserve">The Hong Kong MRT is famous for its “rail + property” business model. However, it also generates a high profit each year from farebox revenue. </w:t>
      </w:r>
    </w:p>
    <w:p w14:paraId="3A95277F" w14:textId="77777777" w:rsidR="00C830E3" w:rsidRDefault="00C830E3" w:rsidP="00F27ED7"/>
    <w:p w14:paraId="07191273" w14:textId="77777777" w:rsidR="003A525A" w:rsidRDefault="00F27ED7" w:rsidP="003A525A">
      <w:r>
        <w:t xml:space="preserve">Typically, fare box revenue in Australia does not cover rail operating costs let alone fund new infrastructure construction. </w:t>
      </w:r>
      <w:r w:rsidR="00A273E4">
        <w:t xml:space="preserve">The BITRE Information Sheet 59 “Urban Public Transport Updated Trends,” concluded that “on average, such cost recovery levels are… around 31 per cent of annual UPT operating costs, across the five larger capitals.” </w:t>
      </w:r>
      <w:r w:rsidR="003A525A">
        <w:t>It is important to express this situation in dollar terms. The BITRE reported that the total cost of urban public transport provision in Australian was approximately AUD10 billion of which only AUD3 billion was returned in farebox revenue. This means that the total gap is AUD 7billion per year. TO look at this issue in another form, the Sydney Trains Annual Report 2013-14 noted that the total cost of each passenger journey was $7.95 while the revenue collected from each passenger journey was $2.65 – a loss/gap of $5.30 for every journey.</w:t>
      </w:r>
    </w:p>
    <w:p w14:paraId="67E57B0D" w14:textId="77777777" w:rsidR="00A273E4" w:rsidRDefault="00A273E4" w:rsidP="00F27ED7"/>
    <w:p w14:paraId="69AE812E" w14:textId="77777777" w:rsidR="00A273E4" w:rsidRDefault="009657A1" w:rsidP="00F27ED7">
      <w:r>
        <w:t>The following table lists Australian urban public transport farebox recovery ratios with comparable global cities.</w:t>
      </w:r>
    </w:p>
    <w:p w14:paraId="384C2593" w14:textId="32E53035" w:rsidR="002F2E6A" w:rsidRDefault="002F2E6A" w:rsidP="00C54E42">
      <w:pPr>
        <w:pStyle w:val="BodyText"/>
        <w:spacing w:line="245" w:lineRule="exact"/>
        <w:ind w:left="0" w:right="117"/>
        <w:rPr>
          <w:rFonts w:asciiTheme="minorHAnsi" w:hAnsiTheme="minorHAnsi"/>
        </w:rPr>
      </w:pPr>
    </w:p>
    <w:p w14:paraId="0D0175D4" w14:textId="77777777" w:rsidR="00E4454D" w:rsidRDefault="00E4454D" w:rsidP="00C54E42">
      <w:pPr>
        <w:pStyle w:val="BodyText"/>
        <w:spacing w:line="245" w:lineRule="exact"/>
        <w:ind w:left="0" w:right="117"/>
        <w:rPr>
          <w:rFonts w:asciiTheme="minorHAnsi" w:hAnsiTheme="minorHAnsi"/>
        </w:rPr>
      </w:pPr>
    </w:p>
    <w:p w14:paraId="0C120662" w14:textId="77777777" w:rsidR="00E4454D" w:rsidRDefault="00E4454D" w:rsidP="00C54E42">
      <w:pPr>
        <w:pStyle w:val="BodyText"/>
        <w:spacing w:line="245" w:lineRule="exact"/>
        <w:ind w:left="0" w:right="117"/>
        <w:rPr>
          <w:rFonts w:asciiTheme="minorHAnsi" w:hAnsiTheme="minorHAnsi"/>
        </w:rPr>
      </w:pPr>
    </w:p>
    <w:p w14:paraId="2A8B9234" w14:textId="77777777" w:rsidR="00E4454D" w:rsidRDefault="00E4454D" w:rsidP="00C54E42">
      <w:pPr>
        <w:pStyle w:val="BodyText"/>
        <w:spacing w:line="245" w:lineRule="exact"/>
        <w:ind w:left="0" w:right="117"/>
        <w:rPr>
          <w:rFonts w:asciiTheme="minorHAnsi" w:hAnsiTheme="minorHAnsi"/>
        </w:rPr>
      </w:pPr>
    </w:p>
    <w:p w14:paraId="47749BFF" w14:textId="77777777" w:rsidR="00E4454D" w:rsidRDefault="00E4454D" w:rsidP="00C54E42">
      <w:pPr>
        <w:pStyle w:val="BodyText"/>
        <w:spacing w:line="245" w:lineRule="exact"/>
        <w:ind w:left="0" w:right="117"/>
        <w:rPr>
          <w:rFonts w:asciiTheme="minorHAnsi" w:hAnsiTheme="minorHAnsi"/>
        </w:rPr>
      </w:pPr>
    </w:p>
    <w:p w14:paraId="5F916DEF" w14:textId="77777777" w:rsidR="00E4454D" w:rsidRDefault="00E4454D" w:rsidP="00C54E42">
      <w:pPr>
        <w:pStyle w:val="BodyText"/>
        <w:spacing w:line="245" w:lineRule="exact"/>
        <w:ind w:left="0" w:right="117"/>
        <w:rPr>
          <w:rFonts w:asciiTheme="minorHAnsi" w:hAnsiTheme="minorHAnsi"/>
        </w:rPr>
      </w:pPr>
    </w:p>
    <w:p w14:paraId="69336408" w14:textId="77777777" w:rsidR="00E4454D" w:rsidRDefault="00E4454D" w:rsidP="00C54E42">
      <w:pPr>
        <w:pStyle w:val="BodyText"/>
        <w:spacing w:line="245" w:lineRule="exact"/>
        <w:ind w:left="0" w:right="117"/>
        <w:rPr>
          <w:rFonts w:asciiTheme="minorHAnsi" w:hAnsiTheme="minorHAnsi"/>
        </w:rPr>
      </w:pPr>
    </w:p>
    <w:p w14:paraId="73916A8F" w14:textId="77777777" w:rsidR="00E4454D" w:rsidRDefault="00E4454D" w:rsidP="00C54E42">
      <w:pPr>
        <w:pStyle w:val="BodyText"/>
        <w:spacing w:line="245" w:lineRule="exact"/>
        <w:ind w:left="0" w:right="117"/>
        <w:rPr>
          <w:rFonts w:asciiTheme="minorHAnsi" w:hAnsiTheme="minorHAnsi"/>
        </w:rPr>
      </w:pPr>
    </w:p>
    <w:p w14:paraId="1C8B177E" w14:textId="3EEFB597" w:rsidR="002F2E6A" w:rsidRPr="00360A97" w:rsidRDefault="002F2E6A" w:rsidP="002F2E6A">
      <w:pPr>
        <w:pStyle w:val="Caption"/>
        <w:rPr>
          <w:b/>
        </w:rPr>
      </w:pPr>
      <w:bookmarkStart w:id="20" w:name="_Toc430896537"/>
      <w:r w:rsidRPr="007671A7">
        <w:t xml:space="preserve">TABLE </w:t>
      </w:r>
      <w:r w:rsidRPr="007671A7">
        <w:fldChar w:fldCharType="begin"/>
      </w:r>
      <w:r w:rsidRPr="007671A7">
        <w:instrText xml:space="preserve"> SEQ Table \* ARABIC </w:instrText>
      </w:r>
      <w:r w:rsidRPr="007671A7">
        <w:fldChar w:fldCharType="separate"/>
      </w:r>
      <w:r w:rsidR="00184C79">
        <w:rPr>
          <w:noProof/>
        </w:rPr>
        <w:t>3</w:t>
      </w:r>
      <w:r w:rsidRPr="007671A7">
        <w:rPr>
          <w:noProof/>
        </w:rPr>
        <w:fldChar w:fldCharType="end"/>
      </w:r>
      <w:r>
        <w:rPr>
          <w:noProof/>
        </w:rPr>
        <w:t>.</w:t>
      </w:r>
      <w:r w:rsidR="00E4454D">
        <w:t xml:space="preserve"> </w:t>
      </w:r>
      <w:r>
        <w:t>ratio of farebox recovery of operating costs</w:t>
      </w:r>
      <w:bookmarkEnd w:id="20"/>
    </w:p>
    <w:p w14:paraId="1F10EFE0" w14:textId="1A43B038" w:rsidR="002F2E6A" w:rsidRDefault="008F1B1C" w:rsidP="002F2E6A">
      <w:r>
        <w:rPr>
          <w:noProof/>
          <w:lang w:val="en-US" w:eastAsia="en-US"/>
        </w:rPr>
        <w:lastRenderedPageBreak/>
        <w:drawing>
          <wp:inline distT="0" distB="0" distL="0" distR="0" wp14:anchorId="2E243D4A" wp14:editId="66F6EF7A">
            <wp:extent cx="5362222" cy="38142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67345" cy="3817860"/>
                    </a:xfrm>
                    <a:prstGeom prst="rect">
                      <a:avLst/>
                    </a:prstGeom>
                    <a:noFill/>
                  </pic:spPr>
                </pic:pic>
              </a:graphicData>
            </a:graphic>
          </wp:inline>
        </w:drawing>
      </w:r>
    </w:p>
    <w:p w14:paraId="5C4A432F" w14:textId="77777777" w:rsidR="002F2E6A" w:rsidRDefault="002F2E6A" w:rsidP="00C54E42">
      <w:pPr>
        <w:pStyle w:val="BodyText"/>
        <w:spacing w:line="245" w:lineRule="exact"/>
        <w:ind w:left="0" w:right="117"/>
        <w:rPr>
          <w:rFonts w:asciiTheme="minorHAnsi" w:hAnsiTheme="minorHAnsi"/>
        </w:rPr>
      </w:pPr>
    </w:p>
    <w:p w14:paraId="47D6DE06" w14:textId="1A04936C" w:rsidR="00D31311" w:rsidRDefault="00C54E42" w:rsidP="00C54E42">
      <w:pPr>
        <w:pStyle w:val="BodyText"/>
        <w:spacing w:line="245" w:lineRule="exact"/>
        <w:ind w:left="0" w:right="117"/>
        <w:rPr>
          <w:rFonts w:asciiTheme="minorHAnsi" w:hAnsiTheme="minorHAnsi"/>
        </w:rPr>
      </w:pPr>
      <w:r>
        <w:rPr>
          <w:rFonts w:asciiTheme="minorHAnsi" w:hAnsiTheme="minorHAnsi"/>
        </w:rPr>
        <w:t xml:space="preserve">Farebox recovery </w:t>
      </w:r>
      <w:r w:rsidR="00FC11E8">
        <w:rPr>
          <w:rFonts w:asciiTheme="minorHAnsi" w:hAnsiTheme="minorHAnsi"/>
        </w:rPr>
        <w:t>should</w:t>
      </w:r>
      <w:r>
        <w:rPr>
          <w:rFonts w:asciiTheme="minorHAnsi" w:hAnsiTheme="minorHAnsi"/>
        </w:rPr>
        <w:t xml:space="preserve"> be analyzed in the broader context of urban form, employment patterns and social equity. For example, Sydney now was a high level of daily commuters travelling from outer suburbs to the Sydney CBD. </w:t>
      </w:r>
      <w:r w:rsidR="000F5CF9">
        <w:rPr>
          <w:rFonts w:asciiTheme="minorHAnsi" w:hAnsiTheme="minorHAnsi"/>
        </w:rPr>
        <w:t xml:space="preserve">Farebox for these commuters represents a significant proportion of their income. Long commuting times also has an impact on quality of life. </w:t>
      </w:r>
    </w:p>
    <w:p w14:paraId="1910669F" w14:textId="77777777" w:rsidR="00526050" w:rsidRDefault="00526050" w:rsidP="00C54E42">
      <w:pPr>
        <w:pStyle w:val="BodyText"/>
        <w:spacing w:line="245" w:lineRule="exact"/>
        <w:ind w:left="0" w:right="117"/>
        <w:rPr>
          <w:rFonts w:asciiTheme="minorHAnsi" w:hAnsiTheme="minorHAnsi"/>
        </w:rPr>
      </w:pPr>
    </w:p>
    <w:p w14:paraId="253D9E75" w14:textId="77777777" w:rsidR="00A05F3E" w:rsidRDefault="00A05F3E" w:rsidP="00C54E42">
      <w:pPr>
        <w:pStyle w:val="BodyText"/>
        <w:spacing w:line="245" w:lineRule="exact"/>
        <w:ind w:left="0" w:right="117"/>
        <w:rPr>
          <w:rFonts w:asciiTheme="minorHAnsi" w:hAnsiTheme="minorHAnsi"/>
        </w:rPr>
      </w:pPr>
      <w:r>
        <w:rPr>
          <w:rFonts w:asciiTheme="minorHAnsi" w:hAnsiTheme="minorHAnsi"/>
        </w:rPr>
        <w:t>Operating cost recovery levels in Australia are extremely low by international standards and the fiscal requirements for government to fund large recurring operating losses by state transit authorities are a major impediment to new network investment.</w:t>
      </w:r>
    </w:p>
    <w:p w14:paraId="47F4A6ED" w14:textId="77777777" w:rsidR="00A05F3E" w:rsidRDefault="00A05F3E" w:rsidP="00C54E42">
      <w:pPr>
        <w:pStyle w:val="BodyText"/>
        <w:spacing w:line="245" w:lineRule="exact"/>
        <w:ind w:left="0" w:right="117"/>
        <w:rPr>
          <w:rFonts w:asciiTheme="minorHAnsi" w:hAnsiTheme="minorHAnsi"/>
        </w:rPr>
      </w:pPr>
    </w:p>
    <w:p w14:paraId="0FB4A353" w14:textId="77777777" w:rsidR="00526050" w:rsidRDefault="00A05F3E" w:rsidP="00C54E42">
      <w:pPr>
        <w:pStyle w:val="BodyText"/>
        <w:spacing w:line="245" w:lineRule="exact"/>
        <w:ind w:left="0" w:right="117"/>
        <w:rPr>
          <w:rFonts w:asciiTheme="minorHAnsi" w:hAnsiTheme="minorHAnsi"/>
        </w:rPr>
      </w:pPr>
      <w:r>
        <w:rPr>
          <w:rFonts w:asciiTheme="minorHAnsi" w:hAnsiTheme="minorHAnsi"/>
        </w:rPr>
        <w:t xml:space="preserve"> </w:t>
      </w:r>
      <w:r w:rsidR="00526050">
        <w:rPr>
          <w:rFonts w:asciiTheme="minorHAnsi" w:hAnsiTheme="minorHAnsi"/>
        </w:rPr>
        <w:t xml:space="preserve">The provision of new transport infrastructure that improves amenity, reliability, network coverage and passenger experience is an important component of public dialogue that may </w:t>
      </w:r>
      <w:r>
        <w:rPr>
          <w:rFonts w:asciiTheme="minorHAnsi" w:hAnsiTheme="minorHAnsi"/>
        </w:rPr>
        <w:t xml:space="preserve">facilitate higher degrees of public transport utilization and </w:t>
      </w:r>
      <w:r w:rsidR="00526050">
        <w:rPr>
          <w:rFonts w:asciiTheme="minorHAnsi" w:hAnsiTheme="minorHAnsi"/>
        </w:rPr>
        <w:t xml:space="preserve">facilitate </w:t>
      </w:r>
      <w:r>
        <w:rPr>
          <w:rFonts w:asciiTheme="minorHAnsi" w:hAnsiTheme="minorHAnsi"/>
        </w:rPr>
        <w:t xml:space="preserve">long-term </w:t>
      </w:r>
      <w:r w:rsidR="00526050">
        <w:rPr>
          <w:rFonts w:asciiTheme="minorHAnsi" w:hAnsiTheme="minorHAnsi"/>
        </w:rPr>
        <w:t xml:space="preserve">pricing increases that will permit a greater level of operating cost recovery than currently exists. Public agreement to </w:t>
      </w:r>
      <w:r w:rsidR="007A2F74">
        <w:rPr>
          <w:rFonts w:asciiTheme="minorHAnsi" w:hAnsiTheme="minorHAnsi"/>
        </w:rPr>
        <w:t xml:space="preserve">real </w:t>
      </w:r>
      <w:r w:rsidR="00526050">
        <w:rPr>
          <w:rFonts w:asciiTheme="minorHAnsi" w:hAnsiTheme="minorHAnsi"/>
        </w:rPr>
        <w:t xml:space="preserve">price increases is </w:t>
      </w:r>
      <w:r>
        <w:rPr>
          <w:rFonts w:asciiTheme="minorHAnsi" w:hAnsiTheme="minorHAnsi"/>
        </w:rPr>
        <w:t xml:space="preserve">more </w:t>
      </w:r>
      <w:r w:rsidR="00526050">
        <w:rPr>
          <w:rFonts w:asciiTheme="minorHAnsi" w:hAnsiTheme="minorHAnsi"/>
        </w:rPr>
        <w:t xml:space="preserve">likely to be achieved when customer satisfaction </w:t>
      </w:r>
      <w:r>
        <w:rPr>
          <w:rFonts w:asciiTheme="minorHAnsi" w:hAnsiTheme="minorHAnsi"/>
        </w:rPr>
        <w:t xml:space="preserve">with the network </w:t>
      </w:r>
      <w:r w:rsidR="007A2F74">
        <w:rPr>
          <w:rFonts w:asciiTheme="minorHAnsi" w:hAnsiTheme="minorHAnsi"/>
        </w:rPr>
        <w:t xml:space="preserve">is being maximized through demonstrable improvements in new rolling stock, stations, locations, ticketing, communications and services. </w:t>
      </w:r>
    </w:p>
    <w:p w14:paraId="1FEA56BC" w14:textId="77777777" w:rsidR="00772A66" w:rsidRDefault="00772A66" w:rsidP="008F2B77">
      <w:pPr>
        <w:pStyle w:val="Heading2"/>
      </w:pPr>
      <w:bookmarkStart w:id="21" w:name="_Toc430896831"/>
      <w:r>
        <w:t>Value Capture Framework</w:t>
      </w:r>
      <w:bookmarkEnd w:id="21"/>
    </w:p>
    <w:p w14:paraId="7C0E2AE2" w14:textId="77777777" w:rsidR="00BF3FCE" w:rsidRDefault="00BF3FCE" w:rsidP="00BF3FCE">
      <w:r>
        <w:t xml:space="preserve">Value capture has become an accepted means of generating capital funding globally for new infrastructure, especially mass transit projects. It is based on the argument that transport infrastructure enhancements improve city access and travel times, thereby increasing economic activity and land values. An equitable proportion of this increased value is captured on behalf of taxpayers to fund or refund the cost of infrastructure. In short, </w:t>
      </w:r>
      <w:r w:rsidR="00EB0880">
        <w:t>value capture</w:t>
      </w:r>
      <w:r>
        <w:t xml:space="preserve"> addresses the argument that all taxpayers fund infrastructure yet there are relatively few direct beneficiaries of the ‘windfall’ profit. There is a growing body of research and economic analysis which supports the theory of value capture.  </w:t>
      </w:r>
    </w:p>
    <w:p w14:paraId="46900FF8" w14:textId="77777777" w:rsidR="00BF3FCE" w:rsidRDefault="00BF3FCE" w:rsidP="00BF3FCE"/>
    <w:p w14:paraId="1FC17E47" w14:textId="77777777" w:rsidR="00BF3FCE" w:rsidRDefault="00BF3FCE" w:rsidP="00BF3FCE">
      <w:pPr>
        <w:autoSpaceDE w:val="0"/>
        <w:autoSpaceDN w:val="0"/>
        <w:adjustRightInd w:val="0"/>
      </w:pPr>
      <w:r>
        <w:t>It</w:t>
      </w:r>
      <w:r w:rsidRPr="00FC6D65">
        <w:rPr>
          <w:rFonts w:cs="Century Gothic"/>
        </w:rPr>
        <w:t xml:space="preserve"> is possible that a blend of targeted new </w:t>
      </w:r>
      <w:r>
        <w:rPr>
          <w:rFonts w:cs="Century Gothic"/>
        </w:rPr>
        <w:t>value capture mechanisms</w:t>
      </w:r>
      <w:r w:rsidRPr="00FC6D65">
        <w:rPr>
          <w:rFonts w:cs="Century Gothic"/>
        </w:rPr>
        <w:t xml:space="preserve"> set at </w:t>
      </w:r>
      <w:r>
        <w:rPr>
          <w:rFonts w:cs="Century Gothic"/>
        </w:rPr>
        <w:t>fair and equitable</w:t>
      </w:r>
      <w:r w:rsidRPr="00FC6D65">
        <w:rPr>
          <w:rFonts w:cs="Century Gothic"/>
        </w:rPr>
        <w:t xml:space="preserve"> rate</w:t>
      </w:r>
      <w:r>
        <w:rPr>
          <w:rFonts w:cs="Century Gothic"/>
        </w:rPr>
        <w:t>s</w:t>
      </w:r>
      <w:r w:rsidRPr="00FC6D65">
        <w:rPr>
          <w:rFonts w:cs="Century Gothic"/>
        </w:rPr>
        <w:t xml:space="preserve"> could </w:t>
      </w:r>
      <w:r>
        <w:rPr>
          <w:rFonts w:cs="Century Gothic"/>
        </w:rPr>
        <w:t xml:space="preserve">generate satisfactory levels of co-funding to gain support for new cultural infrastructure proposals. </w:t>
      </w:r>
    </w:p>
    <w:p w14:paraId="5D1633D2" w14:textId="77777777" w:rsidR="00E57B2B" w:rsidRDefault="00E57B2B" w:rsidP="00BF3FCE"/>
    <w:p w14:paraId="37CEEAD0" w14:textId="77777777" w:rsidR="00BF3FCE" w:rsidRDefault="00BF3FCE" w:rsidP="00BF3FCE">
      <w:r>
        <w:t>Value capture is based on an inter-related set of principles:</w:t>
      </w:r>
    </w:p>
    <w:p w14:paraId="1812FA24" w14:textId="77777777" w:rsidR="00E57B2B" w:rsidRDefault="00E57B2B" w:rsidP="00BF3FCE"/>
    <w:p w14:paraId="2B1302FB" w14:textId="77777777" w:rsidR="00BF3FCE" w:rsidRDefault="00BF3FCE" w:rsidP="00791C11">
      <w:pPr>
        <w:pStyle w:val="Bullet1"/>
        <w:numPr>
          <w:ilvl w:val="0"/>
          <w:numId w:val="39"/>
        </w:numPr>
      </w:pPr>
      <w:r>
        <w:lastRenderedPageBreak/>
        <w:t xml:space="preserve">Taxpayers fund infrastructure yet few receive a direct benefit or windfall profit </w:t>
      </w:r>
    </w:p>
    <w:p w14:paraId="1366311A" w14:textId="77777777" w:rsidR="00BF3FCE" w:rsidRDefault="00BF3FCE" w:rsidP="00791C11">
      <w:pPr>
        <w:pStyle w:val="Bullet1"/>
        <w:numPr>
          <w:ilvl w:val="0"/>
          <w:numId w:val="39"/>
        </w:numPr>
      </w:pPr>
      <w:r>
        <w:t>Principal beneficiaries of new and upgraded infrastructure who receive a windfall profit should provide a reasonable share of project funding in return</w:t>
      </w:r>
    </w:p>
    <w:p w14:paraId="527664B9" w14:textId="77777777" w:rsidR="00BF3FCE" w:rsidRDefault="00BF3FCE" w:rsidP="00791C11">
      <w:pPr>
        <w:pStyle w:val="Bullet1"/>
        <w:numPr>
          <w:ilvl w:val="0"/>
          <w:numId w:val="39"/>
        </w:numPr>
      </w:pPr>
      <w:r>
        <w:t>Value capture methodology should be sound, systematic, evidence-based, equitable and acceptable to all parties</w:t>
      </w:r>
    </w:p>
    <w:p w14:paraId="2302E27A" w14:textId="77777777" w:rsidR="00BF3FCE" w:rsidRDefault="00BF3FCE" w:rsidP="00791C11">
      <w:pPr>
        <w:pStyle w:val="Bullet1"/>
        <w:numPr>
          <w:ilvl w:val="0"/>
          <w:numId w:val="39"/>
        </w:numPr>
      </w:pPr>
      <w:r>
        <w:t>Multiple value capture mechanisms can be introduced to spread the cost across the beneficiary base equitably.</w:t>
      </w:r>
    </w:p>
    <w:p w14:paraId="40B730EC" w14:textId="77777777" w:rsidR="00BF3FCE" w:rsidRDefault="00BF3FCE" w:rsidP="00F9751B"/>
    <w:p w14:paraId="4EDC95F7" w14:textId="77777777" w:rsidR="00F9751B" w:rsidRDefault="00F9751B" w:rsidP="00F9751B">
      <w:r>
        <w:t xml:space="preserve">Ultimately, the value capture framework should be developed to a standard where it can be integrated into the </w:t>
      </w:r>
      <w:r w:rsidR="00E57B2B">
        <w:t xml:space="preserve">government agency </w:t>
      </w:r>
      <w:r>
        <w:t>business case as a core factor supporting project approval and funding on the basis of identifying tangible and deliverable co-funding sources.</w:t>
      </w:r>
    </w:p>
    <w:p w14:paraId="7F720276" w14:textId="77777777" w:rsidR="00F9751B" w:rsidRDefault="00F9751B" w:rsidP="00F9751B"/>
    <w:p w14:paraId="53D571FC" w14:textId="46C78A4F" w:rsidR="00F9751B" w:rsidRDefault="00F9751B" w:rsidP="00F9751B">
      <w:r>
        <w:t>A typical value capture framework has 4 stages:</w:t>
      </w:r>
    </w:p>
    <w:p w14:paraId="3E82B9F9" w14:textId="29E5C2DD" w:rsidR="00F9751B" w:rsidRDefault="00896C6F" w:rsidP="00896C6F">
      <w:pPr>
        <w:pStyle w:val="Caption"/>
        <w:rPr>
          <w:b/>
        </w:rPr>
      </w:pPr>
      <w:bookmarkStart w:id="22" w:name="_Toc397952115"/>
      <w:bookmarkStart w:id="23" w:name="_Toc399928563"/>
      <w:bookmarkStart w:id="24" w:name="_Toc430896538"/>
      <w:r>
        <w:t xml:space="preserve">Table </w:t>
      </w:r>
      <w:r>
        <w:fldChar w:fldCharType="begin"/>
      </w:r>
      <w:r>
        <w:instrText xml:space="preserve"> SEQ Table \* ARABIC </w:instrText>
      </w:r>
      <w:r>
        <w:fldChar w:fldCharType="separate"/>
      </w:r>
      <w:r w:rsidR="00184C79">
        <w:rPr>
          <w:noProof/>
        </w:rPr>
        <w:t>4</w:t>
      </w:r>
      <w:r>
        <w:fldChar w:fldCharType="end"/>
      </w:r>
      <w:r>
        <w:t>.</w:t>
      </w:r>
      <w:r w:rsidR="00E4454D">
        <w:t xml:space="preserve"> </w:t>
      </w:r>
      <w:r w:rsidR="00F9751B">
        <w:t>value capture framework</w:t>
      </w:r>
      <w:bookmarkEnd w:id="22"/>
      <w:bookmarkEnd w:id="23"/>
      <w:bookmarkEnd w:id="24"/>
    </w:p>
    <w:tbl>
      <w:tblPr>
        <w:tblStyle w:val="TableGrid"/>
        <w:tblW w:w="4620" w:type="pct"/>
        <w:tblLook w:val="04A0" w:firstRow="1" w:lastRow="0" w:firstColumn="1" w:lastColumn="0" w:noHBand="0" w:noVBand="1"/>
      </w:tblPr>
      <w:tblGrid>
        <w:gridCol w:w="8851"/>
      </w:tblGrid>
      <w:tr w:rsidR="00F9751B" w14:paraId="1EA168D5" w14:textId="77777777" w:rsidTr="002342C5">
        <w:trPr>
          <w:trHeight w:val="1123"/>
        </w:trPr>
        <w:tc>
          <w:tcPr>
            <w:tcW w:w="5000" w:type="pct"/>
          </w:tcPr>
          <w:tbl>
            <w:tblPr>
              <w:tblStyle w:val="GridTable4-Accent21"/>
              <w:tblW w:w="8625" w:type="dxa"/>
              <w:tblLook w:val="04A0" w:firstRow="1" w:lastRow="0" w:firstColumn="1" w:lastColumn="0" w:noHBand="0" w:noVBand="1"/>
            </w:tblPr>
            <w:tblGrid>
              <w:gridCol w:w="2613"/>
              <w:gridCol w:w="6012"/>
            </w:tblGrid>
            <w:tr w:rsidR="00F9751B" w:rsidRPr="00896C6F" w14:paraId="657211B5" w14:textId="77777777" w:rsidTr="00601D64">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613" w:type="dxa"/>
                  <w:tcBorders>
                    <w:top w:val="none" w:sz="0" w:space="0" w:color="auto"/>
                    <w:left w:val="none" w:sz="0" w:space="0" w:color="auto"/>
                    <w:bottom w:val="none" w:sz="0" w:space="0" w:color="auto"/>
                    <w:right w:val="none" w:sz="0" w:space="0" w:color="auto"/>
                  </w:tcBorders>
                </w:tcPr>
                <w:p w14:paraId="38254EBD" w14:textId="77777777" w:rsidR="00F9751B" w:rsidRPr="00896C6F" w:rsidRDefault="00F9751B" w:rsidP="002342C5">
                  <w:pPr>
                    <w:pStyle w:val="TableText0"/>
                    <w:rPr>
                      <w:b w:val="0"/>
                      <w:sz w:val="18"/>
                      <w:szCs w:val="18"/>
                    </w:rPr>
                  </w:pPr>
                  <w:r w:rsidRPr="00896C6F">
                    <w:rPr>
                      <w:b w:val="0"/>
                      <w:sz w:val="18"/>
                      <w:szCs w:val="18"/>
                    </w:rPr>
                    <w:t>Value Capture – Stages</w:t>
                  </w:r>
                </w:p>
              </w:tc>
              <w:tc>
                <w:tcPr>
                  <w:tcW w:w="6012" w:type="dxa"/>
                  <w:tcBorders>
                    <w:top w:val="none" w:sz="0" w:space="0" w:color="auto"/>
                    <w:left w:val="none" w:sz="0" w:space="0" w:color="auto"/>
                    <w:bottom w:val="none" w:sz="0" w:space="0" w:color="auto"/>
                    <w:right w:val="none" w:sz="0" w:space="0" w:color="auto"/>
                  </w:tcBorders>
                </w:tcPr>
                <w:p w14:paraId="0A4A74DE" w14:textId="77777777" w:rsidR="00F9751B" w:rsidRPr="00896C6F" w:rsidRDefault="00F9751B" w:rsidP="002342C5">
                  <w:pPr>
                    <w:pStyle w:val="TableText0"/>
                    <w:cnfStyle w:val="100000000000" w:firstRow="1" w:lastRow="0" w:firstColumn="0" w:lastColumn="0" w:oddVBand="0" w:evenVBand="0" w:oddHBand="0" w:evenHBand="0" w:firstRowFirstColumn="0" w:firstRowLastColumn="0" w:lastRowFirstColumn="0" w:lastRowLastColumn="0"/>
                    <w:rPr>
                      <w:b w:val="0"/>
                      <w:sz w:val="18"/>
                      <w:szCs w:val="18"/>
                    </w:rPr>
                  </w:pPr>
                  <w:r w:rsidRPr="00896C6F">
                    <w:rPr>
                      <w:b w:val="0"/>
                      <w:sz w:val="18"/>
                      <w:szCs w:val="18"/>
                    </w:rPr>
                    <w:t>Objectives of Stage</w:t>
                  </w:r>
                </w:p>
              </w:tc>
            </w:tr>
            <w:tr w:rsidR="00F9751B" w:rsidRPr="00896C6F" w14:paraId="442ADFE4" w14:textId="77777777" w:rsidTr="00601D64">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2613" w:type="dxa"/>
                </w:tcPr>
                <w:p w14:paraId="641E3B45" w14:textId="77777777" w:rsidR="00F9751B" w:rsidRPr="00896C6F" w:rsidRDefault="00F9751B" w:rsidP="00791C11">
                  <w:pPr>
                    <w:pStyle w:val="TableText0"/>
                    <w:numPr>
                      <w:ilvl w:val="0"/>
                      <w:numId w:val="38"/>
                    </w:numPr>
                    <w:rPr>
                      <w:sz w:val="18"/>
                      <w:szCs w:val="18"/>
                    </w:rPr>
                  </w:pPr>
                  <w:r w:rsidRPr="00896C6F">
                    <w:rPr>
                      <w:sz w:val="18"/>
                      <w:szCs w:val="18"/>
                    </w:rPr>
                    <w:t>Context</w:t>
                  </w:r>
                </w:p>
              </w:tc>
              <w:tc>
                <w:tcPr>
                  <w:tcW w:w="6012" w:type="dxa"/>
                </w:tcPr>
                <w:p w14:paraId="76D4C332"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Define draft project area</w:t>
                  </w:r>
                </w:p>
                <w:p w14:paraId="5B513C0A"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Consult stakeholders</w:t>
                  </w:r>
                </w:p>
                <w:p w14:paraId="5679349B"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Collect baseline data</w:t>
                  </w:r>
                </w:p>
                <w:p w14:paraId="02E40A82"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 xml:space="preserve">Assess planning controls </w:t>
                  </w:r>
                </w:p>
                <w:p w14:paraId="0173DBCC"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Map market development (now against future)</w:t>
                  </w:r>
                </w:p>
                <w:p w14:paraId="54C3C7EC"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Identify negatives and challenges (such as statutory issues)</w:t>
                  </w:r>
                </w:p>
                <w:p w14:paraId="75D99D04"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Conduct gap analysis</w:t>
                  </w:r>
                </w:p>
                <w:p w14:paraId="38698BF4" w14:textId="77777777" w:rsidR="00F9751B" w:rsidRPr="00896C6F" w:rsidRDefault="00F9751B" w:rsidP="001A3C1E">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Identify value capture options</w:t>
                  </w:r>
                </w:p>
              </w:tc>
            </w:tr>
            <w:tr w:rsidR="00F9751B" w:rsidRPr="00896C6F" w14:paraId="79F67DB2" w14:textId="77777777" w:rsidTr="00601D64">
              <w:trPr>
                <w:trHeight w:val="1134"/>
              </w:trPr>
              <w:tc>
                <w:tcPr>
                  <w:cnfStyle w:val="001000000000" w:firstRow="0" w:lastRow="0" w:firstColumn="1" w:lastColumn="0" w:oddVBand="0" w:evenVBand="0" w:oddHBand="0" w:evenHBand="0" w:firstRowFirstColumn="0" w:firstRowLastColumn="0" w:lastRowFirstColumn="0" w:lastRowLastColumn="0"/>
                  <w:tcW w:w="2613" w:type="dxa"/>
                </w:tcPr>
                <w:p w14:paraId="3BDBF5E9" w14:textId="77777777" w:rsidR="00F9751B" w:rsidRPr="00896C6F" w:rsidRDefault="00F9751B" w:rsidP="00791C11">
                  <w:pPr>
                    <w:pStyle w:val="TableText0"/>
                    <w:numPr>
                      <w:ilvl w:val="0"/>
                      <w:numId w:val="38"/>
                    </w:numPr>
                    <w:rPr>
                      <w:sz w:val="18"/>
                      <w:szCs w:val="18"/>
                    </w:rPr>
                  </w:pPr>
                  <w:r w:rsidRPr="00896C6F">
                    <w:rPr>
                      <w:sz w:val="18"/>
                      <w:szCs w:val="18"/>
                    </w:rPr>
                    <w:t>Analysis</w:t>
                  </w:r>
                </w:p>
              </w:tc>
              <w:tc>
                <w:tcPr>
                  <w:tcW w:w="6012" w:type="dxa"/>
                </w:tcPr>
                <w:p w14:paraId="0075BB73"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Finalize project area</w:t>
                  </w:r>
                </w:p>
                <w:p w14:paraId="3FA4C90C"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Identify beneficiaries</w:t>
                  </w:r>
                </w:p>
                <w:p w14:paraId="2FC1B9E3"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Build evidence of direct and actual benefit</w:t>
                  </w:r>
                </w:p>
                <w:p w14:paraId="36050751" w14:textId="77777777" w:rsidR="00F9751B" w:rsidRPr="00896C6F" w:rsidRDefault="00F9751B" w:rsidP="001A3C1E">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Select optimal value capture method(s)</w:t>
                  </w:r>
                </w:p>
              </w:tc>
            </w:tr>
            <w:tr w:rsidR="00F9751B" w:rsidRPr="00896C6F" w14:paraId="359CC377" w14:textId="77777777" w:rsidTr="00601D64">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613" w:type="dxa"/>
                </w:tcPr>
                <w:p w14:paraId="00411C9D" w14:textId="77777777" w:rsidR="00F9751B" w:rsidRPr="00896C6F" w:rsidRDefault="00F9751B" w:rsidP="00791C11">
                  <w:pPr>
                    <w:pStyle w:val="TableText0"/>
                    <w:numPr>
                      <w:ilvl w:val="0"/>
                      <w:numId w:val="38"/>
                    </w:numPr>
                    <w:rPr>
                      <w:sz w:val="18"/>
                      <w:szCs w:val="18"/>
                    </w:rPr>
                  </w:pPr>
                  <w:r w:rsidRPr="00896C6F">
                    <w:rPr>
                      <w:sz w:val="18"/>
                      <w:szCs w:val="18"/>
                    </w:rPr>
                    <w:t>Calculation</w:t>
                  </w:r>
                </w:p>
              </w:tc>
              <w:tc>
                <w:tcPr>
                  <w:tcW w:w="6012" w:type="dxa"/>
                </w:tcPr>
                <w:p w14:paraId="5CF36BC1"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Finalise value capture package (multiple mechanisms can spread costs equitably – avoid duplication)</w:t>
                  </w:r>
                </w:p>
                <w:p w14:paraId="0179B837" w14:textId="77777777" w:rsidR="00F9751B" w:rsidRPr="00896C6F" w:rsidRDefault="00F9751B" w:rsidP="001A3C1E">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 xml:space="preserve">Calculate revenue (timing, structure, quantum and termination date of revenues) </w:t>
                  </w:r>
                </w:p>
              </w:tc>
            </w:tr>
            <w:tr w:rsidR="00F9751B" w:rsidRPr="00896C6F" w14:paraId="60EE4EE0" w14:textId="77777777" w:rsidTr="00601D64">
              <w:trPr>
                <w:trHeight w:val="533"/>
              </w:trPr>
              <w:tc>
                <w:tcPr>
                  <w:cnfStyle w:val="001000000000" w:firstRow="0" w:lastRow="0" w:firstColumn="1" w:lastColumn="0" w:oddVBand="0" w:evenVBand="0" w:oddHBand="0" w:evenHBand="0" w:firstRowFirstColumn="0" w:firstRowLastColumn="0" w:lastRowFirstColumn="0" w:lastRowLastColumn="0"/>
                  <w:tcW w:w="2613" w:type="dxa"/>
                </w:tcPr>
                <w:p w14:paraId="5A036986" w14:textId="77777777" w:rsidR="00F9751B" w:rsidRPr="00896C6F" w:rsidRDefault="00F9751B" w:rsidP="00791C11">
                  <w:pPr>
                    <w:pStyle w:val="TableText0"/>
                    <w:numPr>
                      <w:ilvl w:val="0"/>
                      <w:numId w:val="38"/>
                    </w:numPr>
                    <w:rPr>
                      <w:sz w:val="18"/>
                      <w:szCs w:val="18"/>
                    </w:rPr>
                  </w:pPr>
                  <w:r w:rsidRPr="00896C6F">
                    <w:rPr>
                      <w:sz w:val="18"/>
                      <w:szCs w:val="18"/>
                    </w:rPr>
                    <w:t>Decision</w:t>
                  </w:r>
                </w:p>
              </w:tc>
              <w:tc>
                <w:tcPr>
                  <w:tcW w:w="6012" w:type="dxa"/>
                </w:tcPr>
                <w:p w14:paraId="4FF40EF3" w14:textId="77777777" w:rsidR="00F9751B" w:rsidRPr="00896C6F" w:rsidRDefault="00F9751B" w:rsidP="001A3C1E">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Determine feasibility of implementing value capture proposition (assess whether revenue justifies process/effort)</w:t>
                  </w:r>
                </w:p>
              </w:tc>
            </w:tr>
          </w:tbl>
          <w:p w14:paraId="3154D5F8" w14:textId="77777777" w:rsidR="00F9751B" w:rsidRDefault="00F9751B" w:rsidP="002342C5">
            <w:pPr>
              <w:pStyle w:val="TableText0"/>
              <w:rPr>
                <w:highlight w:val="yellow"/>
              </w:rPr>
            </w:pPr>
          </w:p>
        </w:tc>
      </w:tr>
    </w:tbl>
    <w:p w14:paraId="313F6FC6" w14:textId="77777777" w:rsidR="00F9751B" w:rsidRDefault="00F9751B" w:rsidP="00F9751B">
      <w:pPr>
        <w:pStyle w:val="TableSource0"/>
      </w:pPr>
      <w:r w:rsidRPr="00F53A63">
        <w:t xml:space="preserve">Source: </w:t>
      </w:r>
      <w:r>
        <w:t xml:space="preserve">SGS Economics and Planning, 2014 </w:t>
      </w:r>
    </w:p>
    <w:p w14:paraId="69AFC1D7" w14:textId="77777777" w:rsidR="00F9751B" w:rsidRPr="00F53A63" w:rsidRDefault="00F9751B" w:rsidP="00F9751B">
      <w:pPr>
        <w:pStyle w:val="TableSource0"/>
      </w:pPr>
    </w:p>
    <w:p w14:paraId="16AC36D1" w14:textId="77777777" w:rsidR="00F9751B" w:rsidRDefault="00F9751B" w:rsidP="00DF4E71">
      <w:pPr>
        <w:pStyle w:val="Breakoutheading"/>
      </w:pPr>
      <w:r w:rsidRPr="00691FA0">
        <w:t xml:space="preserve">Stage 1: Context </w:t>
      </w:r>
    </w:p>
    <w:p w14:paraId="67BF9E01" w14:textId="77777777" w:rsidR="00F9751B" w:rsidRDefault="00F9751B" w:rsidP="00F9751B">
      <w:r>
        <w:t>During Stage 1, the context for the introduction of a value capture mechanisms is investigated. A key element of this stage is defining the draft project area, which will inform the scope of the</w:t>
      </w:r>
      <w:r w:rsidRPr="00535783">
        <w:t xml:space="preserve"> </w:t>
      </w:r>
      <w:r>
        <w:t xml:space="preserve">geographical area or market from which contributions are sought. Defining the project area should draw on consultation with stakeholders, as well as baseline data. Planning controls should be assessed to understand the potential hurdles or enablers to introducing the mechanism, as well as the identification of negatives and challenges (such as statutory issues). A baseline should be informed by the mapping of market development (now against future) and a gap analysis. Finally, at this stage value capture options should be able to be identified. </w:t>
      </w:r>
    </w:p>
    <w:p w14:paraId="3D1D8167" w14:textId="77777777" w:rsidR="00F9751B" w:rsidRDefault="00F9751B" w:rsidP="00F9751B"/>
    <w:p w14:paraId="2FFA1B9E" w14:textId="77777777" w:rsidR="00F9751B" w:rsidRPr="00691FA0" w:rsidRDefault="00F9751B" w:rsidP="00DF4E71">
      <w:pPr>
        <w:pStyle w:val="Breakoutheading"/>
      </w:pPr>
      <w:r w:rsidRPr="00691FA0">
        <w:t>Stage 2: Value Analysis</w:t>
      </w:r>
    </w:p>
    <w:p w14:paraId="29025604" w14:textId="77777777" w:rsidR="00F9751B" w:rsidRDefault="00F9751B" w:rsidP="00F9751B">
      <w:r>
        <w:t>The Value Analysis (Stage 2) should be consistent with the following principles in terms of both direct benefits and broader economic benefits (</w:t>
      </w:r>
      <w:r>
        <w:fldChar w:fldCharType="begin"/>
      </w:r>
      <w:r>
        <w:instrText xml:space="preserve"> REF _Ref397945419 \h </w:instrText>
      </w:r>
      <w:r>
        <w:fldChar w:fldCharType="separate"/>
      </w:r>
      <w:r w:rsidR="00184C79">
        <w:t xml:space="preserve">Table </w:t>
      </w:r>
      <w:r w:rsidR="00184C79">
        <w:rPr>
          <w:noProof/>
        </w:rPr>
        <w:t>5</w:t>
      </w:r>
      <w:r>
        <w:fldChar w:fldCharType="end"/>
      </w:r>
      <w:r>
        <w:t xml:space="preserve">). </w:t>
      </w:r>
    </w:p>
    <w:p w14:paraId="59AA9438" w14:textId="0D1AD681" w:rsidR="00F9751B" w:rsidRDefault="00F9751B" w:rsidP="00F9751B">
      <w:pPr>
        <w:pStyle w:val="Caption"/>
        <w:keepNext/>
        <w:keepLines/>
        <w:rPr>
          <w:b/>
        </w:rPr>
      </w:pPr>
      <w:bookmarkStart w:id="25" w:name="_Ref397945419"/>
      <w:bookmarkStart w:id="26" w:name="_Toc397952124"/>
      <w:bookmarkStart w:id="27" w:name="_Toc399928578"/>
      <w:bookmarkStart w:id="28" w:name="_Toc430896539"/>
      <w:r>
        <w:lastRenderedPageBreak/>
        <w:t xml:space="preserve">Table </w:t>
      </w:r>
      <w:r>
        <w:fldChar w:fldCharType="begin"/>
      </w:r>
      <w:r>
        <w:instrText xml:space="preserve"> SEQ Table \* ARABIC </w:instrText>
      </w:r>
      <w:r>
        <w:fldChar w:fldCharType="separate"/>
      </w:r>
      <w:r w:rsidR="00184C79">
        <w:rPr>
          <w:noProof/>
        </w:rPr>
        <w:t>5</w:t>
      </w:r>
      <w:r>
        <w:rPr>
          <w:noProof/>
        </w:rPr>
        <w:fldChar w:fldCharType="end"/>
      </w:r>
      <w:bookmarkEnd w:id="25"/>
      <w:r w:rsidR="00896C6F">
        <w:rPr>
          <w:noProof/>
        </w:rPr>
        <w:t>.</w:t>
      </w:r>
      <w:r w:rsidR="00E4454D">
        <w:rPr>
          <w:noProof/>
        </w:rPr>
        <w:t xml:space="preserve"> </w:t>
      </w:r>
      <w:r>
        <w:t>value analysis – principles of benefit quantification</w:t>
      </w:r>
      <w:bookmarkEnd w:id="26"/>
      <w:bookmarkEnd w:id="27"/>
      <w:bookmarkEnd w:id="28"/>
      <w:r>
        <w:t xml:space="preserve"> </w:t>
      </w:r>
    </w:p>
    <w:tbl>
      <w:tblPr>
        <w:tblStyle w:val="MediumShading1-Accent2"/>
        <w:tblW w:w="0" w:type="auto"/>
        <w:tblBorders>
          <w:top w:val="single" w:sz="8" w:space="0" w:color="76B900" w:themeColor="accent2"/>
          <w:left w:val="single" w:sz="8" w:space="0" w:color="76B900" w:themeColor="accent2"/>
          <w:bottom w:val="single" w:sz="8" w:space="0" w:color="76B900" w:themeColor="accent2"/>
          <w:right w:val="single" w:sz="8" w:space="0" w:color="76B900" w:themeColor="accent2"/>
        </w:tblBorders>
        <w:tblLook w:val="04A0" w:firstRow="1" w:lastRow="0" w:firstColumn="1" w:lastColumn="0" w:noHBand="0" w:noVBand="1"/>
      </w:tblPr>
      <w:tblGrid>
        <w:gridCol w:w="4442"/>
        <w:gridCol w:w="4484"/>
      </w:tblGrid>
      <w:tr w:rsidR="00F9751B" w:rsidRPr="00896C6F" w14:paraId="162CBB65"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top w:val="none" w:sz="0" w:space="0" w:color="auto"/>
              <w:left w:val="none" w:sz="0" w:space="0" w:color="auto"/>
              <w:bottom w:val="none" w:sz="0" w:space="0" w:color="auto"/>
              <w:right w:val="none" w:sz="0" w:space="0" w:color="auto"/>
            </w:tcBorders>
          </w:tcPr>
          <w:p w14:paraId="00050E1A" w14:textId="77777777" w:rsidR="00F9751B" w:rsidRPr="00896C6F" w:rsidRDefault="00F9751B" w:rsidP="002342C5">
            <w:pPr>
              <w:pStyle w:val="TableText0"/>
              <w:rPr>
                <w:sz w:val="18"/>
              </w:rPr>
            </w:pPr>
            <w:r w:rsidRPr="00896C6F">
              <w:rPr>
                <w:sz w:val="18"/>
              </w:rPr>
              <w:t>Direct Value Uplift</w:t>
            </w:r>
          </w:p>
        </w:tc>
        <w:tc>
          <w:tcPr>
            <w:tcW w:w="4559" w:type="dxa"/>
            <w:tcBorders>
              <w:top w:val="none" w:sz="0" w:space="0" w:color="auto"/>
              <w:left w:val="none" w:sz="0" w:space="0" w:color="auto"/>
              <w:bottom w:val="none" w:sz="0" w:space="0" w:color="auto"/>
              <w:right w:val="none" w:sz="0" w:space="0" w:color="auto"/>
            </w:tcBorders>
          </w:tcPr>
          <w:p w14:paraId="5CFAA22F" w14:textId="77777777" w:rsidR="00F9751B" w:rsidRPr="00896C6F" w:rsidRDefault="00F9751B" w:rsidP="002342C5">
            <w:pPr>
              <w:pStyle w:val="TableText0"/>
              <w:cnfStyle w:val="100000000000" w:firstRow="1" w:lastRow="0" w:firstColumn="0" w:lastColumn="0" w:oddVBand="0" w:evenVBand="0" w:oddHBand="0" w:evenHBand="0" w:firstRowFirstColumn="0" w:firstRowLastColumn="0" w:lastRowFirstColumn="0" w:lastRowLastColumn="0"/>
              <w:rPr>
                <w:sz w:val="18"/>
              </w:rPr>
            </w:pPr>
            <w:r w:rsidRPr="00896C6F">
              <w:rPr>
                <w:sz w:val="18"/>
              </w:rPr>
              <w:t>Economic &amp; Social Benefits</w:t>
            </w:r>
          </w:p>
        </w:tc>
      </w:tr>
      <w:tr w:rsidR="00F9751B" w:rsidRPr="00896C6F" w14:paraId="22F1926A"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right w:val="none" w:sz="0" w:space="0" w:color="auto"/>
            </w:tcBorders>
          </w:tcPr>
          <w:p w14:paraId="4D1DDC9F" w14:textId="77777777" w:rsidR="00F9751B" w:rsidRPr="00896C6F" w:rsidRDefault="00F9751B" w:rsidP="002342C5">
            <w:pPr>
              <w:pStyle w:val="TableText0"/>
              <w:rPr>
                <w:b w:val="0"/>
                <w:sz w:val="18"/>
              </w:rPr>
            </w:pPr>
            <w:r w:rsidRPr="00896C6F">
              <w:rPr>
                <w:b w:val="0"/>
                <w:sz w:val="18"/>
              </w:rPr>
              <w:t>Ability to calculate positive and negative impacts</w:t>
            </w:r>
          </w:p>
        </w:tc>
        <w:tc>
          <w:tcPr>
            <w:tcW w:w="4559" w:type="dxa"/>
            <w:tcBorders>
              <w:left w:val="none" w:sz="0" w:space="0" w:color="auto"/>
            </w:tcBorders>
          </w:tcPr>
          <w:p w14:paraId="0DA58BD1"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Broader economic analysis (e.g. “visitor economy”)</w:t>
            </w:r>
          </w:p>
        </w:tc>
      </w:tr>
      <w:tr w:rsidR="00F9751B" w:rsidRPr="00896C6F" w14:paraId="11F8DF88" w14:textId="77777777" w:rsidTr="00896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right w:val="none" w:sz="0" w:space="0" w:color="auto"/>
            </w:tcBorders>
          </w:tcPr>
          <w:p w14:paraId="288ABCE8" w14:textId="77777777" w:rsidR="00F9751B" w:rsidRPr="00896C6F" w:rsidRDefault="00F9751B" w:rsidP="002342C5">
            <w:pPr>
              <w:pStyle w:val="TableText0"/>
              <w:rPr>
                <w:b w:val="0"/>
                <w:sz w:val="18"/>
              </w:rPr>
            </w:pPr>
            <w:r w:rsidRPr="00896C6F">
              <w:rPr>
                <w:b w:val="0"/>
                <w:sz w:val="18"/>
              </w:rPr>
              <w:t xml:space="preserve">Equitable </w:t>
            </w:r>
          </w:p>
        </w:tc>
        <w:tc>
          <w:tcPr>
            <w:tcW w:w="4559" w:type="dxa"/>
            <w:tcBorders>
              <w:left w:val="none" w:sz="0" w:space="0" w:color="auto"/>
            </w:tcBorders>
          </w:tcPr>
          <w:p w14:paraId="6D7DE64C" w14:textId="77777777" w:rsidR="00F9751B" w:rsidRPr="00896C6F" w:rsidRDefault="00F9751B" w:rsidP="002342C5">
            <w:pPr>
              <w:pStyle w:val="TableText0"/>
              <w:cnfStyle w:val="000000010000" w:firstRow="0" w:lastRow="0" w:firstColumn="0" w:lastColumn="0" w:oddVBand="0" w:evenVBand="0" w:oddHBand="0" w:evenHBand="1" w:firstRowFirstColumn="0" w:firstRowLastColumn="0" w:lastRowFirstColumn="0" w:lastRowLastColumn="0"/>
              <w:rPr>
                <w:sz w:val="18"/>
              </w:rPr>
            </w:pPr>
            <w:r w:rsidRPr="00896C6F">
              <w:rPr>
                <w:sz w:val="18"/>
              </w:rPr>
              <w:t>Productivity analysis</w:t>
            </w:r>
          </w:p>
        </w:tc>
      </w:tr>
      <w:tr w:rsidR="00F9751B" w:rsidRPr="00896C6F" w14:paraId="04EE6D15"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right w:val="none" w:sz="0" w:space="0" w:color="auto"/>
            </w:tcBorders>
          </w:tcPr>
          <w:p w14:paraId="13A429DE" w14:textId="77777777" w:rsidR="00F9751B" w:rsidRPr="00896C6F" w:rsidRDefault="00F9751B" w:rsidP="002342C5">
            <w:pPr>
              <w:pStyle w:val="TableText0"/>
              <w:rPr>
                <w:b w:val="0"/>
                <w:sz w:val="18"/>
              </w:rPr>
            </w:pPr>
            <w:r w:rsidRPr="00896C6F">
              <w:rPr>
                <w:b w:val="0"/>
                <w:sz w:val="18"/>
              </w:rPr>
              <w:t>Minimal variance amongst beneficiaries</w:t>
            </w:r>
          </w:p>
        </w:tc>
        <w:tc>
          <w:tcPr>
            <w:tcW w:w="4559" w:type="dxa"/>
            <w:tcBorders>
              <w:left w:val="none" w:sz="0" w:space="0" w:color="auto"/>
            </w:tcBorders>
          </w:tcPr>
          <w:p w14:paraId="1BE6EBBD"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Jobs growth</w:t>
            </w:r>
          </w:p>
        </w:tc>
      </w:tr>
      <w:tr w:rsidR="00F9751B" w:rsidRPr="00896C6F" w14:paraId="0B4AC2C8" w14:textId="77777777" w:rsidTr="00896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right w:val="none" w:sz="0" w:space="0" w:color="auto"/>
            </w:tcBorders>
          </w:tcPr>
          <w:p w14:paraId="49DB73AE" w14:textId="77777777" w:rsidR="00F9751B" w:rsidRPr="00896C6F" w:rsidRDefault="00F9751B" w:rsidP="002342C5">
            <w:pPr>
              <w:pStyle w:val="TableText0"/>
              <w:rPr>
                <w:b w:val="0"/>
                <w:sz w:val="18"/>
              </w:rPr>
            </w:pPr>
            <w:r w:rsidRPr="00896C6F">
              <w:rPr>
                <w:b w:val="0"/>
                <w:sz w:val="18"/>
              </w:rPr>
              <w:t>Relevant to each beneficiary</w:t>
            </w:r>
          </w:p>
        </w:tc>
        <w:tc>
          <w:tcPr>
            <w:tcW w:w="4559" w:type="dxa"/>
            <w:tcBorders>
              <w:left w:val="none" w:sz="0" w:space="0" w:color="auto"/>
            </w:tcBorders>
          </w:tcPr>
          <w:p w14:paraId="02F1A4C5" w14:textId="77777777" w:rsidR="00F9751B" w:rsidRPr="00896C6F" w:rsidRDefault="00F9751B" w:rsidP="002342C5">
            <w:pPr>
              <w:pStyle w:val="TableText0"/>
              <w:cnfStyle w:val="000000010000" w:firstRow="0" w:lastRow="0" w:firstColumn="0" w:lastColumn="0" w:oddVBand="0" w:evenVBand="0" w:oddHBand="0" w:evenHBand="1" w:firstRowFirstColumn="0" w:firstRowLastColumn="0" w:lastRowFirstColumn="0" w:lastRowLastColumn="0"/>
              <w:rPr>
                <w:sz w:val="18"/>
              </w:rPr>
            </w:pPr>
            <w:r w:rsidRPr="00896C6F">
              <w:rPr>
                <w:sz w:val="18"/>
              </w:rPr>
              <w:t>Social impacts (liveability, well-being etc)</w:t>
            </w:r>
          </w:p>
        </w:tc>
      </w:tr>
      <w:tr w:rsidR="00F9751B" w:rsidRPr="00896C6F" w14:paraId="42800552"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right w:val="none" w:sz="0" w:space="0" w:color="auto"/>
            </w:tcBorders>
          </w:tcPr>
          <w:p w14:paraId="4E1F2263" w14:textId="77777777" w:rsidR="00F9751B" w:rsidRPr="00896C6F" w:rsidRDefault="00F9751B" w:rsidP="002342C5">
            <w:pPr>
              <w:pStyle w:val="TableText0"/>
              <w:rPr>
                <w:b w:val="0"/>
                <w:sz w:val="18"/>
              </w:rPr>
            </w:pPr>
            <w:r w:rsidRPr="00896C6F">
              <w:rPr>
                <w:b w:val="0"/>
                <w:sz w:val="18"/>
              </w:rPr>
              <w:t>No duplication or multiplication of revenue sources</w:t>
            </w:r>
          </w:p>
        </w:tc>
        <w:tc>
          <w:tcPr>
            <w:tcW w:w="4559" w:type="dxa"/>
            <w:tcBorders>
              <w:left w:val="none" w:sz="0" w:space="0" w:color="auto"/>
            </w:tcBorders>
          </w:tcPr>
          <w:p w14:paraId="1B77157C"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Consistency – minimal variance</w:t>
            </w:r>
          </w:p>
        </w:tc>
      </w:tr>
      <w:tr w:rsidR="00F9751B" w:rsidRPr="00896C6F" w14:paraId="1A27B672" w14:textId="77777777" w:rsidTr="00896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right w:val="none" w:sz="0" w:space="0" w:color="auto"/>
            </w:tcBorders>
          </w:tcPr>
          <w:p w14:paraId="4458FB5F" w14:textId="77777777" w:rsidR="00F9751B" w:rsidRPr="00896C6F" w:rsidRDefault="00F9751B" w:rsidP="002342C5">
            <w:pPr>
              <w:pStyle w:val="TableText0"/>
              <w:rPr>
                <w:b w:val="0"/>
                <w:sz w:val="18"/>
              </w:rPr>
            </w:pPr>
            <w:r w:rsidRPr="00896C6F">
              <w:rPr>
                <w:b w:val="0"/>
                <w:sz w:val="18"/>
              </w:rPr>
              <w:t>Robust and reliable over project timeframe</w:t>
            </w:r>
          </w:p>
        </w:tc>
        <w:tc>
          <w:tcPr>
            <w:tcW w:w="4559" w:type="dxa"/>
            <w:tcBorders>
              <w:left w:val="none" w:sz="0" w:space="0" w:color="auto"/>
            </w:tcBorders>
          </w:tcPr>
          <w:p w14:paraId="24B04A86" w14:textId="77777777" w:rsidR="00F9751B" w:rsidRPr="00896C6F" w:rsidRDefault="00F9751B" w:rsidP="002342C5">
            <w:pPr>
              <w:pStyle w:val="TableText0"/>
              <w:cnfStyle w:val="000000010000" w:firstRow="0" w:lastRow="0" w:firstColumn="0" w:lastColumn="0" w:oddVBand="0" w:evenVBand="0" w:oddHBand="0" w:evenHBand="1" w:firstRowFirstColumn="0" w:firstRowLastColumn="0" w:lastRowFirstColumn="0" w:lastRowLastColumn="0"/>
              <w:rPr>
                <w:sz w:val="18"/>
              </w:rPr>
            </w:pPr>
            <w:r w:rsidRPr="00896C6F">
              <w:rPr>
                <w:sz w:val="18"/>
              </w:rPr>
              <w:t>Robust and reliable over project timeframe</w:t>
            </w:r>
          </w:p>
        </w:tc>
      </w:tr>
    </w:tbl>
    <w:p w14:paraId="008EFCFF" w14:textId="77777777" w:rsidR="00F9751B" w:rsidRPr="007C30F7" w:rsidRDefault="00F9751B" w:rsidP="00F9751B">
      <w:pPr>
        <w:pStyle w:val="TableSource0"/>
      </w:pPr>
      <w:r w:rsidRPr="007C30F7">
        <w:t xml:space="preserve">Source: </w:t>
      </w:r>
      <w:r>
        <w:t>SGS Economics and Planning, 2014</w:t>
      </w:r>
    </w:p>
    <w:p w14:paraId="088C845A" w14:textId="77777777" w:rsidR="00F9751B" w:rsidRDefault="00F9751B" w:rsidP="00F9751B"/>
    <w:p w14:paraId="11BE2FA4" w14:textId="77777777" w:rsidR="00F9751B" w:rsidRDefault="00F9751B" w:rsidP="00F9751B">
      <w:r>
        <w:t>The location of beneficiaries should be defined in terms of both the direct benefit district and zones which receive receding benefits.</w:t>
      </w:r>
      <w:r w:rsidRPr="0053320F">
        <w:t xml:space="preserve"> </w:t>
      </w:r>
      <w:r>
        <w:t xml:space="preserve">Each category should be analysed for the potential scale of benefits. </w:t>
      </w:r>
    </w:p>
    <w:p w14:paraId="4836555F" w14:textId="7C21FC15" w:rsidR="00F9751B" w:rsidRDefault="00F9751B" w:rsidP="00F9751B">
      <w:pPr>
        <w:pStyle w:val="Caption"/>
        <w:keepNext/>
        <w:keepLines/>
        <w:rPr>
          <w:b/>
        </w:rPr>
      </w:pPr>
      <w:bookmarkStart w:id="29" w:name="_Toc397952125"/>
      <w:bookmarkStart w:id="30" w:name="_Toc399928579"/>
      <w:bookmarkStart w:id="31" w:name="_Toc430896540"/>
      <w:r>
        <w:t xml:space="preserve">Table </w:t>
      </w:r>
      <w:r>
        <w:fldChar w:fldCharType="begin"/>
      </w:r>
      <w:r>
        <w:instrText xml:space="preserve"> SEQ Table \* ARABIC </w:instrText>
      </w:r>
      <w:r>
        <w:fldChar w:fldCharType="separate"/>
      </w:r>
      <w:r w:rsidR="00184C79">
        <w:rPr>
          <w:noProof/>
        </w:rPr>
        <w:t>6</w:t>
      </w:r>
      <w:r>
        <w:rPr>
          <w:noProof/>
        </w:rPr>
        <w:fldChar w:fldCharType="end"/>
      </w:r>
      <w:r w:rsidR="00E4454D">
        <w:t xml:space="preserve">. </w:t>
      </w:r>
      <w:r>
        <w:t>Value analysis – location of beneficiaries</w:t>
      </w:r>
      <w:bookmarkEnd w:id="29"/>
      <w:bookmarkEnd w:id="30"/>
      <w:bookmarkEnd w:id="31"/>
    </w:p>
    <w:tbl>
      <w:tblPr>
        <w:tblStyle w:val="GridTable4-Accent21"/>
        <w:tblW w:w="0" w:type="auto"/>
        <w:tblLook w:val="04A0" w:firstRow="1" w:lastRow="0" w:firstColumn="1" w:lastColumn="0" w:noHBand="0" w:noVBand="1"/>
      </w:tblPr>
      <w:tblGrid>
        <w:gridCol w:w="4082"/>
        <w:gridCol w:w="4844"/>
      </w:tblGrid>
      <w:tr w:rsidR="00F9751B" w:rsidRPr="00896C6F" w14:paraId="08FEE945"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tcPr>
          <w:p w14:paraId="6775F4D7" w14:textId="77777777" w:rsidR="00F9751B" w:rsidRPr="00896C6F" w:rsidRDefault="00F9751B" w:rsidP="002342C5">
            <w:pPr>
              <w:pStyle w:val="TableText0"/>
              <w:rPr>
                <w:sz w:val="18"/>
              </w:rPr>
            </w:pPr>
            <w:r w:rsidRPr="00896C6F">
              <w:rPr>
                <w:sz w:val="18"/>
              </w:rPr>
              <w:t>Location</w:t>
            </w:r>
          </w:p>
        </w:tc>
        <w:tc>
          <w:tcPr>
            <w:tcW w:w="5023" w:type="dxa"/>
            <w:tcBorders>
              <w:top w:val="none" w:sz="0" w:space="0" w:color="auto"/>
              <w:left w:val="none" w:sz="0" w:space="0" w:color="auto"/>
              <w:bottom w:val="none" w:sz="0" w:space="0" w:color="auto"/>
              <w:right w:val="none" w:sz="0" w:space="0" w:color="auto"/>
            </w:tcBorders>
          </w:tcPr>
          <w:p w14:paraId="333EBDAA" w14:textId="77777777" w:rsidR="00F9751B" w:rsidRPr="00896C6F" w:rsidRDefault="00F9751B" w:rsidP="002342C5">
            <w:pPr>
              <w:pStyle w:val="TableText0"/>
              <w:cnfStyle w:val="100000000000" w:firstRow="1" w:lastRow="0" w:firstColumn="0" w:lastColumn="0" w:oddVBand="0" w:evenVBand="0" w:oddHBand="0" w:evenHBand="0" w:firstRowFirstColumn="0" w:firstRowLastColumn="0" w:lastRowFirstColumn="0" w:lastRowLastColumn="0"/>
              <w:rPr>
                <w:sz w:val="18"/>
              </w:rPr>
            </w:pPr>
            <w:r w:rsidRPr="00896C6F">
              <w:rPr>
                <w:sz w:val="18"/>
              </w:rPr>
              <w:t>Benefit Type - Examples</w:t>
            </w:r>
          </w:p>
        </w:tc>
      </w:tr>
      <w:tr w:rsidR="00F9751B" w:rsidRPr="00896C6F" w14:paraId="43B1DE46"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647AC9F" w14:textId="77777777" w:rsidR="00F9751B" w:rsidRPr="00896C6F" w:rsidRDefault="00F9751B" w:rsidP="002342C5">
            <w:pPr>
              <w:pStyle w:val="TableText0"/>
              <w:rPr>
                <w:b w:val="0"/>
                <w:sz w:val="18"/>
              </w:rPr>
            </w:pPr>
            <w:r w:rsidRPr="00896C6F">
              <w:rPr>
                <w:b w:val="0"/>
                <w:sz w:val="18"/>
              </w:rPr>
              <w:t>Category 1 - Within Direct Benefit District</w:t>
            </w:r>
          </w:p>
        </w:tc>
        <w:tc>
          <w:tcPr>
            <w:tcW w:w="5023" w:type="dxa"/>
          </w:tcPr>
          <w:p w14:paraId="76B61E35"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Enhanced real estate values (high)</w:t>
            </w:r>
          </w:p>
        </w:tc>
      </w:tr>
      <w:tr w:rsidR="00F9751B" w:rsidRPr="00896C6F" w14:paraId="33162F1F" w14:textId="77777777" w:rsidTr="00896C6F">
        <w:tc>
          <w:tcPr>
            <w:cnfStyle w:val="001000000000" w:firstRow="0" w:lastRow="0" w:firstColumn="1" w:lastColumn="0" w:oddVBand="0" w:evenVBand="0" w:oddHBand="0" w:evenHBand="0" w:firstRowFirstColumn="0" w:firstRowLastColumn="0" w:lastRowFirstColumn="0" w:lastRowLastColumn="0"/>
            <w:tcW w:w="4219" w:type="dxa"/>
          </w:tcPr>
          <w:p w14:paraId="19A9098F" w14:textId="77777777" w:rsidR="00F9751B" w:rsidRPr="00896C6F" w:rsidRDefault="00F9751B" w:rsidP="002342C5">
            <w:pPr>
              <w:pStyle w:val="TableText0"/>
              <w:rPr>
                <w:b w:val="0"/>
                <w:sz w:val="18"/>
              </w:rPr>
            </w:pPr>
            <w:r w:rsidRPr="00896C6F">
              <w:rPr>
                <w:b w:val="0"/>
                <w:sz w:val="18"/>
              </w:rPr>
              <w:t>Category 2 – Adjacent to District (inside LGA)</w:t>
            </w:r>
          </w:p>
        </w:tc>
        <w:tc>
          <w:tcPr>
            <w:tcW w:w="5023" w:type="dxa"/>
          </w:tcPr>
          <w:p w14:paraId="04E07C88"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rPr>
            </w:pPr>
            <w:r w:rsidRPr="00896C6F">
              <w:rPr>
                <w:sz w:val="18"/>
              </w:rPr>
              <w:t>Enhanced real estate values (medium)</w:t>
            </w:r>
          </w:p>
        </w:tc>
      </w:tr>
      <w:tr w:rsidR="00F9751B" w:rsidRPr="00896C6F" w14:paraId="4435F69D"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51A7733" w14:textId="77777777" w:rsidR="00F9751B" w:rsidRPr="00896C6F" w:rsidRDefault="00F9751B" w:rsidP="002342C5">
            <w:pPr>
              <w:pStyle w:val="TableText0"/>
              <w:rPr>
                <w:b w:val="0"/>
                <w:sz w:val="18"/>
              </w:rPr>
            </w:pPr>
            <w:r w:rsidRPr="00896C6F">
              <w:rPr>
                <w:b w:val="0"/>
                <w:sz w:val="18"/>
              </w:rPr>
              <w:t>Category 3 – Broader area (adjacent LGAs)</w:t>
            </w:r>
          </w:p>
        </w:tc>
        <w:tc>
          <w:tcPr>
            <w:tcW w:w="5023" w:type="dxa"/>
          </w:tcPr>
          <w:p w14:paraId="135BCF8C"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Enhanced real estate values (low)</w:t>
            </w:r>
          </w:p>
        </w:tc>
      </w:tr>
      <w:tr w:rsidR="00F9751B" w:rsidRPr="00896C6F" w14:paraId="3E29CCB4" w14:textId="77777777" w:rsidTr="00896C6F">
        <w:tc>
          <w:tcPr>
            <w:cnfStyle w:val="001000000000" w:firstRow="0" w:lastRow="0" w:firstColumn="1" w:lastColumn="0" w:oddVBand="0" w:evenVBand="0" w:oddHBand="0" w:evenHBand="0" w:firstRowFirstColumn="0" w:firstRowLastColumn="0" w:lastRowFirstColumn="0" w:lastRowLastColumn="0"/>
            <w:tcW w:w="4219" w:type="dxa"/>
          </w:tcPr>
          <w:p w14:paraId="6542CD2F" w14:textId="77777777" w:rsidR="00F9751B" w:rsidRPr="00896C6F" w:rsidRDefault="00F9751B" w:rsidP="002342C5">
            <w:pPr>
              <w:pStyle w:val="TableText0"/>
              <w:rPr>
                <w:b w:val="0"/>
                <w:sz w:val="18"/>
              </w:rPr>
            </w:pPr>
            <w:r w:rsidRPr="00896C6F">
              <w:rPr>
                <w:b w:val="0"/>
                <w:sz w:val="18"/>
              </w:rPr>
              <w:t>Category 4 – Metropolitan region</w:t>
            </w:r>
          </w:p>
        </w:tc>
        <w:tc>
          <w:tcPr>
            <w:tcW w:w="5023" w:type="dxa"/>
          </w:tcPr>
          <w:p w14:paraId="4EC67058"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rPr>
            </w:pPr>
            <w:r w:rsidRPr="00896C6F">
              <w:rPr>
                <w:sz w:val="18"/>
              </w:rPr>
              <w:t>Broader economic benefits (e.g. visitor economy)</w:t>
            </w:r>
          </w:p>
          <w:p w14:paraId="2DD0CBDE"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rPr>
            </w:pPr>
            <w:r w:rsidRPr="00896C6F">
              <w:rPr>
                <w:sz w:val="18"/>
              </w:rPr>
              <w:t>State significance</w:t>
            </w:r>
          </w:p>
        </w:tc>
      </w:tr>
      <w:tr w:rsidR="00F9751B" w:rsidRPr="00896C6F" w14:paraId="1202FA19"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649EF30D" w14:textId="77777777" w:rsidR="00F9751B" w:rsidRPr="00896C6F" w:rsidRDefault="00F9751B" w:rsidP="002342C5">
            <w:pPr>
              <w:pStyle w:val="TableText0"/>
              <w:rPr>
                <w:b w:val="0"/>
                <w:sz w:val="18"/>
              </w:rPr>
            </w:pPr>
            <w:r w:rsidRPr="00896C6F">
              <w:rPr>
                <w:b w:val="0"/>
                <w:sz w:val="18"/>
              </w:rPr>
              <w:t xml:space="preserve">Category 5 – State and National </w:t>
            </w:r>
          </w:p>
        </w:tc>
        <w:tc>
          <w:tcPr>
            <w:tcW w:w="5023" w:type="dxa"/>
          </w:tcPr>
          <w:p w14:paraId="40DF1583"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 xml:space="preserve">Broader economic benefits </w:t>
            </w:r>
          </w:p>
          <w:p w14:paraId="4949099F"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rPr>
            </w:pPr>
            <w:r w:rsidRPr="00896C6F">
              <w:rPr>
                <w:sz w:val="18"/>
              </w:rPr>
              <w:t>National significance</w:t>
            </w:r>
          </w:p>
        </w:tc>
      </w:tr>
    </w:tbl>
    <w:p w14:paraId="174142B0" w14:textId="77777777" w:rsidR="00F9751B" w:rsidRPr="007C30F7" w:rsidRDefault="00F9751B" w:rsidP="00F9751B">
      <w:pPr>
        <w:pStyle w:val="TableSource0"/>
      </w:pPr>
      <w:r w:rsidRPr="007C30F7">
        <w:t xml:space="preserve">Source: </w:t>
      </w:r>
      <w:r>
        <w:t>SGS Economics and Planning, 2014</w:t>
      </w:r>
    </w:p>
    <w:p w14:paraId="3DA816DB" w14:textId="77777777" w:rsidR="00F9751B" w:rsidRDefault="00F9751B" w:rsidP="00F9751B"/>
    <w:p w14:paraId="74819CE2" w14:textId="77777777" w:rsidR="00F9751B" w:rsidRDefault="00F9751B" w:rsidP="00F9751B">
      <w:r>
        <w:t>The range of beneficiaries from new cultural infrastructure and the types of benefits can now be scoped:</w:t>
      </w:r>
    </w:p>
    <w:p w14:paraId="2B6C7553" w14:textId="6771080E" w:rsidR="00F9751B" w:rsidRDefault="00F9751B" w:rsidP="00F9751B">
      <w:pPr>
        <w:pStyle w:val="Caption"/>
        <w:keepNext/>
        <w:keepLines/>
        <w:rPr>
          <w:b/>
        </w:rPr>
      </w:pPr>
      <w:bookmarkStart w:id="32" w:name="_Toc397952126"/>
      <w:bookmarkStart w:id="33" w:name="_Toc399928580"/>
      <w:bookmarkStart w:id="34" w:name="_Toc430896541"/>
      <w:r>
        <w:lastRenderedPageBreak/>
        <w:t xml:space="preserve">Table </w:t>
      </w:r>
      <w:r>
        <w:fldChar w:fldCharType="begin"/>
      </w:r>
      <w:r>
        <w:instrText xml:space="preserve"> SEQ Table \* ARABIC </w:instrText>
      </w:r>
      <w:r>
        <w:fldChar w:fldCharType="separate"/>
      </w:r>
      <w:r w:rsidR="00184C79">
        <w:rPr>
          <w:noProof/>
        </w:rPr>
        <w:t>7</w:t>
      </w:r>
      <w:r>
        <w:rPr>
          <w:noProof/>
        </w:rPr>
        <w:fldChar w:fldCharType="end"/>
      </w:r>
      <w:r w:rsidR="00E4454D">
        <w:t xml:space="preserve">. </w:t>
      </w:r>
      <w:r>
        <w:t>Value analysis – range of beneficiaries and indicative benefits</w:t>
      </w:r>
      <w:bookmarkEnd w:id="32"/>
      <w:bookmarkEnd w:id="33"/>
      <w:bookmarkEnd w:id="34"/>
    </w:p>
    <w:tbl>
      <w:tblPr>
        <w:tblStyle w:val="GridTable4-Accent21"/>
        <w:tblW w:w="0" w:type="auto"/>
        <w:tblLook w:val="04A0" w:firstRow="1" w:lastRow="0" w:firstColumn="1" w:lastColumn="0" w:noHBand="0" w:noVBand="1"/>
      </w:tblPr>
      <w:tblGrid>
        <w:gridCol w:w="3401"/>
        <w:gridCol w:w="5525"/>
      </w:tblGrid>
      <w:tr w:rsidR="00F9751B" w:rsidRPr="00896C6F" w14:paraId="74719063" w14:textId="77777777" w:rsidTr="00896C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cBorders>
          </w:tcPr>
          <w:p w14:paraId="7ADDC84A" w14:textId="77777777" w:rsidR="00F9751B" w:rsidRPr="00896C6F" w:rsidRDefault="00F9751B" w:rsidP="002342C5">
            <w:pPr>
              <w:pStyle w:val="TableText0"/>
              <w:rPr>
                <w:sz w:val="18"/>
                <w:szCs w:val="18"/>
              </w:rPr>
            </w:pPr>
            <w:r w:rsidRPr="00896C6F">
              <w:rPr>
                <w:sz w:val="18"/>
                <w:szCs w:val="18"/>
              </w:rPr>
              <w:t>Indicative Beneficiaries (not complete)</w:t>
            </w:r>
          </w:p>
        </w:tc>
        <w:tc>
          <w:tcPr>
            <w:tcW w:w="5525" w:type="dxa"/>
            <w:tcBorders>
              <w:top w:val="none" w:sz="0" w:space="0" w:color="auto"/>
              <w:left w:val="none" w:sz="0" w:space="0" w:color="auto"/>
              <w:bottom w:val="none" w:sz="0" w:space="0" w:color="auto"/>
              <w:right w:val="none" w:sz="0" w:space="0" w:color="auto"/>
            </w:tcBorders>
          </w:tcPr>
          <w:p w14:paraId="2959C89A" w14:textId="77777777" w:rsidR="00F9751B" w:rsidRPr="00896C6F" w:rsidRDefault="00F9751B" w:rsidP="002342C5">
            <w:pPr>
              <w:pStyle w:val="TableText0"/>
              <w:cnfStyle w:val="100000000000" w:firstRow="1" w:lastRow="0" w:firstColumn="0" w:lastColumn="0" w:oddVBand="0" w:evenVBand="0" w:oddHBand="0" w:evenHBand="0" w:firstRowFirstColumn="0" w:firstRowLastColumn="0" w:lastRowFirstColumn="0" w:lastRowLastColumn="0"/>
              <w:rPr>
                <w:sz w:val="18"/>
                <w:szCs w:val="18"/>
              </w:rPr>
            </w:pPr>
            <w:r w:rsidRPr="00896C6F">
              <w:rPr>
                <w:sz w:val="18"/>
                <w:szCs w:val="18"/>
              </w:rPr>
              <w:t>Indicative Benefits (not complete)</w:t>
            </w:r>
          </w:p>
        </w:tc>
      </w:tr>
      <w:tr w:rsidR="00F9751B" w:rsidRPr="00896C6F" w14:paraId="5943B802" w14:textId="77777777" w:rsidTr="00D7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43BD1B01" w14:textId="77777777" w:rsidR="00F9751B" w:rsidRPr="00896C6F" w:rsidRDefault="00F9751B" w:rsidP="002342C5">
            <w:pPr>
              <w:pStyle w:val="TableText0"/>
              <w:rPr>
                <w:sz w:val="18"/>
                <w:szCs w:val="18"/>
              </w:rPr>
            </w:pPr>
            <w:r w:rsidRPr="00896C6F">
              <w:rPr>
                <w:sz w:val="18"/>
                <w:szCs w:val="18"/>
              </w:rPr>
              <w:t>National Government</w:t>
            </w:r>
          </w:p>
        </w:tc>
        <w:tc>
          <w:tcPr>
            <w:tcW w:w="5525" w:type="dxa"/>
          </w:tcPr>
          <w:p w14:paraId="48C1C4B6"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 xml:space="preserve">Broader economic benefits </w:t>
            </w:r>
          </w:p>
          <w:p w14:paraId="4CA461AB"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National significance</w:t>
            </w:r>
          </w:p>
        </w:tc>
      </w:tr>
      <w:tr w:rsidR="00F9751B" w:rsidRPr="00896C6F" w14:paraId="390B284E" w14:textId="77777777" w:rsidTr="00D74EE0">
        <w:tc>
          <w:tcPr>
            <w:cnfStyle w:val="001000000000" w:firstRow="0" w:lastRow="0" w:firstColumn="1" w:lastColumn="0" w:oddVBand="0" w:evenVBand="0" w:oddHBand="0" w:evenHBand="0" w:firstRowFirstColumn="0" w:firstRowLastColumn="0" w:lastRowFirstColumn="0" w:lastRowLastColumn="0"/>
            <w:tcW w:w="3401" w:type="dxa"/>
          </w:tcPr>
          <w:p w14:paraId="15F70B3B" w14:textId="77777777" w:rsidR="00F9751B" w:rsidRPr="00896C6F" w:rsidRDefault="00F9751B" w:rsidP="002342C5">
            <w:pPr>
              <w:pStyle w:val="TableText0"/>
              <w:rPr>
                <w:sz w:val="18"/>
                <w:szCs w:val="18"/>
              </w:rPr>
            </w:pPr>
            <w:r w:rsidRPr="00896C6F">
              <w:rPr>
                <w:sz w:val="18"/>
                <w:szCs w:val="18"/>
              </w:rPr>
              <w:t xml:space="preserve">State Government </w:t>
            </w:r>
          </w:p>
        </w:tc>
        <w:tc>
          <w:tcPr>
            <w:tcW w:w="5525" w:type="dxa"/>
          </w:tcPr>
          <w:p w14:paraId="41769C7E"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 xml:space="preserve">Broader economic benefits </w:t>
            </w:r>
          </w:p>
          <w:p w14:paraId="7E5E613D"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Increased taxes</w:t>
            </w:r>
          </w:p>
          <w:p w14:paraId="05C56EB4"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 xml:space="preserve">Global and national profile – increase in visitor economy </w:t>
            </w:r>
          </w:p>
          <w:p w14:paraId="0234A784"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Agencies utilise arts and cultural facilities at zero or minimal cost</w:t>
            </w:r>
          </w:p>
        </w:tc>
      </w:tr>
      <w:tr w:rsidR="00F9751B" w:rsidRPr="00896C6F" w14:paraId="67CDD51B" w14:textId="77777777" w:rsidTr="00D7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7C15F866" w14:textId="77777777" w:rsidR="00F9751B" w:rsidRPr="00896C6F" w:rsidRDefault="00F9751B" w:rsidP="002342C5">
            <w:pPr>
              <w:pStyle w:val="TableText0"/>
              <w:rPr>
                <w:sz w:val="18"/>
                <w:szCs w:val="18"/>
              </w:rPr>
            </w:pPr>
            <w:r w:rsidRPr="00896C6F">
              <w:rPr>
                <w:sz w:val="18"/>
                <w:szCs w:val="18"/>
              </w:rPr>
              <w:t>Local Government</w:t>
            </w:r>
          </w:p>
        </w:tc>
        <w:tc>
          <w:tcPr>
            <w:tcW w:w="5525" w:type="dxa"/>
          </w:tcPr>
          <w:p w14:paraId="71E75D82"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Increased taxes, levies and contributions</w:t>
            </w:r>
          </w:p>
          <w:p w14:paraId="53FB3930"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Ability to increase urban density due to enhancement of offerings and urban amenity</w:t>
            </w:r>
          </w:p>
        </w:tc>
      </w:tr>
      <w:tr w:rsidR="00F9751B" w:rsidRPr="00896C6F" w14:paraId="2EB4BA3F" w14:textId="77777777" w:rsidTr="00D74EE0">
        <w:tc>
          <w:tcPr>
            <w:cnfStyle w:val="001000000000" w:firstRow="0" w:lastRow="0" w:firstColumn="1" w:lastColumn="0" w:oddVBand="0" w:evenVBand="0" w:oddHBand="0" w:evenHBand="0" w:firstRowFirstColumn="0" w:firstRowLastColumn="0" w:lastRowFirstColumn="0" w:lastRowLastColumn="0"/>
            <w:tcW w:w="3401" w:type="dxa"/>
          </w:tcPr>
          <w:p w14:paraId="5E755183" w14:textId="77777777" w:rsidR="00F9751B" w:rsidRPr="00896C6F" w:rsidRDefault="00F9751B" w:rsidP="002342C5">
            <w:pPr>
              <w:pStyle w:val="TableText0"/>
              <w:rPr>
                <w:sz w:val="18"/>
                <w:szCs w:val="18"/>
              </w:rPr>
            </w:pPr>
            <w:r w:rsidRPr="00896C6F">
              <w:rPr>
                <w:sz w:val="18"/>
                <w:szCs w:val="18"/>
              </w:rPr>
              <w:t>Property Owners</w:t>
            </w:r>
          </w:p>
        </w:tc>
        <w:tc>
          <w:tcPr>
            <w:tcW w:w="5525" w:type="dxa"/>
          </w:tcPr>
          <w:p w14:paraId="55C4ED39"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Higher rental charges (commercial, retail, residential)</w:t>
            </w:r>
          </w:p>
          <w:p w14:paraId="7ECD8D5A"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Quality and security of tenants</w:t>
            </w:r>
          </w:p>
        </w:tc>
      </w:tr>
      <w:tr w:rsidR="00F9751B" w:rsidRPr="00896C6F" w14:paraId="3A897514" w14:textId="77777777" w:rsidTr="00D7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6659C2CC" w14:textId="77777777" w:rsidR="00F9751B" w:rsidRPr="00896C6F" w:rsidRDefault="00F9751B" w:rsidP="002342C5">
            <w:pPr>
              <w:pStyle w:val="TableText0"/>
              <w:rPr>
                <w:sz w:val="18"/>
                <w:szCs w:val="18"/>
              </w:rPr>
            </w:pPr>
            <w:r w:rsidRPr="00896C6F">
              <w:rPr>
                <w:sz w:val="18"/>
                <w:szCs w:val="18"/>
              </w:rPr>
              <w:t>Developers</w:t>
            </w:r>
          </w:p>
        </w:tc>
        <w:tc>
          <w:tcPr>
            <w:tcW w:w="5525" w:type="dxa"/>
          </w:tcPr>
          <w:p w14:paraId="1C9309FE"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Rezoning windfall profits</w:t>
            </w:r>
          </w:p>
          <w:p w14:paraId="4FF30EBE"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Value of real estate</w:t>
            </w:r>
          </w:p>
        </w:tc>
      </w:tr>
      <w:tr w:rsidR="00F9751B" w:rsidRPr="00896C6F" w14:paraId="388700F8" w14:textId="77777777" w:rsidTr="00D74EE0">
        <w:tc>
          <w:tcPr>
            <w:cnfStyle w:val="001000000000" w:firstRow="0" w:lastRow="0" w:firstColumn="1" w:lastColumn="0" w:oddVBand="0" w:evenVBand="0" w:oddHBand="0" w:evenHBand="0" w:firstRowFirstColumn="0" w:firstRowLastColumn="0" w:lastRowFirstColumn="0" w:lastRowLastColumn="0"/>
            <w:tcW w:w="3401" w:type="dxa"/>
          </w:tcPr>
          <w:p w14:paraId="465D42E0" w14:textId="77777777" w:rsidR="00F9751B" w:rsidRPr="00896C6F" w:rsidRDefault="00F9751B" w:rsidP="002342C5">
            <w:pPr>
              <w:pStyle w:val="TableText0"/>
              <w:rPr>
                <w:sz w:val="18"/>
                <w:szCs w:val="18"/>
              </w:rPr>
            </w:pPr>
            <w:r w:rsidRPr="00896C6F">
              <w:rPr>
                <w:sz w:val="18"/>
                <w:szCs w:val="18"/>
              </w:rPr>
              <w:t>Occupiers – sales</w:t>
            </w:r>
          </w:p>
        </w:tc>
        <w:tc>
          <w:tcPr>
            <w:tcW w:w="5525" w:type="dxa"/>
          </w:tcPr>
          <w:p w14:paraId="02DB7793"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Higher re-sale prices</w:t>
            </w:r>
          </w:p>
        </w:tc>
      </w:tr>
      <w:tr w:rsidR="00F9751B" w:rsidRPr="00896C6F" w14:paraId="6B7E1182" w14:textId="77777777" w:rsidTr="00D7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2E3CF746" w14:textId="77777777" w:rsidR="00F9751B" w:rsidRPr="00896C6F" w:rsidRDefault="00F9751B" w:rsidP="002342C5">
            <w:pPr>
              <w:pStyle w:val="TableText0"/>
              <w:rPr>
                <w:sz w:val="18"/>
                <w:szCs w:val="18"/>
              </w:rPr>
            </w:pPr>
            <w:r w:rsidRPr="00896C6F">
              <w:rPr>
                <w:sz w:val="18"/>
                <w:szCs w:val="18"/>
              </w:rPr>
              <w:t>Business – retail</w:t>
            </w:r>
          </w:p>
        </w:tc>
        <w:tc>
          <w:tcPr>
            <w:tcW w:w="5525" w:type="dxa"/>
          </w:tcPr>
          <w:p w14:paraId="73E7065A"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Increase in customers (visitor economy)</w:t>
            </w:r>
          </w:p>
          <w:p w14:paraId="00EBA74E"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 xml:space="preserve">Higher spending per customer </w:t>
            </w:r>
          </w:p>
        </w:tc>
      </w:tr>
      <w:tr w:rsidR="00F9751B" w:rsidRPr="00896C6F" w14:paraId="7F9FD32A" w14:textId="77777777" w:rsidTr="00D74EE0">
        <w:tc>
          <w:tcPr>
            <w:cnfStyle w:val="001000000000" w:firstRow="0" w:lastRow="0" w:firstColumn="1" w:lastColumn="0" w:oddVBand="0" w:evenVBand="0" w:oddHBand="0" w:evenHBand="0" w:firstRowFirstColumn="0" w:firstRowLastColumn="0" w:lastRowFirstColumn="0" w:lastRowLastColumn="0"/>
            <w:tcW w:w="3401" w:type="dxa"/>
          </w:tcPr>
          <w:p w14:paraId="5E728E94" w14:textId="77777777" w:rsidR="00F9751B" w:rsidRPr="00896C6F" w:rsidRDefault="00F9751B" w:rsidP="002342C5">
            <w:pPr>
              <w:pStyle w:val="TableText0"/>
              <w:rPr>
                <w:sz w:val="18"/>
                <w:szCs w:val="18"/>
              </w:rPr>
            </w:pPr>
            <w:r w:rsidRPr="00896C6F">
              <w:rPr>
                <w:sz w:val="18"/>
                <w:szCs w:val="18"/>
              </w:rPr>
              <w:t>Business – commercial</w:t>
            </w:r>
          </w:p>
        </w:tc>
        <w:tc>
          <w:tcPr>
            <w:tcW w:w="5525" w:type="dxa"/>
          </w:tcPr>
          <w:p w14:paraId="6BD4ADC9"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Prestige of location</w:t>
            </w:r>
          </w:p>
          <w:p w14:paraId="591BF90B" w14:textId="33BCCB95"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Contribution to industry hub (e.g. financial sector)</w:t>
            </w:r>
          </w:p>
          <w:p w14:paraId="212E131C"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Capacity to attract high quality staff (global &amp; national)</w:t>
            </w:r>
          </w:p>
        </w:tc>
      </w:tr>
      <w:tr w:rsidR="00F9751B" w:rsidRPr="00896C6F" w14:paraId="3B775FBF" w14:textId="77777777" w:rsidTr="00D7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3174E2BA" w14:textId="77777777" w:rsidR="00F9751B" w:rsidRPr="00896C6F" w:rsidRDefault="00F9751B" w:rsidP="002342C5">
            <w:pPr>
              <w:pStyle w:val="TableText0"/>
              <w:rPr>
                <w:sz w:val="18"/>
                <w:szCs w:val="18"/>
              </w:rPr>
            </w:pPr>
            <w:r w:rsidRPr="00896C6F">
              <w:rPr>
                <w:sz w:val="18"/>
                <w:szCs w:val="18"/>
              </w:rPr>
              <w:t>Hotels</w:t>
            </w:r>
          </w:p>
        </w:tc>
        <w:tc>
          <w:tcPr>
            <w:tcW w:w="5525" w:type="dxa"/>
          </w:tcPr>
          <w:p w14:paraId="6C2AC5C5"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Increased patronage</w:t>
            </w:r>
          </w:p>
          <w:p w14:paraId="3FF20C5B"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Higher occupancy rates (higher staff productivity)</w:t>
            </w:r>
          </w:p>
          <w:p w14:paraId="43D0C737"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Higher room rates (demand)</w:t>
            </w:r>
          </w:p>
        </w:tc>
      </w:tr>
      <w:tr w:rsidR="00F9751B" w:rsidRPr="00896C6F" w14:paraId="190BFC04" w14:textId="77777777" w:rsidTr="00D74EE0">
        <w:tc>
          <w:tcPr>
            <w:cnfStyle w:val="001000000000" w:firstRow="0" w:lastRow="0" w:firstColumn="1" w:lastColumn="0" w:oddVBand="0" w:evenVBand="0" w:oddHBand="0" w:evenHBand="0" w:firstRowFirstColumn="0" w:firstRowLastColumn="0" w:lastRowFirstColumn="0" w:lastRowLastColumn="0"/>
            <w:tcW w:w="3401" w:type="dxa"/>
          </w:tcPr>
          <w:p w14:paraId="6DA10943" w14:textId="77777777" w:rsidR="00F9751B" w:rsidRPr="00896C6F" w:rsidRDefault="00F9751B" w:rsidP="002342C5">
            <w:pPr>
              <w:pStyle w:val="TableText0"/>
              <w:rPr>
                <w:sz w:val="18"/>
                <w:szCs w:val="18"/>
              </w:rPr>
            </w:pPr>
            <w:r w:rsidRPr="00896C6F">
              <w:rPr>
                <w:sz w:val="18"/>
                <w:szCs w:val="18"/>
              </w:rPr>
              <w:t>Tertiary Institutions – government and private</w:t>
            </w:r>
          </w:p>
        </w:tc>
        <w:tc>
          <w:tcPr>
            <w:tcW w:w="5525" w:type="dxa"/>
          </w:tcPr>
          <w:p w14:paraId="55ED383D" w14:textId="77777777" w:rsidR="00F9751B" w:rsidRPr="00896C6F" w:rsidRDefault="00F9751B" w:rsidP="002342C5">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Additional student volumes</w:t>
            </w:r>
          </w:p>
          <w:p w14:paraId="08936164" w14:textId="7048CBBB" w:rsidR="00F9751B" w:rsidRPr="00896C6F" w:rsidRDefault="00F9751B" w:rsidP="00F47467">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 xml:space="preserve">Students paying higher fees </w:t>
            </w:r>
          </w:p>
        </w:tc>
      </w:tr>
      <w:tr w:rsidR="00F9751B" w:rsidRPr="00896C6F" w14:paraId="71A24CDB" w14:textId="77777777" w:rsidTr="00D7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738D886B" w14:textId="4CA1869D" w:rsidR="00F9751B" w:rsidRPr="00896C6F" w:rsidRDefault="00F9751B" w:rsidP="00CC78A2">
            <w:pPr>
              <w:pStyle w:val="TableText0"/>
              <w:rPr>
                <w:sz w:val="18"/>
                <w:szCs w:val="18"/>
              </w:rPr>
            </w:pPr>
            <w:r w:rsidRPr="00896C6F">
              <w:rPr>
                <w:sz w:val="18"/>
                <w:szCs w:val="18"/>
              </w:rPr>
              <w:t xml:space="preserve">Other institutions </w:t>
            </w:r>
          </w:p>
        </w:tc>
        <w:tc>
          <w:tcPr>
            <w:tcW w:w="5525" w:type="dxa"/>
          </w:tcPr>
          <w:p w14:paraId="17B764CA" w14:textId="77777777" w:rsidR="00F9751B" w:rsidRPr="00896C6F" w:rsidRDefault="00F9751B" w:rsidP="002342C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Increased patronage and ticket sales</w:t>
            </w:r>
          </w:p>
        </w:tc>
      </w:tr>
      <w:tr w:rsidR="00F9751B" w:rsidRPr="00896C6F" w14:paraId="03BE5BB8" w14:textId="77777777" w:rsidTr="00D74EE0">
        <w:tc>
          <w:tcPr>
            <w:cnfStyle w:val="001000000000" w:firstRow="0" w:lastRow="0" w:firstColumn="1" w:lastColumn="0" w:oddVBand="0" w:evenVBand="0" w:oddHBand="0" w:evenHBand="0" w:firstRowFirstColumn="0" w:firstRowLastColumn="0" w:lastRowFirstColumn="0" w:lastRowLastColumn="0"/>
            <w:tcW w:w="3401" w:type="dxa"/>
          </w:tcPr>
          <w:p w14:paraId="7A6B6597" w14:textId="77777777" w:rsidR="00F9751B" w:rsidRPr="00896C6F" w:rsidRDefault="00D74EE0" w:rsidP="00D74EE0">
            <w:pPr>
              <w:pStyle w:val="TableText0"/>
              <w:rPr>
                <w:sz w:val="18"/>
                <w:szCs w:val="18"/>
              </w:rPr>
            </w:pPr>
            <w:r w:rsidRPr="00896C6F">
              <w:rPr>
                <w:sz w:val="18"/>
                <w:szCs w:val="18"/>
              </w:rPr>
              <w:t>Residents</w:t>
            </w:r>
          </w:p>
        </w:tc>
        <w:tc>
          <w:tcPr>
            <w:tcW w:w="5525" w:type="dxa"/>
          </w:tcPr>
          <w:p w14:paraId="052551C3" w14:textId="77777777" w:rsidR="00F9751B" w:rsidRPr="00896C6F" w:rsidRDefault="00F9751B" w:rsidP="00D74EE0">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 xml:space="preserve">Enhanced </w:t>
            </w:r>
            <w:r w:rsidR="00D74EE0" w:rsidRPr="00896C6F">
              <w:rPr>
                <w:sz w:val="18"/>
                <w:szCs w:val="18"/>
              </w:rPr>
              <w:t>urban amenity</w:t>
            </w:r>
          </w:p>
        </w:tc>
      </w:tr>
    </w:tbl>
    <w:p w14:paraId="23790B2D" w14:textId="77777777" w:rsidR="00601D64" w:rsidRPr="007C30F7" w:rsidRDefault="00601D64" w:rsidP="00601D64">
      <w:pPr>
        <w:pStyle w:val="TableSource0"/>
      </w:pPr>
      <w:r w:rsidRPr="007C30F7">
        <w:t xml:space="preserve">Source: </w:t>
      </w:r>
      <w:r>
        <w:t>SGS Economics and Planning, 2014</w:t>
      </w:r>
    </w:p>
    <w:p w14:paraId="4F75B6F9" w14:textId="77777777" w:rsidR="00F9751B" w:rsidRDefault="00F9751B" w:rsidP="00F9751B"/>
    <w:p w14:paraId="71F948AB" w14:textId="77777777" w:rsidR="00F9751B" w:rsidRPr="00691FA0" w:rsidRDefault="00F9751B" w:rsidP="00DF4E71">
      <w:pPr>
        <w:pStyle w:val="Breakoutheading"/>
      </w:pPr>
      <w:r w:rsidRPr="00691FA0">
        <w:t>Stage 3 – Revenue Calculation</w:t>
      </w:r>
    </w:p>
    <w:p w14:paraId="0365BCA3" w14:textId="77777777" w:rsidR="00F9751B" w:rsidRDefault="00F9751B" w:rsidP="00F9751B">
      <w:r>
        <w:t>The revenue calculation (Stage 3) is the output of applying reasonable inputs to the value capture mechanisms and calculating of a realistic range of returns. Demonstrable and defined benefits need to be captured. It would be normal to have a base case with conservative and optimistic alternative cases. Extremely optimistic inputs should be avoided as the risk of underperforming on revenue targets is a serious impact on project implementation.</w:t>
      </w:r>
    </w:p>
    <w:p w14:paraId="71027E12" w14:textId="77777777" w:rsidR="00F9751B" w:rsidRDefault="00F9751B" w:rsidP="00F9751B"/>
    <w:p w14:paraId="07AB75F9" w14:textId="77777777" w:rsidR="00F9751B" w:rsidRDefault="00F9751B" w:rsidP="00F9751B">
      <w:r>
        <w:t>Revenue forecasts need to ensure that value capture mechanisms remain fair and equitable. This is an opportunity to test that mechanisms are not overly onerous on beneficiaries.  In this event, the levy should be recalibrated to a reasonable level that reflects the level of direct benefit to the beneficiary.</w:t>
      </w:r>
    </w:p>
    <w:p w14:paraId="57D987A1" w14:textId="77777777" w:rsidR="00F9751B" w:rsidRDefault="00F9751B" w:rsidP="00F9751B">
      <w:r>
        <w:t>In summary, the revenue calculation process proceeds along this path:</w:t>
      </w:r>
    </w:p>
    <w:p w14:paraId="4F3511D7" w14:textId="77777777" w:rsidR="00F9751B" w:rsidRDefault="00F9751B" w:rsidP="00F9751B"/>
    <w:p w14:paraId="41FA4397" w14:textId="77777777" w:rsidR="00F9751B" w:rsidRDefault="00F9751B" w:rsidP="00F9751B">
      <w:r>
        <w:rPr>
          <w:noProof/>
          <w:lang w:val="en-US" w:eastAsia="en-US"/>
        </w:rPr>
        <mc:AlternateContent>
          <mc:Choice Requires="wps">
            <w:drawing>
              <wp:anchor distT="0" distB="0" distL="114300" distR="114300" simplePos="0" relativeHeight="251676160" behindDoc="0" locked="0" layoutInCell="1" allowOverlap="1" wp14:anchorId="5E6F1205" wp14:editId="66133423">
                <wp:simplePos x="0" y="0"/>
                <wp:positionH relativeFrom="column">
                  <wp:posOffset>3971290</wp:posOffset>
                </wp:positionH>
                <wp:positionV relativeFrom="paragraph">
                  <wp:posOffset>63500</wp:posOffset>
                </wp:positionV>
                <wp:extent cx="1266825" cy="581025"/>
                <wp:effectExtent l="0" t="0" r="28575" b="28575"/>
                <wp:wrapNone/>
                <wp:docPr id="40" name="Pentago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81025"/>
                        </a:xfrm>
                        <a:prstGeom prst="homePlate">
                          <a:avLst/>
                        </a:prstGeom>
                        <a:ln/>
                      </wps:spPr>
                      <wps:style>
                        <a:lnRef idx="2">
                          <a:schemeClr val="accent2"/>
                        </a:lnRef>
                        <a:fillRef idx="1">
                          <a:schemeClr val="lt1"/>
                        </a:fillRef>
                        <a:effectRef idx="0">
                          <a:schemeClr val="accent2"/>
                        </a:effectRef>
                        <a:fontRef idx="minor">
                          <a:schemeClr val="dk1"/>
                        </a:fontRef>
                      </wps:style>
                      <wps:txbx>
                        <w:txbxContent>
                          <w:p w14:paraId="658AAF42" w14:textId="77777777" w:rsidR="00015DC0" w:rsidRDefault="00015DC0" w:rsidP="00F9751B">
                            <w:r>
                              <w:t>Calculate Revenue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5E6F12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0" o:spid="_x0000_s1026" type="#_x0000_t15" style="position:absolute;margin-left:312.7pt;margin-top:5pt;width:99.75pt;height:4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" adj="16647" fillcolor="white [3201]" strokecolor="#76b900 [3205]" strokeweight="2pt">
                <v:path arrowok="t"/>
                <v:textbox>
                  <w:txbxContent>
                    <w:p w14:paraId="658AAF42" w14:textId="77777777" w:rsidR="00D82775" w:rsidRDefault="00D82775" w:rsidP="00F9751B">
                      <w:r>
                        <w:t>Calculate Revenue</w:t>
                      </w:r>
                    </w:p>
                  </w:txbxContent>
                </v:textbox>
              </v:shape>
            </w:pict>
          </mc:Fallback>
        </mc:AlternateContent>
      </w:r>
      <w:r>
        <w:rPr>
          <w:noProof/>
          <w:lang w:val="en-US" w:eastAsia="en-US"/>
        </w:rPr>
        <mc:AlternateContent>
          <mc:Choice Requires="wps">
            <w:drawing>
              <wp:anchor distT="0" distB="0" distL="114300" distR="114300" simplePos="0" relativeHeight="251673088" behindDoc="0" locked="0" layoutInCell="1" allowOverlap="1" wp14:anchorId="09C41941" wp14:editId="430993BA">
                <wp:simplePos x="0" y="0"/>
                <wp:positionH relativeFrom="column">
                  <wp:posOffset>2656840</wp:posOffset>
                </wp:positionH>
                <wp:positionV relativeFrom="paragraph">
                  <wp:posOffset>63500</wp:posOffset>
                </wp:positionV>
                <wp:extent cx="1266825" cy="581025"/>
                <wp:effectExtent l="0" t="0" r="28575" b="28575"/>
                <wp:wrapNone/>
                <wp:docPr id="38" name="Pentago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81025"/>
                        </a:xfrm>
                        <a:prstGeom prst="homePlate">
                          <a:avLst/>
                        </a:prstGeom>
                        <a:ln/>
                      </wps:spPr>
                      <wps:style>
                        <a:lnRef idx="2">
                          <a:schemeClr val="accent2"/>
                        </a:lnRef>
                        <a:fillRef idx="1">
                          <a:schemeClr val="lt1"/>
                        </a:fillRef>
                        <a:effectRef idx="0">
                          <a:schemeClr val="accent2"/>
                        </a:effectRef>
                        <a:fontRef idx="minor">
                          <a:schemeClr val="dk1"/>
                        </a:fontRef>
                      </wps:style>
                      <wps:txbx>
                        <w:txbxContent>
                          <w:p w14:paraId="0184A8BD" w14:textId="77777777" w:rsidR="00015DC0" w:rsidRDefault="00015DC0" w:rsidP="00F9751B">
                            <w:r>
                              <w:t>Select Value Capture Mechanism(s)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9C41941" id="Pentagon 38" o:spid="_x0000_s1027" type="#_x0000_t15" style="position:absolute;margin-left:209.2pt;margin-top:5pt;width:99.75pt;height:4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" adj="16647" fillcolor="white [3201]" strokecolor="#76b900 [3205]" strokeweight="2pt">
                <v:path arrowok="t"/>
                <v:textbox>
                  <w:txbxContent>
                    <w:p w14:paraId="0184A8BD" w14:textId="77777777" w:rsidR="00D82775" w:rsidRDefault="00D82775" w:rsidP="00F9751B">
                      <w:r>
                        <w:t>Select Value Capture Mechanism(s)</w:t>
                      </w:r>
                    </w:p>
                  </w:txbxContent>
                </v:textbox>
              </v:shape>
            </w:pict>
          </mc:Fallback>
        </mc:AlternateContent>
      </w:r>
      <w:r>
        <w:rPr>
          <w:noProof/>
          <w:lang w:val="en-US" w:eastAsia="en-US"/>
        </w:rPr>
        <mc:AlternateContent>
          <mc:Choice Requires="wps">
            <w:drawing>
              <wp:anchor distT="0" distB="0" distL="114300" distR="114300" simplePos="0" relativeHeight="251670016" behindDoc="0" locked="0" layoutInCell="1" allowOverlap="1" wp14:anchorId="61751A7D" wp14:editId="64861808">
                <wp:simplePos x="0" y="0"/>
                <wp:positionH relativeFrom="column">
                  <wp:posOffset>1342390</wp:posOffset>
                </wp:positionH>
                <wp:positionV relativeFrom="paragraph">
                  <wp:posOffset>63500</wp:posOffset>
                </wp:positionV>
                <wp:extent cx="1266825" cy="581025"/>
                <wp:effectExtent l="0" t="0" r="28575" b="28575"/>
                <wp:wrapNone/>
                <wp:docPr id="36" name="Pentago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81025"/>
                        </a:xfrm>
                        <a:prstGeom prst="homePlate">
                          <a:avLst/>
                        </a:prstGeom>
                        <a:ln/>
                      </wps:spPr>
                      <wps:style>
                        <a:lnRef idx="2">
                          <a:schemeClr val="accent2"/>
                        </a:lnRef>
                        <a:fillRef idx="1">
                          <a:schemeClr val="lt1"/>
                        </a:fillRef>
                        <a:effectRef idx="0">
                          <a:schemeClr val="accent2"/>
                        </a:effectRef>
                        <a:fontRef idx="minor">
                          <a:schemeClr val="dk1"/>
                        </a:fontRef>
                      </wps:style>
                      <wps:txbx>
                        <w:txbxContent>
                          <w:p w14:paraId="08D968B8" w14:textId="77777777" w:rsidR="00015DC0" w:rsidRDefault="00015DC0" w:rsidP="00F9751B">
                            <w:r>
                              <w:t>Identify Beneficiaries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1751A7D" id="Pentagon 36" o:spid="_x0000_s1028" type="#_x0000_t15" style="position:absolute;margin-left:105.7pt;margin-top:5pt;width:99.75pt;height:4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" adj="16647" fillcolor="white [3201]" strokecolor="#76b900 [3205]" strokeweight="2pt">
                <v:path arrowok="t"/>
                <v:textbox>
                  <w:txbxContent>
                    <w:p w14:paraId="08D968B8" w14:textId="77777777" w:rsidR="00D82775" w:rsidRDefault="00D82775" w:rsidP="00F9751B">
                      <w:r>
                        <w:t>Identify Beneficiaries</w:t>
                      </w:r>
                    </w:p>
                  </w:txbxContent>
                </v:textbox>
              </v:shape>
            </w:pict>
          </mc:Fallback>
        </mc:AlternateContent>
      </w:r>
      <w:r>
        <w:rPr>
          <w:noProof/>
          <w:lang w:val="en-US" w:eastAsia="en-US"/>
        </w:rPr>
        <mc:AlternateContent>
          <mc:Choice Requires="wps">
            <w:drawing>
              <wp:anchor distT="0" distB="0" distL="114300" distR="114300" simplePos="0" relativeHeight="251666944" behindDoc="0" locked="0" layoutInCell="1" allowOverlap="1" wp14:anchorId="0754D6F5" wp14:editId="5CC725A2">
                <wp:simplePos x="0" y="0"/>
                <wp:positionH relativeFrom="column">
                  <wp:posOffset>18415</wp:posOffset>
                </wp:positionH>
                <wp:positionV relativeFrom="paragraph">
                  <wp:posOffset>63500</wp:posOffset>
                </wp:positionV>
                <wp:extent cx="1266825" cy="581025"/>
                <wp:effectExtent l="0" t="0" r="28575" b="28575"/>
                <wp:wrapNone/>
                <wp:docPr id="6" name="Pen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81025"/>
                        </a:xfrm>
                        <a:prstGeom prst="homePlate">
                          <a:avLst/>
                        </a:prstGeom>
                      </wps:spPr>
                      <wps:style>
                        <a:lnRef idx="2">
                          <a:schemeClr val="accent2"/>
                        </a:lnRef>
                        <a:fillRef idx="1">
                          <a:schemeClr val="lt1"/>
                        </a:fillRef>
                        <a:effectRef idx="0">
                          <a:schemeClr val="accent2"/>
                        </a:effectRef>
                        <a:fontRef idx="minor">
                          <a:schemeClr val="dk1"/>
                        </a:fontRef>
                      </wps:style>
                      <wps:txbx>
                        <w:txbxContent>
                          <w:p w14:paraId="00DE02DA" w14:textId="77777777" w:rsidR="00015DC0" w:rsidRDefault="00015DC0" w:rsidP="00F9751B">
                            <w:r>
                              <w:t>Identify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754D6F5" id="Pentagon 6" o:spid="_x0000_s1029" type="#_x0000_t15" style="position:absolute;margin-left:1.45pt;margin-top:5pt;width:99.75pt;height:4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" adj="16647" fillcolor="white [3201]" strokecolor="#76b900 [3205]" strokeweight="2pt">
                <v:path arrowok="t"/>
                <v:textbox>
                  <w:txbxContent>
                    <w:p w14:paraId="00DE02DA" w14:textId="77777777" w:rsidR="00D82775" w:rsidRDefault="00D82775" w:rsidP="00F9751B">
                      <w:r>
                        <w:t>Identify Benefits</w:t>
                      </w:r>
                    </w:p>
                  </w:txbxContent>
                </v:textbox>
              </v:shape>
            </w:pict>
          </mc:Fallback>
        </mc:AlternateContent>
      </w:r>
    </w:p>
    <w:p w14:paraId="38FFD392" w14:textId="77777777" w:rsidR="00F9751B" w:rsidRDefault="00F9751B" w:rsidP="00F9751B"/>
    <w:p w14:paraId="4964481A" w14:textId="77777777" w:rsidR="00F9751B" w:rsidRDefault="00F9751B" w:rsidP="00F9751B"/>
    <w:p w14:paraId="272EF2E6" w14:textId="77777777" w:rsidR="00F9751B" w:rsidRDefault="00F9751B" w:rsidP="00F9751B"/>
    <w:p w14:paraId="4F293925" w14:textId="77777777" w:rsidR="00D31311" w:rsidRDefault="00D31311" w:rsidP="00DA5D9E">
      <w:pPr>
        <w:pStyle w:val="BodyText"/>
        <w:spacing w:line="245" w:lineRule="exact"/>
        <w:ind w:left="120" w:right="117"/>
        <w:rPr>
          <w:rFonts w:asciiTheme="minorHAnsi" w:hAnsiTheme="minorHAnsi"/>
          <w:color w:val="414042"/>
          <w:lang w:val="en-GB"/>
        </w:rPr>
      </w:pPr>
    </w:p>
    <w:p w14:paraId="7B82273D" w14:textId="77777777" w:rsidR="00F36942" w:rsidRDefault="00F36942" w:rsidP="00DA5D9E">
      <w:pPr>
        <w:pStyle w:val="BodyText"/>
        <w:spacing w:line="245" w:lineRule="exact"/>
        <w:ind w:left="120" w:right="117"/>
        <w:rPr>
          <w:rFonts w:asciiTheme="minorHAnsi" w:hAnsiTheme="minorHAnsi"/>
          <w:color w:val="414042"/>
          <w:lang w:val="en-GB"/>
        </w:rPr>
      </w:pPr>
    </w:p>
    <w:p w14:paraId="4B285774" w14:textId="77777777" w:rsidR="00857D0A" w:rsidRPr="008B0C0A" w:rsidRDefault="00857D0A" w:rsidP="009861AC">
      <w:pPr>
        <w:pStyle w:val="Heading2"/>
      </w:pPr>
      <w:bookmarkStart w:id="35" w:name="_Toc397924466"/>
      <w:bookmarkStart w:id="36" w:name="_Toc398067278"/>
      <w:bookmarkStart w:id="37" w:name="_Toc400011576"/>
      <w:bookmarkStart w:id="38" w:name="_Toc430896832"/>
      <w:r>
        <w:lastRenderedPageBreak/>
        <w:t>Conclusion</w:t>
      </w:r>
      <w:bookmarkEnd w:id="35"/>
      <w:bookmarkEnd w:id="36"/>
      <w:bookmarkEnd w:id="37"/>
      <w:bookmarkEnd w:id="38"/>
    </w:p>
    <w:p w14:paraId="65AFE690" w14:textId="77777777" w:rsidR="00857D0A" w:rsidRDefault="00857D0A" w:rsidP="00857D0A">
      <w:r>
        <w:t>There are a range of value capture options available to government to fund new public transport infrastructure</w:t>
      </w:r>
      <w:r w:rsidR="00921237">
        <w:t xml:space="preserve"> in Australia</w:t>
      </w:r>
      <w:r>
        <w:t xml:space="preserve">. </w:t>
      </w:r>
    </w:p>
    <w:p w14:paraId="282D11F5" w14:textId="77777777" w:rsidR="00857D0A" w:rsidRDefault="00857D0A" w:rsidP="00857D0A"/>
    <w:p w14:paraId="6416B034" w14:textId="77777777" w:rsidR="00857D0A" w:rsidRDefault="00857D0A" w:rsidP="00857D0A">
      <w:r>
        <w:t>The statutory authority for many value capture mechanisms in Australia is unclear and requires further examination. The interface between State government and local government – particularly city governments such as the City of Sydney – needs to be satisfactorily resolved.</w:t>
      </w:r>
    </w:p>
    <w:p w14:paraId="5572B0AD" w14:textId="77777777" w:rsidR="00857D0A" w:rsidRDefault="00857D0A" w:rsidP="00857D0A"/>
    <w:p w14:paraId="2BF0CB5E" w14:textId="77777777" w:rsidR="00857D0A" w:rsidRDefault="00227CD2" w:rsidP="00857D0A">
      <w:r>
        <w:t>A</w:t>
      </w:r>
      <w:r w:rsidR="00857D0A">
        <w:t xml:space="preserve"> preferred option is to develop a suite of value capture mechanisms that target different types of beneficiaries, delivering fairness and equity in value capture.</w:t>
      </w:r>
    </w:p>
    <w:p w14:paraId="4FB6ABEA" w14:textId="77777777" w:rsidR="00857D0A" w:rsidRDefault="00857D0A" w:rsidP="00857D0A"/>
    <w:p w14:paraId="2DEE16E3" w14:textId="77777777" w:rsidR="00857D0A" w:rsidRDefault="00857D0A" w:rsidP="00857D0A">
      <w:r>
        <w:t xml:space="preserve">The revenue from value capture mechanisms will not be sufficient to offset the </w:t>
      </w:r>
      <w:r w:rsidR="00594BD5">
        <w:t xml:space="preserve">full </w:t>
      </w:r>
      <w:r>
        <w:t xml:space="preserve">upfront capital </w:t>
      </w:r>
      <w:r w:rsidR="00594BD5">
        <w:t xml:space="preserve">cost </w:t>
      </w:r>
      <w:r>
        <w:t xml:space="preserve">of </w:t>
      </w:r>
      <w:r w:rsidR="00594BD5">
        <w:t>new public transport infrastructure</w:t>
      </w:r>
      <w:r>
        <w:t xml:space="preserve">. </w:t>
      </w:r>
    </w:p>
    <w:p w14:paraId="21F0C501" w14:textId="77777777" w:rsidR="00857D0A" w:rsidRDefault="00857D0A" w:rsidP="00857D0A"/>
    <w:p w14:paraId="2CC2763B" w14:textId="77777777" w:rsidR="00857D0A" w:rsidRDefault="00857D0A" w:rsidP="00857D0A">
      <w:r>
        <w:t>Agglomerated revenue from a suite of value capture mechanisms could either:</w:t>
      </w:r>
    </w:p>
    <w:p w14:paraId="3B3E781F" w14:textId="77777777" w:rsidR="00857D0A" w:rsidRDefault="00857D0A" w:rsidP="00857D0A"/>
    <w:p w14:paraId="66930A10" w14:textId="77777777" w:rsidR="00857D0A" w:rsidRPr="00612215" w:rsidRDefault="00857D0A" w:rsidP="00791C11">
      <w:pPr>
        <w:pStyle w:val="Bullet1"/>
        <w:numPr>
          <w:ilvl w:val="0"/>
          <w:numId w:val="39"/>
        </w:numPr>
      </w:pPr>
      <w:r>
        <w:t>G</w:t>
      </w:r>
      <w:r w:rsidRPr="00612215">
        <w:t>enerate sufficient funds to support operational requirements arising from new cultural infrastructure</w:t>
      </w:r>
      <w:r>
        <w:t>; or</w:t>
      </w:r>
    </w:p>
    <w:p w14:paraId="31F5E89F" w14:textId="77777777" w:rsidR="00857D0A" w:rsidRPr="00612215" w:rsidRDefault="00857D0A" w:rsidP="00791C11">
      <w:pPr>
        <w:pStyle w:val="Bullet1"/>
        <w:numPr>
          <w:ilvl w:val="0"/>
          <w:numId w:val="39"/>
        </w:numPr>
      </w:pPr>
      <w:r w:rsidRPr="00612215">
        <w:t>Alternatively, it could be used to offset the recurrent cost of payments for a social infrastructure PPP for new cultural asset(s).</w:t>
      </w:r>
    </w:p>
    <w:p w14:paraId="41E9E950" w14:textId="77777777" w:rsidR="00857D0A" w:rsidRDefault="00857D0A" w:rsidP="00857D0A"/>
    <w:p w14:paraId="45A87BD4" w14:textId="77777777" w:rsidR="00857D0A" w:rsidRDefault="00857D0A" w:rsidP="00857D0A">
      <w:r>
        <w:t>Co-funding of new infrastructure through development of surplus land on existing institutional sites should be encouraged. It should, however, be based on options analysis that examines the full spectrum of options including relocation and asset disposal if the current asset cannot realistically meet the long term statutory and regulatory obligations of the institution.</w:t>
      </w:r>
    </w:p>
    <w:p w14:paraId="6BA33EB7" w14:textId="77777777" w:rsidR="00857D0A" w:rsidRDefault="00857D0A" w:rsidP="00857D0A"/>
    <w:p w14:paraId="70A9F65A" w14:textId="77777777" w:rsidR="00594BD5" w:rsidRDefault="00857D0A" w:rsidP="00857D0A">
      <w:r>
        <w:t>The opportunity for PPP</w:t>
      </w:r>
      <w:r w:rsidR="00594BD5">
        <w:t>s</w:t>
      </w:r>
      <w:r>
        <w:t xml:space="preserve"> </w:t>
      </w:r>
      <w:r w:rsidR="00594BD5">
        <w:t>c</w:t>
      </w:r>
      <w:r>
        <w:t xml:space="preserve">ould be explored in the context that co-funding </w:t>
      </w:r>
      <w:r w:rsidR="00594BD5">
        <w:t>from value capture could</w:t>
      </w:r>
      <w:r>
        <w:t xml:space="preserve"> offset </w:t>
      </w:r>
      <w:r w:rsidR="00594BD5">
        <w:t>or fully cover</w:t>
      </w:r>
      <w:r>
        <w:t xml:space="preserve"> recurrent PPP payments. </w:t>
      </w:r>
      <w:r w:rsidR="00594BD5">
        <w:t>Australia</w:t>
      </w:r>
      <w:r>
        <w:t xml:space="preserve"> has a sophisticated PPP system with a strong track record. </w:t>
      </w:r>
      <w:r w:rsidR="00594BD5">
        <w:t>Integration of value capture revenue with t</w:t>
      </w:r>
      <w:r>
        <w:t xml:space="preserve">he PPP model represents a realistic opportunity to support the development of new </w:t>
      </w:r>
      <w:r w:rsidR="00594BD5">
        <w:t>public transport infrastructure.</w:t>
      </w:r>
    </w:p>
    <w:p w14:paraId="435CCEE9" w14:textId="77777777" w:rsidR="00594BD5" w:rsidRDefault="00594BD5" w:rsidP="00857D0A"/>
    <w:p w14:paraId="5A7A8FFE" w14:textId="128F673C" w:rsidR="00594BD5" w:rsidRDefault="00594BD5" w:rsidP="00857D0A">
      <w:r>
        <w:t xml:space="preserve">This option is examined in more </w:t>
      </w:r>
      <w:r w:rsidRPr="0083718D">
        <w:t xml:space="preserve">detail in Section </w:t>
      </w:r>
      <w:r w:rsidR="0083718D" w:rsidRPr="0083718D">
        <w:t>6</w:t>
      </w:r>
      <w:r w:rsidRPr="0083718D">
        <w:t>.</w:t>
      </w:r>
    </w:p>
    <w:p w14:paraId="2AF2EAD3" w14:textId="77777777" w:rsidR="00857D0A" w:rsidRDefault="00857D0A" w:rsidP="00DA5D9E">
      <w:pPr>
        <w:pStyle w:val="BodyText"/>
        <w:spacing w:line="245" w:lineRule="exact"/>
        <w:ind w:left="120" w:right="117"/>
        <w:rPr>
          <w:rFonts w:asciiTheme="minorHAnsi" w:hAnsiTheme="minorHAnsi"/>
          <w:color w:val="414042"/>
          <w:lang w:val="en-GB"/>
        </w:rPr>
      </w:pPr>
    </w:p>
    <w:p w14:paraId="44277B8A" w14:textId="77777777" w:rsidR="009F4F91" w:rsidRDefault="00194A7C" w:rsidP="00C83712">
      <w:pPr>
        <w:pStyle w:val="Heading1"/>
      </w:pPr>
      <w:bookmarkStart w:id="39" w:name="_Toc430896833"/>
      <w:r>
        <w:lastRenderedPageBreak/>
        <w:t xml:space="preserve">evidence of </w:t>
      </w:r>
      <w:r w:rsidR="00BE1C8C">
        <w:t>Uplift in</w:t>
      </w:r>
      <w:r w:rsidR="00A1240B">
        <w:t xml:space="preserve"> </w:t>
      </w:r>
      <w:r w:rsidR="009F4F91">
        <w:t>property value</w:t>
      </w:r>
      <w:r w:rsidR="007C7210">
        <w:t>s</w:t>
      </w:r>
      <w:bookmarkEnd w:id="39"/>
      <w:r w:rsidR="007C7210">
        <w:t xml:space="preserve"> </w:t>
      </w:r>
    </w:p>
    <w:p w14:paraId="601E8A45" w14:textId="77777777" w:rsidR="00347DA3" w:rsidRPr="00E4454D" w:rsidRDefault="00760C1D" w:rsidP="00E4454D">
      <w:r w:rsidRPr="00E4454D">
        <w:t xml:space="preserve">A core </w:t>
      </w:r>
      <w:r w:rsidR="006D2413" w:rsidRPr="00E4454D">
        <w:t>rationale for</w:t>
      </w:r>
      <w:r w:rsidRPr="00E4454D">
        <w:t xml:space="preserve"> </w:t>
      </w:r>
      <w:r w:rsidR="006D2413" w:rsidRPr="00E4454D">
        <w:t xml:space="preserve">the introduction of </w:t>
      </w:r>
      <w:r w:rsidRPr="00E4454D">
        <w:t>value capture is the positive impact of new public transport infrastructure on property values in surrounding area</w:t>
      </w:r>
      <w:r w:rsidR="00E6412E" w:rsidRPr="00E4454D">
        <w:t>s</w:t>
      </w:r>
      <w:r w:rsidRPr="00E4454D">
        <w:t xml:space="preserve">. </w:t>
      </w:r>
      <w:r w:rsidR="00194A7C" w:rsidRPr="00E4454D">
        <w:t>Evidence of an uplift in</w:t>
      </w:r>
      <w:r w:rsidR="00E6412E" w:rsidRPr="00E4454D">
        <w:t xml:space="preserve"> property values are cited in this </w:t>
      </w:r>
      <w:r w:rsidR="00AC4543" w:rsidRPr="00E4454D">
        <w:t>Section</w:t>
      </w:r>
      <w:r w:rsidR="00E6412E" w:rsidRPr="00E4454D">
        <w:t xml:space="preserve">. </w:t>
      </w:r>
      <w:r w:rsidR="00347DA3" w:rsidRPr="00E4454D">
        <w:t xml:space="preserve">The financial windfalls from these examples were the direct result of the public’s investment in transport infrastructure. </w:t>
      </w:r>
    </w:p>
    <w:p w14:paraId="0EAB72E7" w14:textId="77777777" w:rsidR="00347DA3" w:rsidRPr="00E4454D" w:rsidRDefault="00347DA3" w:rsidP="00E4454D"/>
    <w:p w14:paraId="6263C8BB" w14:textId="77777777" w:rsidR="00347DA3" w:rsidRPr="00E4454D" w:rsidRDefault="00347DA3" w:rsidP="00E4454D">
      <w:r w:rsidRPr="00E4454D">
        <w:t>No equitable mechanism exists in NSW, Western Australia or any Australian state or territory to capture indirect benefits to help pay for the infrastructure or related costs associated with the improvements. Rather than obtaining a financial benefit from its infrastructure investments, the Australian public is in effect paying an inflated price for land around transport infrastructure as a result of its investment, and the uplift in value solely benefits nearby property owners. This inflated cost is then passed on in the form of higher taxes, high housing costs and higher public transport fares. This is occurring throughout Australia despite an increasing gap in infrastructure funding.</w:t>
      </w:r>
    </w:p>
    <w:p w14:paraId="29188C58" w14:textId="77777777" w:rsidR="00207067" w:rsidRPr="00E4454D" w:rsidRDefault="00207067" w:rsidP="00E4454D"/>
    <w:p w14:paraId="2DCCE0B7" w14:textId="189FC7D6" w:rsidR="00207067" w:rsidRPr="00E4454D" w:rsidRDefault="00207067" w:rsidP="00E4454D">
      <w:r w:rsidRPr="00E4454D">
        <w:t xml:space="preserve">Support for value capture </w:t>
      </w:r>
      <w:r w:rsidR="00B0037F" w:rsidRPr="00E4454D">
        <w:t>mechanisms such as Betterment taxes (</w:t>
      </w:r>
      <w:r w:rsidR="009861AC" w:rsidRPr="00E4454D">
        <w:t>i.e.</w:t>
      </w:r>
      <w:r w:rsidR="00B0037F" w:rsidRPr="00E4454D">
        <w:t xml:space="preserve"> Business Rates Supplements) </w:t>
      </w:r>
      <w:r w:rsidRPr="00E4454D">
        <w:t xml:space="preserve">can be secured </w:t>
      </w:r>
      <w:r w:rsidR="00B0037F" w:rsidRPr="00E4454D">
        <w:t xml:space="preserve">from affected property owners </w:t>
      </w:r>
      <w:r w:rsidRPr="00E4454D">
        <w:t xml:space="preserve">by demonstrating that they will receive </w:t>
      </w:r>
      <w:r w:rsidR="00B0037F" w:rsidRPr="00E4454D">
        <w:t xml:space="preserve">tangible </w:t>
      </w:r>
      <w:r w:rsidRPr="00E4454D">
        <w:t>financial benefit</w:t>
      </w:r>
      <w:r w:rsidR="00B0037F" w:rsidRPr="00E4454D">
        <w:t>s</w:t>
      </w:r>
      <w:r w:rsidRPr="00E4454D">
        <w:t xml:space="preserve"> in the form of increased property values that</w:t>
      </w:r>
      <w:r w:rsidR="00B0037F" w:rsidRPr="00E4454D">
        <w:t xml:space="preserve"> will</w:t>
      </w:r>
      <w:r w:rsidRPr="00E4454D">
        <w:t xml:space="preserve"> significantly outweigh the small recurrent cost of a levy. </w:t>
      </w:r>
    </w:p>
    <w:p w14:paraId="27D590AB" w14:textId="77777777" w:rsidR="00207067" w:rsidRPr="00E4454D" w:rsidRDefault="00207067" w:rsidP="00E4454D"/>
    <w:p w14:paraId="471BAED6" w14:textId="77777777" w:rsidR="009F4F91" w:rsidRPr="00E4454D" w:rsidRDefault="004177A0" w:rsidP="00E4454D">
      <w:r w:rsidRPr="00E4454D">
        <w:t>U</w:t>
      </w:r>
      <w:r w:rsidR="00AE6C8B" w:rsidRPr="00E4454D">
        <w:t>plift in property values</w:t>
      </w:r>
      <w:r w:rsidR="009F4F91" w:rsidRPr="00E4454D">
        <w:t xml:space="preserve"> </w:t>
      </w:r>
      <w:r w:rsidR="00755756" w:rsidRPr="00E4454D">
        <w:t>can be quantified by comparison with</w:t>
      </w:r>
      <w:r w:rsidR="009F4F91" w:rsidRPr="00E4454D">
        <w:t xml:space="preserve"> historic values and, where possible, </w:t>
      </w:r>
      <w:r w:rsidR="00AE6C8B" w:rsidRPr="00E4454D">
        <w:t xml:space="preserve">values in </w:t>
      </w:r>
      <w:r w:rsidR="009F4F91" w:rsidRPr="00E4454D">
        <w:t xml:space="preserve">adjacent areas which did not enjoy the </w:t>
      </w:r>
      <w:r w:rsidR="00755756" w:rsidRPr="00E4454D">
        <w:t>full benefit</w:t>
      </w:r>
      <w:r w:rsidR="00F712E6" w:rsidRPr="00E4454D">
        <w:t>s</w:t>
      </w:r>
      <w:r w:rsidR="009F4F91" w:rsidRPr="00E4454D">
        <w:t xml:space="preserve"> of new </w:t>
      </w:r>
      <w:r w:rsidR="00F712E6" w:rsidRPr="00E4454D">
        <w:t xml:space="preserve">public transport </w:t>
      </w:r>
      <w:r w:rsidR="009F4F91" w:rsidRPr="00E4454D">
        <w:t>infrastructure.</w:t>
      </w:r>
      <w:r w:rsidR="00E6412E" w:rsidRPr="00E4454D">
        <w:t xml:space="preserve"> </w:t>
      </w:r>
    </w:p>
    <w:p w14:paraId="0C0F22DC" w14:textId="77777777" w:rsidR="009F4F91" w:rsidRPr="00E4454D" w:rsidRDefault="009F4F91" w:rsidP="00E4454D"/>
    <w:p w14:paraId="3BB9009A" w14:textId="77777777" w:rsidR="009F4F91" w:rsidRPr="00E4454D" w:rsidRDefault="004177A0" w:rsidP="00E4454D">
      <w:r w:rsidRPr="00E4454D">
        <w:t xml:space="preserve">At face value, it seems obvious that new public transport infrastructure will raise property values. However, there are differences in the impact on different types of property. </w:t>
      </w:r>
      <w:r w:rsidR="00E6412E" w:rsidRPr="00E4454D">
        <w:t xml:space="preserve"> </w:t>
      </w:r>
      <w:r w:rsidR="009F4F91" w:rsidRPr="00E4454D">
        <w:t xml:space="preserve">It should be noted that a ‘standard impact’ </w:t>
      </w:r>
      <w:r w:rsidR="00DC2ADD" w:rsidRPr="00E4454D">
        <w:t xml:space="preserve">on land values </w:t>
      </w:r>
      <w:r w:rsidR="009F4F91" w:rsidRPr="00E4454D">
        <w:t xml:space="preserve">is difficult to define as the effect of </w:t>
      </w:r>
      <w:r w:rsidR="000D4733" w:rsidRPr="00E4454D">
        <w:t>new public transport infrastructure</w:t>
      </w:r>
      <w:r w:rsidR="009F4F91" w:rsidRPr="00E4454D">
        <w:t xml:space="preserve"> </w:t>
      </w:r>
      <w:r w:rsidR="000D4733" w:rsidRPr="00E4454D">
        <w:t>varies</w:t>
      </w:r>
      <w:r w:rsidR="009F4F91" w:rsidRPr="00E4454D">
        <w:t xml:space="preserve"> depending on a </w:t>
      </w:r>
      <w:r w:rsidR="000D4733" w:rsidRPr="00E4454D">
        <w:t>range</w:t>
      </w:r>
      <w:r w:rsidR="009F4F91" w:rsidRPr="00E4454D">
        <w:t xml:space="preserve"> of factors </w:t>
      </w:r>
      <w:r w:rsidR="00D056C1" w:rsidRPr="00E4454D">
        <w:t xml:space="preserve">including </w:t>
      </w:r>
      <w:r w:rsidR="00DC2ADD" w:rsidRPr="00E4454D">
        <w:t xml:space="preserve">proximity to stations, </w:t>
      </w:r>
      <w:r w:rsidR="009F4F91" w:rsidRPr="00E4454D">
        <w:t>frequency of service</w:t>
      </w:r>
      <w:r w:rsidR="00DC2ADD" w:rsidRPr="00E4454D">
        <w:t>s</w:t>
      </w:r>
      <w:r w:rsidR="009F4F91" w:rsidRPr="00E4454D">
        <w:t xml:space="preserve"> and links to strategic destinations</w:t>
      </w:r>
      <w:r w:rsidR="006F03DB" w:rsidRPr="00E4454D">
        <w:t xml:space="preserve"> such as CBDs or regional hubs</w:t>
      </w:r>
      <w:r w:rsidR="009F4F91" w:rsidRPr="00E4454D">
        <w:t xml:space="preserve">. The impact </w:t>
      </w:r>
      <w:r w:rsidR="009112B0" w:rsidRPr="00E4454D">
        <w:t xml:space="preserve">on land values </w:t>
      </w:r>
      <w:r w:rsidR="009F4F91" w:rsidRPr="00E4454D">
        <w:t>also varies depending on the function of the particular property</w:t>
      </w:r>
      <w:r w:rsidR="009112B0" w:rsidRPr="00E4454D">
        <w:t xml:space="preserve"> -</w:t>
      </w:r>
      <w:r w:rsidR="009F4F91" w:rsidRPr="00E4454D">
        <w:t xml:space="preserve"> residential, office, retail and industrial.</w:t>
      </w:r>
      <w:r w:rsidR="00781E04" w:rsidRPr="00E4454D">
        <w:t xml:space="preserve"> For example, there is an obvious positive impact on commercial and retail values whereas residential values may be adversely affected.</w:t>
      </w:r>
      <w:r w:rsidR="00EC6F6B" w:rsidRPr="00E4454D">
        <w:t xml:space="preserve"> </w:t>
      </w:r>
      <w:r w:rsidR="009F4F91" w:rsidRPr="00E4454D">
        <w:t xml:space="preserve">In terms of residential properties a ‘discount area’ may exist where the values of properties within the immediate vicinity of the station are adversely affected by externalities such as increased noise, pedestrian activity, vehicle traffic, the visual impact of the station, and </w:t>
      </w:r>
      <w:r w:rsidR="005D7B2C" w:rsidRPr="00E4454D">
        <w:t xml:space="preserve">even </w:t>
      </w:r>
      <w:r w:rsidR="009F4F91" w:rsidRPr="00E4454D">
        <w:t xml:space="preserve">the perception of an increased opportunity for crime. </w:t>
      </w:r>
    </w:p>
    <w:p w14:paraId="4358F401" w14:textId="77777777" w:rsidR="00E6412E" w:rsidRPr="00E4454D" w:rsidRDefault="00E6412E" w:rsidP="00E4454D"/>
    <w:p w14:paraId="46959EF5" w14:textId="77777777" w:rsidR="009F4F91" w:rsidRPr="00E4454D" w:rsidRDefault="009F4F91" w:rsidP="00E4454D">
      <w:r w:rsidRPr="00E4454D">
        <w:t xml:space="preserve">However, studies which identify a </w:t>
      </w:r>
      <w:r w:rsidR="005D7B2C" w:rsidRPr="00E4454D">
        <w:t xml:space="preserve">residential </w:t>
      </w:r>
      <w:r w:rsidRPr="00E4454D">
        <w:t xml:space="preserve">discount area generally focus on single family residential properties </w:t>
      </w:r>
      <w:r w:rsidR="00E6412E" w:rsidRPr="00E4454D">
        <w:t>rather than</w:t>
      </w:r>
      <w:r w:rsidRPr="00E4454D">
        <w:t xml:space="preserve"> medium to high density housing </w:t>
      </w:r>
      <w:r w:rsidR="005D7B2C" w:rsidRPr="00E4454D">
        <w:t>and</w:t>
      </w:r>
      <w:r w:rsidRPr="00E4454D">
        <w:t xml:space="preserve"> mixed use developments. These </w:t>
      </w:r>
      <w:r w:rsidR="005D7B2C" w:rsidRPr="00E4454D">
        <w:t xml:space="preserve">types of </w:t>
      </w:r>
      <w:r w:rsidR="00E6412E" w:rsidRPr="00E4454D">
        <w:t xml:space="preserve">intense </w:t>
      </w:r>
      <w:r w:rsidRPr="00E4454D">
        <w:t>development</w:t>
      </w:r>
      <w:r w:rsidR="00E6412E" w:rsidRPr="00E4454D">
        <w:t xml:space="preserve"> at stations and hubs generally</w:t>
      </w:r>
      <w:r w:rsidRPr="00E4454D">
        <w:t xml:space="preserve"> attract individuals </w:t>
      </w:r>
      <w:r w:rsidR="005D7B2C" w:rsidRPr="00E4454D">
        <w:t>and</w:t>
      </w:r>
      <w:r w:rsidRPr="00E4454D">
        <w:t xml:space="preserve"> family units with differing preferences. For instance</w:t>
      </w:r>
      <w:r w:rsidR="005D7B2C" w:rsidRPr="00E4454D">
        <w:t>, they</w:t>
      </w:r>
      <w:r w:rsidRPr="00E4454D">
        <w:t xml:space="preserve"> value accessibility to work and </w:t>
      </w:r>
      <w:r w:rsidR="005D7B2C" w:rsidRPr="00E4454D">
        <w:t>urban vitality (access to</w:t>
      </w:r>
      <w:r w:rsidRPr="00E4454D">
        <w:t xml:space="preserve"> restaurants, shops and bars</w:t>
      </w:r>
      <w:r w:rsidR="005D7B2C" w:rsidRPr="00E4454D">
        <w:t>)</w:t>
      </w:r>
      <w:r w:rsidRPr="00E4454D">
        <w:t xml:space="preserve"> above concerns about increased noise levels and decreased privacy. </w:t>
      </w:r>
      <w:r w:rsidR="005D7B2C" w:rsidRPr="00E4454D">
        <w:t>Indeed, well</w:t>
      </w:r>
      <w:r w:rsidRPr="00E4454D">
        <w:t xml:space="preserve"> designed</w:t>
      </w:r>
      <w:r w:rsidR="007C7210" w:rsidRPr="00E4454D">
        <w:t xml:space="preserve"> underground stations with </w:t>
      </w:r>
      <w:r w:rsidR="000132E8" w:rsidRPr="00E4454D">
        <w:t xml:space="preserve">good </w:t>
      </w:r>
      <w:r w:rsidRPr="00E4454D">
        <w:t>access points and streetscaping can eliminate many of the</w:t>
      </w:r>
      <w:r w:rsidR="005D7B2C" w:rsidRPr="00E4454D">
        <w:t>se</w:t>
      </w:r>
      <w:r w:rsidRPr="00E4454D">
        <w:t xml:space="preserve"> externalities.  </w:t>
      </w:r>
    </w:p>
    <w:p w14:paraId="74FFF99D" w14:textId="77777777" w:rsidR="009F4F91" w:rsidRPr="00E4454D" w:rsidRDefault="009F4F91" w:rsidP="00E4454D"/>
    <w:p w14:paraId="1B17E95C" w14:textId="77777777" w:rsidR="009F4F91" w:rsidRPr="00E4454D" w:rsidRDefault="00CA4B6C" w:rsidP="00E4454D">
      <w:r w:rsidRPr="00E4454D">
        <w:t>T</w:t>
      </w:r>
      <w:r w:rsidR="009F4F91" w:rsidRPr="00E4454D">
        <w:t xml:space="preserve">here is no evidence to suggest that retail, commercial or mixed use properties are negatively affected by close proximity to </w:t>
      </w:r>
      <w:r w:rsidRPr="00E4454D">
        <w:t>public transport stations</w:t>
      </w:r>
      <w:r w:rsidR="009F4F91" w:rsidRPr="00E4454D">
        <w:t xml:space="preserve">. Retail properties benefit from increased visibility and pedestrian flows while office properties are in a prime location with increased accessibility for workers and clients.  These properties in fact </w:t>
      </w:r>
      <w:r w:rsidR="00480F60" w:rsidRPr="00E4454D">
        <w:t xml:space="preserve">generally </w:t>
      </w:r>
      <w:r w:rsidR="009F4F91" w:rsidRPr="00E4454D">
        <w:t xml:space="preserve">attract a premium for being located in the immediate vicinity of a station. </w:t>
      </w:r>
    </w:p>
    <w:p w14:paraId="7F60227E" w14:textId="77777777" w:rsidR="009F4F91" w:rsidRPr="00E4454D" w:rsidRDefault="009F4F91" w:rsidP="00E4454D"/>
    <w:p w14:paraId="26184532" w14:textId="77777777" w:rsidR="009F4F91" w:rsidRPr="00E4454D" w:rsidRDefault="009F4F91" w:rsidP="00E4454D">
      <w:r w:rsidRPr="00E4454D">
        <w:t xml:space="preserve">Many studies have found that the positive aspects of </w:t>
      </w:r>
      <w:r w:rsidR="002726AE" w:rsidRPr="00E4454D">
        <w:t>proximity</w:t>
      </w:r>
      <w:r w:rsidRPr="00E4454D">
        <w:t xml:space="preserve"> to a train station </w:t>
      </w:r>
      <w:r w:rsidR="002726AE" w:rsidRPr="00E4454D">
        <w:t>have a positive impact on property values. These factors include</w:t>
      </w:r>
      <w:r w:rsidRPr="00E4454D">
        <w:t xml:space="preserve"> increased accessibility to job opportunities, increased choice in </w:t>
      </w:r>
      <w:r w:rsidRPr="00E4454D">
        <w:lastRenderedPageBreak/>
        <w:t>transportation and decreased travel costs and time. The ‘catchment region’ (the area for which property prices are affected) has extended in some studies to a 2 kilometre radius from the station.</w:t>
      </w:r>
    </w:p>
    <w:p w14:paraId="0C2347BD" w14:textId="77777777" w:rsidR="0051038F" w:rsidRPr="00E4454D" w:rsidRDefault="0051038F" w:rsidP="00E4454D"/>
    <w:p w14:paraId="4083D675" w14:textId="77777777" w:rsidR="0051038F" w:rsidRDefault="0051038F" w:rsidP="00E4454D">
      <w:r w:rsidRPr="00E4454D">
        <w:t xml:space="preserve">The following examples of </w:t>
      </w:r>
      <w:r w:rsidR="00E4704D" w:rsidRPr="00E4454D">
        <w:t xml:space="preserve">consistent </w:t>
      </w:r>
      <w:r w:rsidRPr="00E4454D">
        <w:t xml:space="preserve">uplift in property values from new public transport infrastructure </w:t>
      </w:r>
      <w:r w:rsidR="00E4704D" w:rsidRPr="00E4454D">
        <w:t>across all classes of real estate provides</w:t>
      </w:r>
      <w:r w:rsidR="00F30607" w:rsidRPr="00E4454D">
        <w:t xml:space="preserve"> consistent</w:t>
      </w:r>
      <w:r w:rsidRPr="00E4454D">
        <w:t xml:space="preserve"> evidence</w:t>
      </w:r>
      <w:r w:rsidR="00E4704D" w:rsidRPr="00E4454D">
        <w:t xml:space="preserve"> to support a small portion of this windfall being subject to value capture</w:t>
      </w:r>
      <w:r>
        <w:t>:</w:t>
      </w:r>
    </w:p>
    <w:p w14:paraId="1CC71435" w14:textId="77777777" w:rsidR="009F4F91" w:rsidRDefault="009F4F91" w:rsidP="007C7210"/>
    <w:p w14:paraId="1C5EF698" w14:textId="44C211DE" w:rsidR="00655A80" w:rsidRPr="004563DE" w:rsidRDefault="00655A80" w:rsidP="00791C11">
      <w:pPr>
        <w:pStyle w:val="ListParagraph"/>
        <w:numPr>
          <w:ilvl w:val="0"/>
          <w:numId w:val="10"/>
        </w:numPr>
      </w:pPr>
      <w:r>
        <w:t xml:space="preserve">In Japan, commercial land parcels within 50 metres of stations increased by 57% </w:t>
      </w:r>
      <w:r w:rsidR="00E4704D">
        <w:t xml:space="preserve">in value </w:t>
      </w:r>
      <w:r>
        <w:t>(PWC, 2008)</w:t>
      </w:r>
    </w:p>
    <w:p w14:paraId="0226E7AF" w14:textId="6434432B" w:rsidR="007C7210" w:rsidRPr="007C7210" w:rsidRDefault="007C7210" w:rsidP="00791C11">
      <w:pPr>
        <w:pStyle w:val="BodyText"/>
        <w:numPr>
          <w:ilvl w:val="0"/>
          <w:numId w:val="10"/>
        </w:numPr>
        <w:tabs>
          <w:tab w:val="left" w:pos="7060"/>
        </w:tabs>
        <w:spacing w:line="247" w:lineRule="auto"/>
        <w:rPr>
          <w:rFonts w:asciiTheme="minorHAnsi" w:hAnsiTheme="minorHAnsi"/>
        </w:rPr>
      </w:pPr>
      <w:r w:rsidRPr="007C7210">
        <w:rPr>
          <w:rFonts w:asciiTheme="minorHAnsi" w:hAnsiTheme="minorHAnsi"/>
          <w:color w:val="231F20"/>
          <w:w w:val="105"/>
        </w:rPr>
        <w:t>A</w:t>
      </w:r>
      <w:r w:rsidRPr="007C7210">
        <w:rPr>
          <w:rFonts w:asciiTheme="minorHAnsi" w:hAnsiTheme="minorHAnsi"/>
          <w:color w:val="231F20"/>
          <w:spacing w:val="23"/>
          <w:w w:val="105"/>
        </w:rPr>
        <w:t xml:space="preserve"> </w:t>
      </w:r>
      <w:r w:rsidRPr="007C7210">
        <w:rPr>
          <w:rFonts w:asciiTheme="minorHAnsi" w:hAnsiTheme="minorHAnsi"/>
          <w:color w:val="231F20"/>
          <w:w w:val="105"/>
        </w:rPr>
        <w:t>study</w:t>
      </w:r>
      <w:r w:rsidRPr="007C7210">
        <w:rPr>
          <w:rFonts w:asciiTheme="minorHAnsi" w:hAnsiTheme="minorHAnsi"/>
          <w:color w:val="231F20"/>
          <w:spacing w:val="23"/>
          <w:w w:val="105"/>
        </w:rPr>
        <w:t xml:space="preserve"> </w:t>
      </w:r>
      <w:r w:rsidRPr="007C7210">
        <w:rPr>
          <w:rFonts w:asciiTheme="minorHAnsi" w:hAnsiTheme="minorHAnsi"/>
          <w:color w:val="231F20"/>
          <w:w w:val="105"/>
        </w:rPr>
        <w:t>of</w:t>
      </w:r>
      <w:r w:rsidRPr="007C7210">
        <w:rPr>
          <w:rFonts w:asciiTheme="minorHAnsi" w:hAnsiTheme="minorHAnsi"/>
          <w:color w:val="231F20"/>
          <w:spacing w:val="23"/>
          <w:w w:val="105"/>
        </w:rPr>
        <w:t xml:space="preserve"> </w:t>
      </w:r>
      <w:r w:rsidRPr="007C7210">
        <w:rPr>
          <w:rFonts w:asciiTheme="minorHAnsi" w:hAnsiTheme="minorHAnsi"/>
          <w:color w:val="231F20"/>
          <w:w w:val="105"/>
        </w:rPr>
        <w:t>89</w:t>
      </w:r>
      <w:r w:rsidRPr="007C7210">
        <w:rPr>
          <w:rFonts w:asciiTheme="minorHAnsi" w:hAnsiTheme="minorHAnsi"/>
          <w:color w:val="231F20"/>
          <w:spacing w:val="23"/>
          <w:w w:val="105"/>
        </w:rPr>
        <w:t xml:space="preserve"> </w:t>
      </w:r>
      <w:r w:rsidRPr="007C7210">
        <w:rPr>
          <w:rFonts w:asciiTheme="minorHAnsi" w:hAnsiTheme="minorHAnsi"/>
          <w:color w:val="231F20"/>
          <w:w w:val="105"/>
        </w:rPr>
        <w:t>value</w:t>
      </w:r>
      <w:r w:rsidRPr="007C7210">
        <w:rPr>
          <w:rFonts w:asciiTheme="minorHAnsi" w:hAnsiTheme="minorHAnsi"/>
          <w:color w:val="231F20"/>
          <w:spacing w:val="23"/>
          <w:w w:val="105"/>
        </w:rPr>
        <w:t xml:space="preserve"> </w:t>
      </w:r>
      <w:r w:rsidRPr="007C7210">
        <w:rPr>
          <w:rFonts w:asciiTheme="minorHAnsi" w:hAnsiTheme="minorHAnsi"/>
          <w:color w:val="231F20"/>
          <w:w w:val="105"/>
        </w:rPr>
        <w:t>capture</w:t>
      </w:r>
      <w:r w:rsidRPr="007C7210">
        <w:rPr>
          <w:rFonts w:asciiTheme="minorHAnsi" w:hAnsiTheme="minorHAnsi"/>
          <w:color w:val="231F20"/>
          <w:spacing w:val="23"/>
          <w:w w:val="105"/>
        </w:rPr>
        <w:t xml:space="preserve"> </w:t>
      </w:r>
      <w:r w:rsidRPr="007C7210">
        <w:rPr>
          <w:rFonts w:asciiTheme="minorHAnsi" w:hAnsiTheme="minorHAnsi"/>
          <w:color w:val="231F20"/>
          <w:spacing w:val="2"/>
          <w:w w:val="105"/>
        </w:rPr>
        <w:t xml:space="preserve">districts </w:t>
      </w:r>
      <w:r w:rsidRPr="007C7210">
        <w:rPr>
          <w:rFonts w:asciiTheme="minorHAnsi" w:hAnsiTheme="minorHAnsi"/>
          <w:color w:val="231F20"/>
          <w:w w:val="105"/>
        </w:rPr>
        <w:t xml:space="preserve">in the Chicago metropolitan area </w:t>
      </w:r>
      <w:r w:rsidR="00655A80">
        <w:rPr>
          <w:rFonts w:asciiTheme="minorHAnsi" w:hAnsiTheme="minorHAnsi"/>
          <w:color w:val="231F20"/>
          <w:w w:val="105"/>
        </w:rPr>
        <w:t xml:space="preserve">in 2006 </w:t>
      </w:r>
      <w:r w:rsidRPr="007C7210">
        <w:rPr>
          <w:rFonts w:asciiTheme="minorHAnsi" w:hAnsiTheme="minorHAnsi"/>
          <w:color w:val="231F20"/>
          <w:w w:val="105"/>
        </w:rPr>
        <w:t xml:space="preserve">found that mean </w:t>
      </w:r>
      <w:r w:rsidRPr="007C7210">
        <w:rPr>
          <w:rFonts w:asciiTheme="minorHAnsi" w:hAnsiTheme="minorHAnsi"/>
          <w:color w:val="231F20"/>
          <w:spacing w:val="2"/>
          <w:w w:val="105"/>
        </w:rPr>
        <w:t xml:space="preserve">property </w:t>
      </w:r>
      <w:r>
        <w:rPr>
          <w:rFonts w:asciiTheme="minorHAnsi" w:hAnsiTheme="minorHAnsi"/>
          <w:color w:val="231F20"/>
          <w:w w:val="105"/>
        </w:rPr>
        <w:t>values</w:t>
      </w:r>
      <w:r w:rsidRPr="007C7210">
        <w:rPr>
          <w:rFonts w:asciiTheme="minorHAnsi" w:hAnsiTheme="minorHAnsi"/>
          <w:color w:val="231F20"/>
          <w:w w:val="105"/>
        </w:rPr>
        <w:t xml:space="preserve"> increased by 35</w:t>
      </w:r>
      <w:r w:rsidR="00F30607">
        <w:rPr>
          <w:rFonts w:asciiTheme="minorHAnsi" w:hAnsiTheme="minorHAnsi"/>
          <w:color w:val="231F20"/>
          <w:w w:val="105"/>
        </w:rPr>
        <w:t>%</w:t>
      </w:r>
      <w:r w:rsidRPr="007C7210">
        <w:rPr>
          <w:rFonts w:asciiTheme="minorHAnsi" w:hAnsiTheme="minorHAnsi"/>
          <w:color w:val="231F20"/>
          <w:w w:val="105"/>
        </w:rPr>
        <w:t xml:space="preserve"> </w:t>
      </w:r>
      <w:r w:rsidR="0052685D">
        <w:rPr>
          <w:rFonts w:asciiTheme="minorHAnsi" w:hAnsiTheme="minorHAnsi"/>
          <w:color w:val="231F20"/>
          <w:w w:val="105"/>
        </w:rPr>
        <w:t>from</w:t>
      </w:r>
      <w:r w:rsidRPr="007C7210">
        <w:rPr>
          <w:rFonts w:asciiTheme="minorHAnsi" w:hAnsiTheme="minorHAnsi"/>
          <w:color w:val="231F20"/>
          <w:w w:val="105"/>
        </w:rPr>
        <w:t xml:space="preserve"> 1983</w:t>
      </w:r>
      <w:r w:rsidR="00F30607">
        <w:rPr>
          <w:rFonts w:asciiTheme="minorHAnsi" w:hAnsiTheme="minorHAnsi"/>
          <w:color w:val="231F20"/>
          <w:w w:val="105"/>
        </w:rPr>
        <w:t xml:space="preserve">-93 compared with 6% </w:t>
      </w:r>
      <w:r w:rsidRPr="007C7210">
        <w:rPr>
          <w:rFonts w:asciiTheme="minorHAnsi" w:hAnsiTheme="minorHAnsi"/>
          <w:color w:val="231F20"/>
          <w:w w:val="105"/>
        </w:rPr>
        <w:t xml:space="preserve">in overall </w:t>
      </w:r>
      <w:r w:rsidRPr="007C7210">
        <w:rPr>
          <w:rFonts w:asciiTheme="minorHAnsi" w:hAnsiTheme="minorHAnsi"/>
          <w:color w:val="231F20"/>
          <w:spacing w:val="2"/>
          <w:w w:val="105"/>
        </w:rPr>
        <w:t xml:space="preserve">property </w:t>
      </w:r>
      <w:r w:rsidRPr="007C7210">
        <w:rPr>
          <w:rFonts w:asciiTheme="minorHAnsi" w:hAnsiTheme="minorHAnsi"/>
          <w:color w:val="231F20"/>
          <w:w w:val="105"/>
        </w:rPr>
        <w:t>values.</w:t>
      </w:r>
      <w:r>
        <w:rPr>
          <w:rFonts w:asciiTheme="minorHAnsi" w:hAnsiTheme="minorHAnsi"/>
          <w:color w:val="231F20"/>
          <w:w w:val="105"/>
        </w:rPr>
        <w:t xml:space="preserve"> I</w:t>
      </w:r>
      <w:r w:rsidRPr="007C7210">
        <w:rPr>
          <w:rFonts w:asciiTheme="minorHAnsi" w:hAnsiTheme="minorHAnsi"/>
          <w:color w:val="231F20"/>
          <w:w w:val="105"/>
        </w:rPr>
        <w:t xml:space="preserve">ndustrial and CBD </w:t>
      </w:r>
      <w:r>
        <w:rPr>
          <w:rFonts w:asciiTheme="minorHAnsi" w:hAnsiTheme="minorHAnsi"/>
          <w:color w:val="231F20"/>
          <w:spacing w:val="2"/>
          <w:w w:val="105"/>
        </w:rPr>
        <w:t>districts</w:t>
      </w:r>
      <w:r w:rsidR="00F30607">
        <w:rPr>
          <w:rFonts w:asciiTheme="minorHAnsi" w:hAnsiTheme="minorHAnsi"/>
          <w:color w:val="231F20"/>
          <w:spacing w:val="2"/>
          <w:w w:val="105"/>
        </w:rPr>
        <w:t xml:space="preserve"> increased</w:t>
      </w:r>
      <w:r w:rsidRPr="007C7210">
        <w:rPr>
          <w:rFonts w:asciiTheme="minorHAnsi" w:hAnsiTheme="minorHAnsi"/>
          <w:color w:val="231F20"/>
          <w:w w:val="105"/>
        </w:rPr>
        <w:t xml:space="preserve"> by 32% and 26%</w:t>
      </w:r>
      <w:r w:rsidR="006B4D9E">
        <w:rPr>
          <w:rFonts w:asciiTheme="minorHAnsi" w:hAnsiTheme="minorHAnsi"/>
          <w:color w:val="231F20"/>
          <w:w w:val="105"/>
        </w:rPr>
        <w:t xml:space="preserve"> </w:t>
      </w:r>
      <w:r w:rsidRPr="007C7210">
        <w:rPr>
          <w:rFonts w:asciiTheme="minorHAnsi" w:hAnsiTheme="minorHAnsi"/>
          <w:color w:val="231F20"/>
          <w:w w:val="105"/>
        </w:rPr>
        <w:t>respectively</w:t>
      </w:r>
    </w:p>
    <w:p w14:paraId="2992DC79" w14:textId="4401BA70" w:rsidR="00655A80" w:rsidRPr="0065224A" w:rsidRDefault="00655A80" w:rsidP="00791C11">
      <w:pPr>
        <w:pStyle w:val="BodyText"/>
        <w:numPr>
          <w:ilvl w:val="0"/>
          <w:numId w:val="10"/>
        </w:numPr>
        <w:spacing w:line="240" w:lineRule="exact"/>
        <w:ind w:right="160"/>
        <w:rPr>
          <w:rFonts w:asciiTheme="minorHAnsi" w:hAnsiTheme="minorHAnsi"/>
        </w:rPr>
      </w:pPr>
      <w:r w:rsidRPr="0065224A">
        <w:rPr>
          <w:rFonts w:asciiTheme="minorHAnsi" w:hAnsiTheme="minorHAnsi"/>
        </w:rPr>
        <w:t>Debrezion et al. provided meta-analysis of the impact</w:t>
      </w:r>
      <w:r w:rsidRPr="0065224A">
        <w:rPr>
          <w:rFonts w:asciiTheme="minorHAnsi" w:hAnsiTheme="minorHAnsi"/>
          <w:spacing w:val="-21"/>
        </w:rPr>
        <w:t xml:space="preserve"> </w:t>
      </w:r>
      <w:r w:rsidRPr="0065224A">
        <w:rPr>
          <w:rFonts w:asciiTheme="minorHAnsi" w:hAnsiTheme="minorHAnsi"/>
        </w:rPr>
        <w:t>of public</w:t>
      </w:r>
      <w:r w:rsidRPr="0065224A">
        <w:rPr>
          <w:rFonts w:asciiTheme="minorHAnsi" w:hAnsiTheme="minorHAnsi"/>
          <w:spacing w:val="-6"/>
        </w:rPr>
        <w:t xml:space="preserve"> </w:t>
      </w:r>
      <w:r w:rsidRPr="0065224A">
        <w:rPr>
          <w:rFonts w:asciiTheme="minorHAnsi" w:hAnsiTheme="minorHAnsi"/>
        </w:rPr>
        <w:t>transport</w:t>
      </w:r>
      <w:r w:rsidRPr="0065224A">
        <w:rPr>
          <w:rFonts w:asciiTheme="minorHAnsi" w:hAnsiTheme="minorHAnsi"/>
          <w:spacing w:val="-6"/>
        </w:rPr>
        <w:t xml:space="preserve"> </w:t>
      </w:r>
      <w:r w:rsidRPr="0065224A">
        <w:rPr>
          <w:rFonts w:asciiTheme="minorHAnsi" w:hAnsiTheme="minorHAnsi"/>
        </w:rPr>
        <w:t>stations</w:t>
      </w:r>
      <w:r w:rsidRPr="0065224A">
        <w:rPr>
          <w:rFonts w:asciiTheme="minorHAnsi" w:hAnsiTheme="minorHAnsi"/>
          <w:spacing w:val="-6"/>
        </w:rPr>
        <w:t xml:space="preserve"> </w:t>
      </w:r>
      <w:r w:rsidRPr="0065224A">
        <w:rPr>
          <w:rFonts w:asciiTheme="minorHAnsi" w:hAnsiTheme="minorHAnsi"/>
        </w:rPr>
        <w:t>on</w:t>
      </w:r>
      <w:r w:rsidRPr="0065224A">
        <w:rPr>
          <w:rFonts w:asciiTheme="minorHAnsi" w:hAnsiTheme="minorHAnsi"/>
          <w:spacing w:val="-6"/>
        </w:rPr>
        <w:t xml:space="preserve"> </w:t>
      </w:r>
      <w:r w:rsidRPr="0065224A">
        <w:rPr>
          <w:rFonts w:asciiTheme="minorHAnsi" w:hAnsiTheme="minorHAnsi"/>
        </w:rPr>
        <w:t>residential</w:t>
      </w:r>
      <w:r w:rsidRPr="0065224A">
        <w:rPr>
          <w:rFonts w:asciiTheme="minorHAnsi" w:hAnsiTheme="minorHAnsi"/>
          <w:spacing w:val="-6"/>
        </w:rPr>
        <w:t xml:space="preserve"> </w:t>
      </w:r>
      <w:r w:rsidRPr="0065224A">
        <w:rPr>
          <w:rFonts w:asciiTheme="minorHAnsi" w:hAnsiTheme="minorHAnsi"/>
        </w:rPr>
        <w:t>and</w:t>
      </w:r>
      <w:r w:rsidRPr="0065224A">
        <w:rPr>
          <w:rFonts w:asciiTheme="minorHAnsi" w:hAnsiTheme="minorHAnsi"/>
          <w:spacing w:val="-6"/>
        </w:rPr>
        <w:t xml:space="preserve"> </w:t>
      </w:r>
      <w:r w:rsidRPr="0065224A">
        <w:rPr>
          <w:rFonts w:asciiTheme="minorHAnsi" w:hAnsiTheme="minorHAnsi"/>
        </w:rPr>
        <w:t>commercial</w:t>
      </w:r>
      <w:r w:rsidRPr="0065224A">
        <w:rPr>
          <w:rFonts w:asciiTheme="minorHAnsi" w:hAnsiTheme="minorHAnsi"/>
          <w:spacing w:val="-6"/>
        </w:rPr>
        <w:t xml:space="preserve"> </w:t>
      </w:r>
      <w:r w:rsidRPr="0065224A">
        <w:rPr>
          <w:rFonts w:asciiTheme="minorHAnsi" w:hAnsiTheme="minorHAnsi"/>
        </w:rPr>
        <w:t>property values based on 57 previous estimation results. They found that commercial property prices were 16.4% higher and residential properties</w:t>
      </w:r>
      <w:r w:rsidRPr="0065224A">
        <w:rPr>
          <w:rFonts w:asciiTheme="minorHAnsi" w:hAnsiTheme="minorHAnsi"/>
          <w:spacing w:val="-4"/>
        </w:rPr>
        <w:t xml:space="preserve"> </w:t>
      </w:r>
      <w:r w:rsidRPr="0065224A">
        <w:rPr>
          <w:rFonts w:asciiTheme="minorHAnsi" w:hAnsiTheme="minorHAnsi"/>
        </w:rPr>
        <w:t>were</w:t>
      </w:r>
      <w:r w:rsidRPr="0065224A">
        <w:rPr>
          <w:rFonts w:asciiTheme="minorHAnsi" w:hAnsiTheme="minorHAnsi"/>
          <w:spacing w:val="-4"/>
        </w:rPr>
        <w:t xml:space="preserve"> </w:t>
      </w:r>
      <w:r w:rsidRPr="0065224A">
        <w:rPr>
          <w:rFonts w:asciiTheme="minorHAnsi" w:hAnsiTheme="minorHAnsi"/>
        </w:rPr>
        <w:t>4.2%</w:t>
      </w:r>
      <w:r w:rsidRPr="0065224A">
        <w:rPr>
          <w:rFonts w:asciiTheme="minorHAnsi" w:hAnsiTheme="minorHAnsi"/>
          <w:spacing w:val="-4"/>
        </w:rPr>
        <w:t xml:space="preserve"> </w:t>
      </w:r>
      <w:r w:rsidRPr="0065224A">
        <w:rPr>
          <w:rFonts w:asciiTheme="minorHAnsi" w:hAnsiTheme="minorHAnsi"/>
        </w:rPr>
        <w:t>higher</w:t>
      </w:r>
      <w:r w:rsidRPr="0065224A">
        <w:rPr>
          <w:rFonts w:asciiTheme="minorHAnsi" w:hAnsiTheme="minorHAnsi"/>
          <w:spacing w:val="-4"/>
        </w:rPr>
        <w:t xml:space="preserve"> </w:t>
      </w:r>
      <w:r w:rsidRPr="0065224A">
        <w:rPr>
          <w:rFonts w:asciiTheme="minorHAnsi" w:hAnsiTheme="minorHAnsi"/>
        </w:rPr>
        <w:t>within</w:t>
      </w:r>
      <w:r w:rsidRPr="0065224A">
        <w:rPr>
          <w:rFonts w:asciiTheme="minorHAnsi" w:hAnsiTheme="minorHAnsi"/>
          <w:spacing w:val="-4"/>
        </w:rPr>
        <w:t xml:space="preserve"> </w:t>
      </w:r>
      <w:r w:rsidRPr="0065224A">
        <w:rPr>
          <w:rFonts w:asciiTheme="minorHAnsi" w:hAnsiTheme="minorHAnsi"/>
        </w:rPr>
        <w:t>¼</w:t>
      </w:r>
      <w:r w:rsidRPr="0065224A">
        <w:rPr>
          <w:rFonts w:asciiTheme="minorHAnsi" w:hAnsiTheme="minorHAnsi"/>
          <w:spacing w:val="-4"/>
        </w:rPr>
        <w:t xml:space="preserve"> </w:t>
      </w:r>
      <w:r w:rsidRPr="0065224A">
        <w:rPr>
          <w:rFonts w:asciiTheme="minorHAnsi" w:hAnsiTheme="minorHAnsi"/>
        </w:rPr>
        <w:t>mile</w:t>
      </w:r>
      <w:r w:rsidRPr="0065224A">
        <w:rPr>
          <w:rFonts w:asciiTheme="minorHAnsi" w:hAnsiTheme="minorHAnsi"/>
          <w:spacing w:val="-4"/>
        </w:rPr>
        <w:t xml:space="preserve"> </w:t>
      </w:r>
      <w:r w:rsidRPr="0065224A">
        <w:rPr>
          <w:rFonts w:asciiTheme="minorHAnsi" w:hAnsiTheme="minorHAnsi"/>
        </w:rPr>
        <w:t>of</w:t>
      </w:r>
      <w:r w:rsidRPr="0065224A">
        <w:rPr>
          <w:rFonts w:asciiTheme="minorHAnsi" w:hAnsiTheme="minorHAnsi"/>
          <w:spacing w:val="-4"/>
        </w:rPr>
        <w:t xml:space="preserve"> </w:t>
      </w:r>
      <w:r w:rsidRPr="0065224A">
        <w:rPr>
          <w:rFonts w:asciiTheme="minorHAnsi" w:hAnsiTheme="minorHAnsi"/>
        </w:rPr>
        <w:t>stations,</w:t>
      </w:r>
      <w:r w:rsidRPr="0065224A">
        <w:rPr>
          <w:rFonts w:asciiTheme="minorHAnsi" w:hAnsiTheme="minorHAnsi"/>
          <w:spacing w:val="-4"/>
        </w:rPr>
        <w:t xml:space="preserve"> </w:t>
      </w:r>
      <w:r w:rsidRPr="0065224A">
        <w:rPr>
          <w:rFonts w:asciiTheme="minorHAnsi" w:hAnsiTheme="minorHAnsi"/>
        </w:rPr>
        <w:t>and</w:t>
      </w:r>
      <w:r w:rsidRPr="0065224A">
        <w:rPr>
          <w:rFonts w:asciiTheme="minorHAnsi" w:hAnsiTheme="minorHAnsi"/>
          <w:spacing w:val="-4"/>
        </w:rPr>
        <w:t xml:space="preserve"> </w:t>
      </w:r>
      <w:r w:rsidRPr="0065224A">
        <w:rPr>
          <w:rFonts w:asciiTheme="minorHAnsi" w:hAnsiTheme="minorHAnsi"/>
        </w:rPr>
        <w:t>that</w:t>
      </w:r>
      <w:r w:rsidRPr="0065224A">
        <w:rPr>
          <w:rFonts w:asciiTheme="minorHAnsi" w:hAnsiTheme="minorHAnsi"/>
          <w:spacing w:val="-4"/>
        </w:rPr>
        <w:t xml:space="preserve"> </w:t>
      </w:r>
      <w:r w:rsidRPr="0065224A">
        <w:rPr>
          <w:rFonts w:asciiTheme="minorHAnsi" w:hAnsiTheme="minorHAnsi"/>
        </w:rPr>
        <w:t>the effect is largest for commuter rail</w:t>
      </w:r>
    </w:p>
    <w:p w14:paraId="0220D4C5" w14:textId="77777777" w:rsidR="00655A80" w:rsidRPr="0065224A" w:rsidRDefault="00655A80" w:rsidP="00791C11">
      <w:pPr>
        <w:pStyle w:val="ListParagraph"/>
        <w:numPr>
          <w:ilvl w:val="0"/>
          <w:numId w:val="10"/>
        </w:numPr>
      </w:pPr>
      <w:r w:rsidRPr="0065224A">
        <w:t>Gibbons and Machin studied the effect of two new rail lines in London, finding that prices of residential properties within 2 km of stations grew 9.3% more</w:t>
      </w:r>
      <w:r w:rsidRPr="0065224A">
        <w:rPr>
          <w:spacing w:val="-4"/>
        </w:rPr>
        <w:t xml:space="preserve"> </w:t>
      </w:r>
      <w:r w:rsidRPr="0065224A">
        <w:t>than</w:t>
      </w:r>
      <w:r w:rsidRPr="0065224A">
        <w:rPr>
          <w:spacing w:val="-4"/>
        </w:rPr>
        <w:t xml:space="preserve"> </w:t>
      </w:r>
      <w:r w:rsidRPr="0065224A">
        <w:t>house</w:t>
      </w:r>
      <w:r w:rsidRPr="0065224A">
        <w:rPr>
          <w:spacing w:val="-4"/>
        </w:rPr>
        <w:t xml:space="preserve"> </w:t>
      </w:r>
      <w:r w:rsidRPr="0065224A">
        <w:t>prices</w:t>
      </w:r>
      <w:r w:rsidRPr="0065224A">
        <w:rPr>
          <w:spacing w:val="-4"/>
        </w:rPr>
        <w:t xml:space="preserve"> </w:t>
      </w:r>
      <w:r w:rsidRPr="0065224A">
        <w:t>elsewhere</w:t>
      </w:r>
      <w:r w:rsidRPr="0065224A">
        <w:rPr>
          <w:spacing w:val="-4"/>
        </w:rPr>
        <w:t xml:space="preserve"> </w:t>
      </w:r>
      <w:r w:rsidRPr="0065224A">
        <w:t>in</w:t>
      </w:r>
      <w:r w:rsidRPr="0065224A">
        <w:rPr>
          <w:spacing w:val="-4"/>
        </w:rPr>
        <w:t xml:space="preserve"> </w:t>
      </w:r>
      <w:r w:rsidRPr="0065224A">
        <w:t>London.</w:t>
      </w:r>
    </w:p>
    <w:p w14:paraId="408F46A2" w14:textId="115A3128" w:rsidR="009F4F91" w:rsidRDefault="009F4F91" w:rsidP="00791C11">
      <w:pPr>
        <w:pStyle w:val="ListParagraph"/>
        <w:numPr>
          <w:ilvl w:val="0"/>
          <w:numId w:val="10"/>
        </w:numPr>
        <w:autoSpaceDE w:val="0"/>
        <w:autoSpaceDN w:val="0"/>
        <w:adjustRightInd w:val="0"/>
        <w:spacing w:line="280" w:lineRule="atLeast"/>
        <w:rPr>
          <w:rFonts w:cs="TimesNewRomanPSMT"/>
          <w:szCs w:val="18"/>
          <w:lang w:val="en-US" w:eastAsia="en-AU"/>
        </w:rPr>
      </w:pPr>
      <w:r w:rsidRPr="0065224A">
        <w:rPr>
          <w:szCs w:val="18"/>
        </w:rPr>
        <w:t xml:space="preserve">Voith (1993) </w:t>
      </w:r>
      <w:r w:rsidR="00655A80" w:rsidRPr="0065224A">
        <w:rPr>
          <w:szCs w:val="18"/>
        </w:rPr>
        <w:t>found</w:t>
      </w:r>
      <w:r w:rsidRPr="0065224A">
        <w:rPr>
          <w:szCs w:val="18"/>
        </w:rPr>
        <w:t xml:space="preserve"> a premium for single family homes with access to rail stations of 7.5</w:t>
      </w:r>
      <w:r w:rsidR="00655A80" w:rsidRPr="0065224A">
        <w:rPr>
          <w:szCs w:val="18"/>
        </w:rPr>
        <w:t>-</w:t>
      </w:r>
      <w:r w:rsidRPr="0065224A">
        <w:rPr>
          <w:szCs w:val="18"/>
        </w:rPr>
        <w:t>8</w:t>
      </w:r>
      <w:r w:rsidR="007C7210" w:rsidRPr="0065224A">
        <w:rPr>
          <w:szCs w:val="18"/>
        </w:rPr>
        <w:t xml:space="preserve">% over the </w:t>
      </w:r>
      <w:r w:rsidR="007C7210">
        <w:rPr>
          <w:szCs w:val="18"/>
        </w:rPr>
        <w:t>average house value</w:t>
      </w:r>
    </w:p>
    <w:p w14:paraId="5395901E" w14:textId="77777777" w:rsidR="007C7210" w:rsidRDefault="009F4F91" w:rsidP="00791C11">
      <w:pPr>
        <w:pStyle w:val="ListParagraph"/>
        <w:numPr>
          <w:ilvl w:val="0"/>
          <w:numId w:val="10"/>
        </w:numPr>
        <w:autoSpaceDE w:val="0"/>
        <w:autoSpaceDN w:val="0"/>
        <w:adjustRightInd w:val="0"/>
        <w:spacing w:line="280" w:lineRule="atLeast"/>
        <w:rPr>
          <w:rFonts w:cs="TimesNewRomanPSMT"/>
          <w:szCs w:val="18"/>
          <w:lang w:val="en-US" w:eastAsia="en-AU"/>
        </w:rPr>
      </w:pPr>
      <w:r w:rsidRPr="007C7210">
        <w:rPr>
          <w:rFonts w:cs="TimesNewRomanPSMT"/>
          <w:szCs w:val="18"/>
          <w:lang w:val="en-US" w:eastAsia="en-AU"/>
        </w:rPr>
        <w:t>Helsinki Metro, Finland (1982) found that the price of property located within walking distance of the nearest railway or metro station increased 7.5% over other locations</w:t>
      </w:r>
    </w:p>
    <w:p w14:paraId="2BC6A285" w14:textId="4C1C9689" w:rsidR="00655A80" w:rsidRDefault="00655A80" w:rsidP="00791C11">
      <w:pPr>
        <w:pStyle w:val="ListParagraph"/>
        <w:numPr>
          <w:ilvl w:val="0"/>
          <w:numId w:val="10"/>
        </w:numPr>
        <w:spacing w:line="280" w:lineRule="atLeast"/>
        <w:rPr>
          <w:szCs w:val="18"/>
        </w:rPr>
      </w:pPr>
      <w:r>
        <w:rPr>
          <w:szCs w:val="18"/>
        </w:rPr>
        <w:t>Armstong (1994) found an approximate 6.7% increase in the value of single family residences located in communities with a rail station</w:t>
      </w:r>
    </w:p>
    <w:p w14:paraId="7E559710" w14:textId="7FC7D8C9" w:rsidR="007D1EA3" w:rsidRPr="007D1EA3" w:rsidRDefault="007D1EA3" w:rsidP="00791C11">
      <w:pPr>
        <w:pStyle w:val="ListParagraph"/>
        <w:numPr>
          <w:ilvl w:val="0"/>
          <w:numId w:val="10"/>
        </w:numPr>
        <w:spacing w:line="280" w:lineRule="atLeast"/>
        <w:rPr>
          <w:szCs w:val="18"/>
        </w:rPr>
      </w:pPr>
      <w:r>
        <w:t>A statistical study of residential property values in Buffalo, NY, found that every foot closer to a light rail station increased average property values by $2.31 (using geographical straight-line distance) and $0.99 (using network distance). Consequently, a home located within one-quarter of a mile radius of a light rail station can earn a premium of $</w:t>
      </w:r>
      <w:r w:rsidR="00FB5F22">
        <w:t>,</w:t>
      </w:r>
      <w:r>
        <w:t>1300-$3</w:t>
      </w:r>
      <w:r w:rsidR="00FB5F22">
        <w:t>,</w:t>
      </w:r>
      <w:r>
        <w:t xml:space="preserve">000 (Hess, 2007) </w:t>
      </w:r>
    </w:p>
    <w:p w14:paraId="34913D58" w14:textId="30D4A11D" w:rsidR="007D1EA3" w:rsidRPr="007D1EA3" w:rsidRDefault="007D1EA3" w:rsidP="00791C11">
      <w:pPr>
        <w:pStyle w:val="ListParagraph"/>
        <w:numPr>
          <w:ilvl w:val="0"/>
          <w:numId w:val="10"/>
        </w:numPr>
        <w:spacing w:line="280" w:lineRule="atLeast"/>
        <w:rPr>
          <w:szCs w:val="18"/>
        </w:rPr>
      </w:pPr>
      <w:r>
        <w:t>Studies over two decades show</w:t>
      </w:r>
      <w:r w:rsidR="00FB5F22">
        <w:t>ed</w:t>
      </w:r>
      <w:r>
        <w:t xml:space="preserve"> average housing value premiums associated with being near a station (within 1⁄4 to 1⁄2 mile of a station) </w:t>
      </w:r>
      <w:r w:rsidR="00FB5F22">
        <w:t>as</w:t>
      </w:r>
      <w:r>
        <w:t xml:space="preserve"> </w:t>
      </w:r>
      <w:r w:rsidR="00FB5F22">
        <w:t>+</w:t>
      </w:r>
      <w:r>
        <w:t xml:space="preserve">6.4% in Philadelphia, </w:t>
      </w:r>
      <w:r w:rsidR="00FB5F22">
        <w:t>+</w:t>
      </w:r>
      <w:r>
        <w:t xml:space="preserve">6.7% in Boston, </w:t>
      </w:r>
      <w:r w:rsidR="00FB5F22">
        <w:t>+</w:t>
      </w:r>
      <w:r>
        <w:t xml:space="preserve">10.6% in Portland, </w:t>
      </w:r>
      <w:r w:rsidR="00FB5F22">
        <w:t>+</w:t>
      </w:r>
      <w:r>
        <w:t xml:space="preserve">17% in San Diego, </w:t>
      </w:r>
      <w:r w:rsidR="00FB5F22">
        <w:t>+</w:t>
      </w:r>
      <w:r>
        <w:t xml:space="preserve">20% in Chicago, </w:t>
      </w:r>
      <w:r w:rsidR="00FB5F22">
        <w:t>+</w:t>
      </w:r>
      <w:r>
        <w:t xml:space="preserve">24% in Dallas, and </w:t>
      </w:r>
      <w:r w:rsidR="00FB5F22">
        <w:t>+</w:t>
      </w:r>
      <w:r>
        <w:t xml:space="preserve">45% in Santa Clara County (Cervero et al, 2004) </w:t>
      </w:r>
    </w:p>
    <w:p w14:paraId="42EB2E9D" w14:textId="6835A661" w:rsidR="007D1EA3" w:rsidRPr="00824ACE" w:rsidRDefault="00FB5F22" w:rsidP="00791C11">
      <w:pPr>
        <w:pStyle w:val="ListParagraph"/>
        <w:numPr>
          <w:ilvl w:val="0"/>
          <w:numId w:val="10"/>
        </w:numPr>
        <w:spacing w:line="280" w:lineRule="atLeast"/>
        <w:rPr>
          <w:szCs w:val="18"/>
        </w:rPr>
      </w:pPr>
      <w:r>
        <w:t>In</w:t>
      </w:r>
      <w:r w:rsidR="007D1EA3">
        <w:t xml:space="preserve"> the San Francisco Bay Area</w:t>
      </w:r>
      <w:r>
        <w:t xml:space="preserve">, </w:t>
      </w:r>
      <w:r w:rsidR="007D1EA3">
        <w:t>Alameda County homes near BART stations sold on average for 39% more than otherwise comparable ones 20 miles from the nearest station (Cervero et al, 2004)</w:t>
      </w:r>
    </w:p>
    <w:p w14:paraId="5368081D" w14:textId="6D3CD710" w:rsidR="007D1EA3" w:rsidRPr="007D1EA3" w:rsidRDefault="007D1EA3" w:rsidP="00791C11">
      <w:pPr>
        <w:pStyle w:val="ListParagraph"/>
        <w:numPr>
          <w:ilvl w:val="0"/>
          <w:numId w:val="10"/>
        </w:numPr>
        <w:spacing w:line="280" w:lineRule="atLeast"/>
        <w:rPr>
          <w:szCs w:val="18"/>
        </w:rPr>
      </w:pPr>
      <w:r>
        <w:t xml:space="preserve">A detailed study conducted by researchers at the University of Toronto in 2000 indicated that proximity to a subway station in Toronto generated approximately $4,000 in additional residential property value for a home with a value of $225,000 (Canadian Transit Association, 2003) </w:t>
      </w:r>
    </w:p>
    <w:p w14:paraId="590C1A86" w14:textId="52137C5E" w:rsidR="007D1EA3" w:rsidRPr="008A2C6E" w:rsidRDefault="007D1EA3" w:rsidP="00791C11">
      <w:pPr>
        <w:pStyle w:val="ListParagraph"/>
        <w:numPr>
          <w:ilvl w:val="0"/>
          <w:numId w:val="10"/>
        </w:numPr>
        <w:spacing w:line="280" w:lineRule="atLeast"/>
        <w:rPr>
          <w:szCs w:val="18"/>
        </w:rPr>
      </w:pPr>
      <w:r>
        <w:t>A study of the DART system compared differences in land values of “comparable” retail and office properties near and not near light trail stations. The average change in land values from 1997 to 2001 for retail and residential properties near DART stops was 25% and 32%, respectively; for “control” parcels, the average changes were 12% and 20% (Weinstein and Clower, 2003)</w:t>
      </w:r>
    </w:p>
    <w:p w14:paraId="4062664A" w14:textId="50971038" w:rsidR="008A2C6E" w:rsidRDefault="008A2C6E" w:rsidP="00791C11">
      <w:pPr>
        <w:pStyle w:val="ListParagraph"/>
        <w:numPr>
          <w:ilvl w:val="0"/>
          <w:numId w:val="10"/>
        </w:numPr>
        <w:spacing w:line="280" w:lineRule="atLeast"/>
        <w:rPr>
          <w:szCs w:val="20"/>
        </w:rPr>
      </w:pPr>
      <w:r w:rsidRPr="008A2C6E">
        <w:rPr>
          <w:szCs w:val="20"/>
        </w:rPr>
        <w:t>Washington, DC’s Metro generated between $10 and $15 billion in new land value against $9.5 billion in costs by 2001</w:t>
      </w:r>
    </w:p>
    <w:p w14:paraId="19FAF608" w14:textId="4E5607AA" w:rsidR="004961F3" w:rsidRDefault="004961F3" w:rsidP="00791C11">
      <w:pPr>
        <w:pStyle w:val="ListParagraph"/>
        <w:numPr>
          <w:ilvl w:val="0"/>
          <w:numId w:val="10"/>
        </w:numPr>
        <w:spacing w:line="280" w:lineRule="atLeast"/>
        <w:rPr>
          <w:szCs w:val="20"/>
        </w:rPr>
      </w:pPr>
      <w:r>
        <w:rPr>
          <w:szCs w:val="20"/>
        </w:rPr>
        <w:t xml:space="preserve">In </w:t>
      </w:r>
      <w:r w:rsidRPr="004961F3">
        <w:rPr>
          <w:szCs w:val="20"/>
        </w:rPr>
        <w:t>Santa Clara County, California</w:t>
      </w:r>
      <w:r>
        <w:rPr>
          <w:szCs w:val="20"/>
        </w:rPr>
        <w:t xml:space="preserve"> </w:t>
      </w:r>
      <w:r w:rsidRPr="004961F3">
        <w:rPr>
          <w:szCs w:val="20"/>
        </w:rPr>
        <w:t>commercial-retail and office properties were found</w:t>
      </w:r>
      <w:r>
        <w:rPr>
          <w:szCs w:val="20"/>
        </w:rPr>
        <w:t xml:space="preserve"> to attract an extra</w:t>
      </w:r>
      <w:r w:rsidRPr="004961F3">
        <w:rPr>
          <w:szCs w:val="20"/>
        </w:rPr>
        <w:t xml:space="preserve"> 23% for a typical commercial parcel near an LRT stop and more than 120% for commercial land in a business district within a quarter mile of a commuter rail station</w:t>
      </w:r>
    </w:p>
    <w:p w14:paraId="335D7376" w14:textId="6A60134E" w:rsidR="00AB5B88" w:rsidRDefault="00AB5B88" w:rsidP="00AB5B88">
      <w:pPr>
        <w:pStyle w:val="CommentText"/>
        <w:numPr>
          <w:ilvl w:val="0"/>
          <w:numId w:val="10"/>
        </w:numPr>
      </w:pPr>
      <w:r>
        <w:t>The UK Jubilee Line extension for shows GBP 13 billion uplift in property values from a GBP 3.5 billion public investment in the period from 1979 onwards</w:t>
      </w:r>
      <w:r w:rsidR="00503087">
        <w:t>.</w:t>
      </w:r>
      <w:r>
        <w:t xml:space="preserve"> </w:t>
      </w:r>
    </w:p>
    <w:p w14:paraId="5687D0AD" w14:textId="77777777" w:rsidR="00AB5B88" w:rsidRPr="001B2B6D" w:rsidRDefault="00AB5B88" w:rsidP="001B2B6D">
      <w:pPr>
        <w:spacing w:line="280" w:lineRule="atLeast"/>
        <w:rPr>
          <w:szCs w:val="20"/>
        </w:rPr>
      </w:pPr>
    </w:p>
    <w:p w14:paraId="4BBD5FE1" w14:textId="77777777" w:rsidR="002E2F1F" w:rsidRPr="002E2F1F" w:rsidRDefault="002E2F1F" w:rsidP="002E2F1F">
      <w:pPr>
        <w:autoSpaceDE w:val="0"/>
        <w:autoSpaceDN w:val="0"/>
        <w:adjustRightInd w:val="0"/>
        <w:spacing w:line="280" w:lineRule="atLeast"/>
        <w:rPr>
          <w:rFonts w:cs="TimesNewRomanPSMT"/>
          <w:szCs w:val="18"/>
          <w:lang w:val="en-US" w:eastAsia="en-AU"/>
        </w:rPr>
      </w:pPr>
    </w:p>
    <w:p w14:paraId="3B1425D0" w14:textId="77777777" w:rsidR="009F4F91" w:rsidRDefault="009F4F91" w:rsidP="009F4F91">
      <w:pPr>
        <w:autoSpaceDE w:val="0"/>
        <w:autoSpaceDN w:val="0"/>
        <w:adjustRightInd w:val="0"/>
        <w:rPr>
          <w:rFonts w:cs="TimesNewRomanPSMT"/>
          <w:szCs w:val="18"/>
          <w:lang w:val="en-US" w:eastAsia="en-AU"/>
        </w:rPr>
      </w:pPr>
      <w:r>
        <w:rPr>
          <w:rFonts w:cs="TimesNewRomanPSMT"/>
          <w:szCs w:val="18"/>
          <w:lang w:val="en-US" w:eastAsia="en-AU"/>
        </w:rPr>
        <w:t>In 2008 the Centre for Transit Orientated Development undertook a comprehensive literature review of US case studies. The table below presents a summary of their findings for estimated uplift in value for different types of properties</w:t>
      </w:r>
      <w:r w:rsidR="00A14A13">
        <w:rPr>
          <w:rFonts w:cs="TimesNewRomanPSMT"/>
          <w:szCs w:val="18"/>
          <w:lang w:val="en-US" w:eastAsia="en-AU"/>
        </w:rPr>
        <w:t xml:space="preserve"> depending on their distance from new stations</w:t>
      </w:r>
      <w:r>
        <w:rPr>
          <w:rFonts w:cs="TimesNewRomanPSMT"/>
          <w:szCs w:val="18"/>
          <w:lang w:val="en-US" w:eastAsia="en-AU"/>
        </w:rPr>
        <w:t xml:space="preserve">. </w:t>
      </w:r>
    </w:p>
    <w:p w14:paraId="0EFB65B2" w14:textId="0D5DA0AD" w:rsidR="009F4F91" w:rsidRDefault="009F4F91" w:rsidP="009F4F91">
      <w:pPr>
        <w:pStyle w:val="Caption"/>
        <w:keepNext/>
      </w:pPr>
      <w:bookmarkStart w:id="40" w:name="_Toc430896542"/>
      <w:r>
        <w:lastRenderedPageBreak/>
        <w:t xml:space="preserve">Table </w:t>
      </w:r>
      <w:r>
        <w:fldChar w:fldCharType="begin"/>
      </w:r>
      <w:r>
        <w:instrText xml:space="preserve"> SEQ Table \* ARABIC </w:instrText>
      </w:r>
      <w:r>
        <w:fldChar w:fldCharType="separate"/>
      </w:r>
      <w:r w:rsidR="00184C79">
        <w:rPr>
          <w:noProof/>
        </w:rPr>
        <w:t>8</w:t>
      </w:r>
      <w:r>
        <w:rPr>
          <w:noProof/>
        </w:rPr>
        <w:fldChar w:fldCharType="end"/>
      </w:r>
      <w:r w:rsidR="00E4454D">
        <w:t xml:space="preserve">. </w:t>
      </w:r>
      <w:r>
        <w:t>Summary of estimated value uplift for different property types</w:t>
      </w:r>
      <w:bookmarkEnd w:id="40"/>
    </w:p>
    <w:tbl>
      <w:tblPr>
        <w:tblStyle w:val="MediumShading1-Accent2"/>
        <w:tblW w:w="9060" w:type="dxa"/>
        <w:tblBorders>
          <w:top w:val="single" w:sz="8" w:space="0" w:color="76B900" w:themeColor="accent2"/>
          <w:left w:val="single" w:sz="8" w:space="0" w:color="76B900" w:themeColor="accent2"/>
          <w:bottom w:val="single" w:sz="8" w:space="0" w:color="76B900" w:themeColor="accent2"/>
          <w:right w:val="single" w:sz="8" w:space="0" w:color="76B900" w:themeColor="accent2"/>
        </w:tblBorders>
        <w:tblLook w:val="04A0" w:firstRow="1" w:lastRow="0" w:firstColumn="1" w:lastColumn="0" w:noHBand="0" w:noVBand="1"/>
      </w:tblPr>
      <w:tblGrid>
        <w:gridCol w:w="2660"/>
        <w:gridCol w:w="3118"/>
        <w:gridCol w:w="3282"/>
      </w:tblGrid>
      <w:tr w:rsidR="004A0ABB" w:rsidRPr="00896C6F" w14:paraId="5304E5DC"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tcPr>
          <w:p w14:paraId="5D791BEE" w14:textId="77777777" w:rsidR="004A0ABB" w:rsidRPr="00896C6F" w:rsidRDefault="004A0ABB" w:rsidP="006B6F31">
            <w:pPr>
              <w:autoSpaceDE w:val="0"/>
              <w:autoSpaceDN w:val="0"/>
              <w:adjustRightInd w:val="0"/>
              <w:rPr>
                <w:rFonts w:cs="TimesNewRomanPSMT"/>
                <w:b w:val="0"/>
                <w:sz w:val="18"/>
                <w:szCs w:val="18"/>
                <w:lang w:val="en-US"/>
              </w:rPr>
            </w:pPr>
            <w:r w:rsidRPr="00896C6F">
              <w:rPr>
                <w:rFonts w:cs="TimesNewRomanPSMT"/>
                <w:b w:val="0"/>
                <w:sz w:val="18"/>
                <w:szCs w:val="18"/>
                <w:lang w:val="en-US"/>
              </w:rPr>
              <w:t xml:space="preserve">Land Use </w:t>
            </w:r>
          </w:p>
        </w:tc>
        <w:tc>
          <w:tcPr>
            <w:tcW w:w="3118" w:type="dxa"/>
            <w:tcBorders>
              <w:top w:val="none" w:sz="0" w:space="0" w:color="auto"/>
              <w:left w:val="none" w:sz="0" w:space="0" w:color="auto"/>
              <w:bottom w:val="none" w:sz="0" w:space="0" w:color="auto"/>
              <w:right w:val="none" w:sz="0" w:space="0" w:color="auto"/>
            </w:tcBorders>
          </w:tcPr>
          <w:p w14:paraId="0A315121" w14:textId="77777777" w:rsidR="004A0ABB" w:rsidRPr="00896C6F" w:rsidRDefault="004A0ABB" w:rsidP="006B6F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NewRomanPSMT"/>
                <w:b w:val="0"/>
                <w:sz w:val="18"/>
                <w:szCs w:val="18"/>
                <w:lang w:val="en-US"/>
              </w:rPr>
            </w:pPr>
            <w:r w:rsidRPr="00896C6F">
              <w:rPr>
                <w:rFonts w:cs="TimesNewRomanPSMT"/>
                <w:b w:val="0"/>
                <w:sz w:val="18"/>
                <w:szCs w:val="18"/>
                <w:lang w:val="en-US"/>
              </w:rPr>
              <w:t xml:space="preserve">Range of Property Value </w:t>
            </w:r>
          </w:p>
          <w:p w14:paraId="21022666" w14:textId="77777777" w:rsidR="004A0ABB" w:rsidRPr="00896C6F" w:rsidRDefault="004A0ABB" w:rsidP="006B6F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NewRomanPSMT"/>
                <w:sz w:val="18"/>
                <w:szCs w:val="18"/>
                <w:lang w:val="en-US"/>
              </w:rPr>
            </w:pPr>
            <w:r w:rsidRPr="00896C6F">
              <w:rPr>
                <w:rFonts w:cs="TimesNewRomanPSMT"/>
                <w:sz w:val="18"/>
                <w:szCs w:val="18"/>
                <w:lang w:val="en-US"/>
              </w:rPr>
              <w:t>HIGH</w:t>
            </w:r>
          </w:p>
        </w:tc>
        <w:tc>
          <w:tcPr>
            <w:tcW w:w="3282" w:type="dxa"/>
            <w:tcBorders>
              <w:top w:val="none" w:sz="0" w:space="0" w:color="auto"/>
              <w:left w:val="none" w:sz="0" w:space="0" w:color="auto"/>
              <w:bottom w:val="none" w:sz="0" w:space="0" w:color="auto"/>
              <w:right w:val="none" w:sz="0" w:space="0" w:color="auto"/>
            </w:tcBorders>
          </w:tcPr>
          <w:p w14:paraId="6A87CE80" w14:textId="77777777" w:rsidR="004A0ABB" w:rsidRPr="00896C6F" w:rsidRDefault="004A0ABB" w:rsidP="004A0AB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NewRomanPSMT"/>
                <w:b w:val="0"/>
                <w:sz w:val="18"/>
                <w:szCs w:val="18"/>
                <w:lang w:val="en-US"/>
              </w:rPr>
            </w:pPr>
            <w:r w:rsidRPr="00896C6F">
              <w:rPr>
                <w:rFonts w:cs="TimesNewRomanPSMT"/>
                <w:b w:val="0"/>
                <w:sz w:val="18"/>
                <w:szCs w:val="18"/>
                <w:lang w:val="en-US"/>
              </w:rPr>
              <w:t xml:space="preserve">Range of Property Value </w:t>
            </w:r>
          </w:p>
          <w:p w14:paraId="7709EE39" w14:textId="77777777" w:rsidR="004A0ABB" w:rsidRPr="00896C6F" w:rsidRDefault="004A0ABB" w:rsidP="006B6F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NewRomanPSMT"/>
                <w:sz w:val="18"/>
                <w:szCs w:val="18"/>
                <w:lang w:val="en-US"/>
              </w:rPr>
            </w:pPr>
            <w:r w:rsidRPr="00896C6F">
              <w:rPr>
                <w:rFonts w:cs="TimesNewRomanPSMT"/>
                <w:sz w:val="18"/>
                <w:szCs w:val="18"/>
                <w:lang w:val="en-US"/>
              </w:rPr>
              <w:t>LOW</w:t>
            </w:r>
          </w:p>
        </w:tc>
      </w:tr>
      <w:tr w:rsidR="004A0ABB" w:rsidRPr="00896C6F" w14:paraId="023677F0"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7DF30B26" w14:textId="77777777" w:rsidR="004A0ABB" w:rsidRPr="00896C6F" w:rsidRDefault="004A0ABB" w:rsidP="006B6F31">
            <w:pPr>
              <w:autoSpaceDE w:val="0"/>
              <w:autoSpaceDN w:val="0"/>
              <w:adjustRightInd w:val="0"/>
              <w:rPr>
                <w:rFonts w:cs="TimesNewRomanPSMT"/>
                <w:sz w:val="18"/>
                <w:szCs w:val="18"/>
                <w:lang w:val="en-US"/>
              </w:rPr>
            </w:pPr>
            <w:r w:rsidRPr="00896C6F">
              <w:rPr>
                <w:rFonts w:cs="TimesNewRomanPSMT"/>
                <w:sz w:val="18"/>
                <w:szCs w:val="18"/>
                <w:lang w:val="en-US"/>
              </w:rPr>
              <w:t xml:space="preserve">Single Family Residential </w:t>
            </w:r>
          </w:p>
        </w:tc>
        <w:tc>
          <w:tcPr>
            <w:tcW w:w="3118" w:type="dxa"/>
            <w:tcBorders>
              <w:left w:val="none" w:sz="0" w:space="0" w:color="auto"/>
              <w:right w:val="none" w:sz="0" w:space="0" w:color="auto"/>
            </w:tcBorders>
          </w:tcPr>
          <w:p w14:paraId="6FFFB606" w14:textId="77777777" w:rsidR="004A0ABB" w:rsidRPr="00896C6F" w:rsidRDefault="004A0ABB" w:rsidP="004244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 w:val="18"/>
                <w:szCs w:val="18"/>
                <w:lang w:val="en-US"/>
              </w:rPr>
            </w:pPr>
            <w:r w:rsidRPr="00896C6F">
              <w:rPr>
                <w:rFonts w:cs="TimesNewRomanPSMT"/>
                <w:sz w:val="18"/>
                <w:szCs w:val="18"/>
                <w:lang w:val="en-US"/>
              </w:rPr>
              <w:t xml:space="preserve">+32% within 40m </w:t>
            </w:r>
            <w:r w:rsidR="00A14A13" w:rsidRPr="00896C6F">
              <w:rPr>
                <w:rFonts w:cs="TimesNewRomanPSMT"/>
                <w:sz w:val="18"/>
                <w:szCs w:val="18"/>
                <w:lang w:val="en-US"/>
              </w:rPr>
              <w:t>of station</w:t>
            </w:r>
          </w:p>
        </w:tc>
        <w:tc>
          <w:tcPr>
            <w:tcW w:w="3282" w:type="dxa"/>
            <w:tcBorders>
              <w:left w:val="none" w:sz="0" w:space="0" w:color="auto"/>
            </w:tcBorders>
          </w:tcPr>
          <w:p w14:paraId="3FF702E2" w14:textId="77777777" w:rsidR="004A0ABB" w:rsidRPr="00896C6F" w:rsidRDefault="004A0ABB" w:rsidP="004A0AB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 w:val="18"/>
                <w:szCs w:val="18"/>
                <w:lang w:val="en-US"/>
              </w:rPr>
            </w:pPr>
            <w:r w:rsidRPr="00896C6F">
              <w:rPr>
                <w:rFonts w:cs="TimesNewRomanPSMT"/>
                <w:sz w:val="18"/>
                <w:szCs w:val="18"/>
                <w:lang w:val="en-US"/>
              </w:rPr>
              <w:t xml:space="preserve">+ 2% within 70m </w:t>
            </w:r>
          </w:p>
        </w:tc>
      </w:tr>
      <w:tr w:rsidR="004A0ABB" w:rsidRPr="00896C6F" w14:paraId="3AF51158" w14:textId="77777777" w:rsidTr="00896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7EA3F1E0" w14:textId="77777777" w:rsidR="004A0ABB" w:rsidRPr="00896C6F" w:rsidRDefault="004A0ABB" w:rsidP="006B6F31">
            <w:pPr>
              <w:autoSpaceDE w:val="0"/>
              <w:autoSpaceDN w:val="0"/>
              <w:adjustRightInd w:val="0"/>
              <w:rPr>
                <w:rFonts w:cs="TimesNewRomanPSMT"/>
                <w:sz w:val="18"/>
                <w:szCs w:val="18"/>
                <w:lang w:val="en-US"/>
              </w:rPr>
            </w:pPr>
            <w:r w:rsidRPr="00896C6F">
              <w:rPr>
                <w:rFonts w:cs="TimesNewRomanPSMT"/>
                <w:sz w:val="18"/>
                <w:szCs w:val="18"/>
                <w:lang w:val="en-US"/>
              </w:rPr>
              <w:t xml:space="preserve">Apartment </w:t>
            </w:r>
          </w:p>
        </w:tc>
        <w:tc>
          <w:tcPr>
            <w:tcW w:w="3118" w:type="dxa"/>
            <w:tcBorders>
              <w:left w:val="none" w:sz="0" w:space="0" w:color="auto"/>
              <w:right w:val="none" w:sz="0" w:space="0" w:color="auto"/>
            </w:tcBorders>
          </w:tcPr>
          <w:p w14:paraId="72830759" w14:textId="77777777" w:rsidR="004A0ABB" w:rsidRPr="00896C6F" w:rsidRDefault="004A0ABB" w:rsidP="004244D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NewRomanPSMT"/>
                <w:sz w:val="18"/>
                <w:szCs w:val="18"/>
                <w:lang w:val="en-US"/>
              </w:rPr>
            </w:pPr>
            <w:r w:rsidRPr="00896C6F">
              <w:rPr>
                <w:rFonts w:cs="TimesNewRomanPSMT"/>
                <w:sz w:val="18"/>
                <w:szCs w:val="18"/>
                <w:lang w:val="en-US"/>
              </w:rPr>
              <w:t xml:space="preserve">+45% within 410m </w:t>
            </w:r>
          </w:p>
        </w:tc>
        <w:tc>
          <w:tcPr>
            <w:tcW w:w="3282" w:type="dxa"/>
            <w:tcBorders>
              <w:left w:val="none" w:sz="0" w:space="0" w:color="auto"/>
            </w:tcBorders>
          </w:tcPr>
          <w:p w14:paraId="27BDE489" w14:textId="77777777" w:rsidR="004A0ABB" w:rsidRPr="00896C6F" w:rsidRDefault="004A0ABB" w:rsidP="004A0AB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NewRomanPSMT"/>
                <w:sz w:val="18"/>
                <w:szCs w:val="18"/>
                <w:lang w:val="en-US"/>
              </w:rPr>
            </w:pPr>
            <w:r w:rsidRPr="00896C6F">
              <w:rPr>
                <w:rFonts w:cs="TimesNewRomanPSMT"/>
                <w:sz w:val="18"/>
                <w:szCs w:val="18"/>
                <w:lang w:val="en-US"/>
              </w:rPr>
              <w:t xml:space="preserve">+4% within 810m </w:t>
            </w:r>
          </w:p>
        </w:tc>
      </w:tr>
      <w:tr w:rsidR="004A0ABB" w:rsidRPr="00896C6F" w14:paraId="047FA878" w14:textId="77777777" w:rsidTr="00896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66A731EF" w14:textId="77777777" w:rsidR="004A0ABB" w:rsidRPr="00896C6F" w:rsidRDefault="004A0ABB" w:rsidP="006B6F31">
            <w:pPr>
              <w:autoSpaceDE w:val="0"/>
              <w:autoSpaceDN w:val="0"/>
              <w:adjustRightInd w:val="0"/>
              <w:rPr>
                <w:rFonts w:cs="TimesNewRomanPSMT"/>
                <w:sz w:val="18"/>
                <w:szCs w:val="18"/>
                <w:lang w:val="en-US"/>
              </w:rPr>
            </w:pPr>
            <w:r w:rsidRPr="00896C6F">
              <w:rPr>
                <w:rFonts w:cs="TimesNewRomanPSMT"/>
                <w:sz w:val="18"/>
                <w:szCs w:val="18"/>
                <w:lang w:val="en-US"/>
              </w:rPr>
              <w:t xml:space="preserve">Office </w:t>
            </w:r>
          </w:p>
        </w:tc>
        <w:tc>
          <w:tcPr>
            <w:tcW w:w="3118" w:type="dxa"/>
            <w:tcBorders>
              <w:left w:val="none" w:sz="0" w:space="0" w:color="auto"/>
              <w:right w:val="none" w:sz="0" w:space="0" w:color="auto"/>
            </w:tcBorders>
          </w:tcPr>
          <w:p w14:paraId="37339D47" w14:textId="77777777" w:rsidR="004A0ABB" w:rsidRPr="00896C6F" w:rsidRDefault="004244D8" w:rsidP="004244D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 w:val="18"/>
                <w:szCs w:val="18"/>
                <w:lang w:val="en-US"/>
              </w:rPr>
            </w:pPr>
            <w:r w:rsidRPr="00896C6F">
              <w:rPr>
                <w:rFonts w:cs="TimesNewRomanPSMT"/>
                <w:sz w:val="18"/>
                <w:szCs w:val="18"/>
                <w:lang w:val="en-US"/>
              </w:rPr>
              <w:t>+</w:t>
            </w:r>
            <w:r w:rsidR="004A0ABB" w:rsidRPr="00896C6F">
              <w:rPr>
                <w:rFonts w:cs="TimesNewRomanPSMT"/>
                <w:sz w:val="18"/>
                <w:szCs w:val="18"/>
                <w:lang w:val="en-US"/>
              </w:rPr>
              <w:t xml:space="preserve">120% within 410m </w:t>
            </w:r>
          </w:p>
        </w:tc>
        <w:tc>
          <w:tcPr>
            <w:tcW w:w="3282" w:type="dxa"/>
            <w:tcBorders>
              <w:left w:val="none" w:sz="0" w:space="0" w:color="auto"/>
            </w:tcBorders>
          </w:tcPr>
          <w:p w14:paraId="52258582" w14:textId="77777777" w:rsidR="004A0ABB" w:rsidRPr="00896C6F" w:rsidRDefault="004A0ABB" w:rsidP="004A0AB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NewRomanPSMT"/>
                <w:sz w:val="18"/>
                <w:szCs w:val="18"/>
                <w:lang w:val="en-US"/>
              </w:rPr>
            </w:pPr>
            <w:r w:rsidRPr="00896C6F">
              <w:rPr>
                <w:rFonts w:cs="TimesNewRomanPSMT"/>
                <w:sz w:val="18"/>
                <w:szCs w:val="18"/>
                <w:lang w:val="en-US"/>
              </w:rPr>
              <w:t>+9% within 100</w:t>
            </w:r>
            <w:r w:rsidR="00A14A13" w:rsidRPr="00896C6F">
              <w:rPr>
                <w:rFonts w:cs="TimesNewRomanPSMT"/>
                <w:sz w:val="18"/>
                <w:szCs w:val="18"/>
                <w:lang w:val="en-US"/>
              </w:rPr>
              <w:t>0</w:t>
            </w:r>
            <w:r w:rsidRPr="00896C6F">
              <w:rPr>
                <w:rFonts w:cs="TimesNewRomanPSMT"/>
                <w:sz w:val="18"/>
                <w:szCs w:val="18"/>
                <w:lang w:val="en-US"/>
              </w:rPr>
              <w:t xml:space="preserve">m </w:t>
            </w:r>
          </w:p>
        </w:tc>
      </w:tr>
      <w:tr w:rsidR="004A0ABB" w:rsidRPr="00896C6F" w14:paraId="5F16A562" w14:textId="77777777" w:rsidTr="00896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306EA7B6" w14:textId="77777777" w:rsidR="004A0ABB" w:rsidRPr="00896C6F" w:rsidRDefault="004A0ABB" w:rsidP="006B6F31">
            <w:pPr>
              <w:autoSpaceDE w:val="0"/>
              <w:autoSpaceDN w:val="0"/>
              <w:adjustRightInd w:val="0"/>
              <w:rPr>
                <w:rFonts w:cs="TimesNewRomanPSMT"/>
                <w:sz w:val="18"/>
                <w:szCs w:val="18"/>
                <w:lang w:val="en-US"/>
              </w:rPr>
            </w:pPr>
            <w:r w:rsidRPr="00896C6F">
              <w:rPr>
                <w:rFonts w:cs="TimesNewRomanPSMT"/>
                <w:sz w:val="18"/>
                <w:szCs w:val="18"/>
                <w:lang w:val="en-US"/>
              </w:rPr>
              <w:t xml:space="preserve">Retail </w:t>
            </w:r>
          </w:p>
        </w:tc>
        <w:tc>
          <w:tcPr>
            <w:tcW w:w="3118" w:type="dxa"/>
            <w:tcBorders>
              <w:left w:val="none" w:sz="0" w:space="0" w:color="auto"/>
              <w:right w:val="none" w:sz="0" w:space="0" w:color="auto"/>
            </w:tcBorders>
          </w:tcPr>
          <w:p w14:paraId="2024B9BA" w14:textId="77777777" w:rsidR="004A0ABB" w:rsidRPr="00896C6F" w:rsidRDefault="004A0ABB" w:rsidP="006B6F3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NewRomanPSMT"/>
                <w:sz w:val="18"/>
                <w:szCs w:val="18"/>
                <w:lang w:val="en-US"/>
              </w:rPr>
            </w:pPr>
            <w:r w:rsidRPr="00896C6F">
              <w:rPr>
                <w:rFonts w:cs="TimesNewRomanPSMT"/>
                <w:sz w:val="18"/>
                <w:szCs w:val="18"/>
                <w:lang w:val="en-US"/>
              </w:rPr>
              <w:t>+167% within 70m</w:t>
            </w:r>
          </w:p>
        </w:tc>
        <w:tc>
          <w:tcPr>
            <w:tcW w:w="3282" w:type="dxa"/>
            <w:tcBorders>
              <w:left w:val="none" w:sz="0" w:space="0" w:color="auto"/>
            </w:tcBorders>
          </w:tcPr>
          <w:p w14:paraId="3BF5C86C" w14:textId="77777777" w:rsidR="004A0ABB" w:rsidRPr="00896C6F" w:rsidRDefault="004A0ABB" w:rsidP="004A0AB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TimesNewRomanPSMT"/>
                <w:sz w:val="18"/>
                <w:szCs w:val="18"/>
                <w:lang w:val="en-US"/>
              </w:rPr>
            </w:pPr>
            <w:r w:rsidRPr="00896C6F">
              <w:rPr>
                <w:rFonts w:cs="TimesNewRomanPSMT"/>
                <w:sz w:val="18"/>
                <w:szCs w:val="18"/>
                <w:lang w:val="en-US"/>
              </w:rPr>
              <w:t xml:space="preserve">+1% within 160m </w:t>
            </w:r>
          </w:p>
        </w:tc>
      </w:tr>
    </w:tbl>
    <w:p w14:paraId="02D38BC1" w14:textId="77777777" w:rsidR="009F4F91" w:rsidRDefault="009F4F91" w:rsidP="009F4F91">
      <w:pPr>
        <w:rPr>
          <w:i/>
          <w:sz w:val="16"/>
          <w:szCs w:val="16"/>
        </w:rPr>
      </w:pPr>
      <w:r>
        <w:rPr>
          <w:i/>
          <w:sz w:val="16"/>
          <w:szCs w:val="16"/>
        </w:rPr>
        <w:t>Source:  Centre for Transit-Oriented Development (CTOD) Capturing the Value of Transit, 2008</w:t>
      </w:r>
    </w:p>
    <w:p w14:paraId="08A514DA" w14:textId="77777777" w:rsidR="00520C7E" w:rsidRDefault="00520C7E" w:rsidP="00520C7E">
      <w:pPr>
        <w:pStyle w:val="BodyText"/>
        <w:ind w:right="1168"/>
        <w:rPr>
          <w:rFonts w:asciiTheme="minorHAnsi" w:hAnsiTheme="minorHAnsi"/>
          <w:color w:val="231F20"/>
          <w:w w:val="105"/>
        </w:rPr>
      </w:pPr>
    </w:p>
    <w:p w14:paraId="401DA958" w14:textId="77777777" w:rsidR="006B4D9E" w:rsidRPr="007C7210" w:rsidRDefault="00163064" w:rsidP="007C7210">
      <w:pPr>
        <w:pStyle w:val="BodyText"/>
        <w:spacing w:line="247" w:lineRule="auto"/>
        <w:ind w:left="0" w:right="-1"/>
        <w:rPr>
          <w:rFonts w:asciiTheme="minorHAnsi" w:hAnsiTheme="minorHAnsi"/>
        </w:rPr>
      </w:pPr>
      <w:r>
        <w:rPr>
          <w:rFonts w:asciiTheme="minorHAnsi" w:hAnsiTheme="minorHAnsi"/>
        </w:rPr>
        <w:t>The evidence is conclusive that well-located mass transit oriented development will generate an uplift in property values across all classes of real estate.</w:t>
      </w:r>
    </w:p>
    <w:p w14:paraId="4CF65DA4" w14:textId="77777777" w:rsidR="009F4F91" w:rsidRDefault="002E2F1F" w:rsidP="009861AC">
      <w:pPr>
        <w:pStyle w:val="Heading2"/>
      </w:pPr>
      <w:bookmarkStart w:id="41" w:name="_Toc430896834"/>
      <w:r>
        <w:t>Case Stud</w:t>
      </w:r>
      <w:r w:rsidR="00DB4E13">
        <w:t>ies</w:t>
      </w:r>
      <w:r>
        <w:t xml:space="preserve"> - </w:t>
      </w:r>
      <w:r w:rsidR="009F4F91">
        <w:t>impact of light rail</w:t>
      </w:r>
      <w:r w:rsidR="003974CF">
        <w:t xml:space="preserve"> on property values</w:t>
      </w:r>
      <w:bookmarkEnd w:id="41"/>
    </w:p>
    <w:p w14:paraId="22732E7A" w14:textId="77777777" w:rsidR="00F44AC8" w:rsidRDefault="001B3665" w:rsidP="00F44AC8">
      <w:r>
        <w:t>Evidence of the positive</w:t>
      </w:r>
      <w:r w:rsidR="00F44AC8">
        <w:t xml:space="preserve"> impact of light rail on property values </w:t>
      </w:r>
      <w:r>
        <w:t xml:space="preserve">is </w:t>
      </w:r>
      <w:r w:rsidR="003169AD">
        <w:t>available</w:t>
      </w:r>
      <w:r>
        <w:t xml:space="preserve"> in a range of</w:t>
      </w:r>
      <w:r w:rsidR="00F44AC8">
        <w:t xml:space="preserve"> global</w:t>
      </w:r>
      <w:r>
        <w:t xml:space="preserve"> and Australian</w:t>
      </w:r>
      <w:r w:rsidR="00F44AC8">
        <w:t xml:space="preserve"> case studies. In Australia, the success of light rail in stimulating property value uplift represents a lost opportunity because value capture systems are not being put in place in most </w:t>
      </w:r>
      <w:r w:rsidR="003169AD">
        <w:t>instances</w:t>
      </w:r>
      <w:r w:rsidR="00F44AC8">
        <w:t>. The Gold Coast light rail is a notable exception</w:t>
      </w:r>
      <w:r w:rsidR="003169AD">
        <w:t xml:space="preserve"> although it is a general property tax across the city rather than a genuine value capture initiative</w:t>
      </w:r>
      <w:r w:rsidR="00F44AC8">
        <w:t xml:space="preserve">. </w:t>
      </w:r>
    </w:p>
    <w:p w14:paraId="37CAC641" w14:textId="77777777" w:rsidR="00F44AC8" w:rsidRPr="00BF7BEC" w:rsidRDefault="00F44AC8" w:rsidP="009F4F91">
      <w:pPr>
        <w:rPr>
          <w:sz w:val="22"/>
          <w:szCs w:val="22"/>
        </w:rPr>
      </w:pPr>
    </w:p>
    <w:p w14:paraId="79246D79" w14:textId="77777777" w:rsidR="002E2F1F" w:rsidRPr="00BF7BEC" w:rsidRDefault="0055218F" w:rsidP="009F4F91">
      <w:pPr>
        <w:rPr>
          <w:szCs w:val="20"/>
        </w:rPr>
      </w:pPr>
      <w:r w:rsidRPr="00BF7BEC">
        <w:rPr>
          <w:szCs w:val="20"/>
        </w:rPr>
        <w:t xml:space="preserve">Light Rail is returning to popularity in Australian cities as the benefits of a street-level, mass transit system are recognised for cities and urban renewal areas. </w:t>
      </w:r>
      <w:r w:rsidR="00BF6A38" w:rsidRPr="00BF7BEC">
        <w:rPr>
          <w:szCs w:val="20"/>
        </w:rPr>
        <w:t xml:space="preserve">At present, there are a range of light rail projects </w:t>
      </w:r>
      <w:r w:rsidR="007C2B15" w:rsidRPr="00BF7BEC">
        <w:rPr>
          <w:szCs w:val="20"/>
        </w:rPr>
        <w:t xml:space="preserve">in Australia </w:t>
      </w:r>
      <w:r w:rsidR="00BF6A38" w:rsidRPr="00BF7BEC">
        <w:rPr>
          <w:szCs w:val="20"/>
        </w:rPr>
        <w:t xml:space="preserve">that </w:t>
      </w:r>
      <w:r w:rsidR="007C2B15" w:rsidRPr="00BF7BEC">
        <w:rPr>
          <w:szCs w:val="20"/>
        </w:rPr>
        <w:t xml:space="preserve">are being planned, constructed </w:t>
      </w:r>
      <w:r w:rsidR="00AD7C9A" w:rsidRPr="00BF7BEC">
        <w:rPr>
          <w:szCs w:val="20"/>
        </w:rPr>
        <w:t>or</w:t>
      </w:r>
      <w:r w:rsidR="007C2B15" w:rsidRPr="00BF7BEC">
        <w:rPr>
          <w:szCs w:val="20"/>
        </w:rPr>
        <w:t xml:space="preserve"> expanded</w:t>
      </w:r>
      <w:r w:rsidR="00BF6A38" w:rsidRPr="00BF7BEC">
        <w:rPr>
          <w:szCs w:val="20"/>
        </w:rPr>
        <w:t xml:space="preserve"> including:</w:t>
      </w:r>
    </w:p>
    <w:p w14:paraId="0588AE33" w14:textId="77777777" w:rsidR="00BF6A38" w:rsidRPr="00BF7BEC" w:rsidRDefault="00BF6A38" w:rsidP="009F4F91">
      <w:pPr>
        <w:rPr>
          <w:szCs w:val="20"/>
        </w:rPr>
      </w:pPr>
    </w:p>
    <w:p w14:paraId="678F9C16" w14:textId="77777777" w:rsidR="00BF6A38" w:rsidRPr="00BF7BEC" w:rsidRDefault="00BF6A38" w:rsidP="00791C11">
      <w:pPr>
        <w:pStyle w:val="ListParagraph"/>
        <w:numPr>
          <w:ilvl w:val="0"/>
          <w:numId w:val="13"/>
        </w:numPr>
        <w:rPr>
          <w:szCs w:val="20"/>
        </w:rPr>
      </w:pPr>
      <w:r w:rsidRPr="00BF7BEC">
        <w:rPr>
          <w:szCs w:val="20"/>
        </w:rPr>
        <w:t>Extension of the Sydney light rail network to link the CBD with south-eastern suburbs, sports venues and the UNSW. This follows a recent extension from</w:t>
      </w:r>
      <w:r w:rsidR="00AD7C9A" w:rsidRPr="00BF7BEC">
        <w:rPr>
          <w:szCs w:val="20"/>
        </w:rPr>
        <w:t xml:space="preserve"> </w:t>
      </w:r>
      <w:r w:rsidRPr="00BF7BEC">
        <w:rPr>
          <w:szCs w:val="20"/>
        </w:rPr>
        <w:t>Lilyfield to Dulwich Hill.</w:t>
      </w:r>
    </w:p>
    <w:p w14:paraId="0B63F5BA" w14:textId="77777777" w:rsidR="007C2B15" w:rsidRPr="00BF7BEC" w:rsidRDefault="007C2B15" w:rsidP="00791C11">
      <w:pPr>
        <w:pStyle w:val="ListParagraph"/>
        <w:numPr>
          <w:ilvl w:val="0"/>
          <w:numId w:val="13"/>
        </w:numPr>
        <w:rPr>
          <w:szCs w:val="20"/>
        </w:rPr>
      </w:pPr>
      <w:r w:rsidRPr="00BF7BEC">
        <w:rPr>
          <w:szCs w:val="20"/>
        </w:rPr>
        <w:t>Extension of Gold Coast light rail project</w:t>
      </w:r>
      <w:r w:rsidR="00AD7C9A" w:rsidRPr="00BF7BEC">
        <w:rPr>
          <w:szCs w:val="20"/>
        </w:rPr>
        <w:t xml:space="preserve"> to support the Commonwealth Games and education institutions</w:t>
      </w:r>
    </w:p>
    <w:p w14:paraId="14D68C1B" w14:textId="77777777" w:rsidR="00AD7C9A" w:rsidRPr="00BF7BEC" w:rsidRDefault="00AD7C9A" w:rsidP="00791C11">
      <w:pPr>
        <w:pStyle w:val="ListParagraph"/>
        <w:numPr>
          <w:ilvl w:val="0"/>
          <w:numId w:val="13"/>
        </w:numPr>
        <w:rPr>
          <w:szCs w:val="20"/>
        </w:rPr>
      </w:pPr>
      <w:r w:rsidRPr="00BF7BEC">
        <w:rPr>
          <w:szCs w:val="20"/>
        </w:rPr>
        <w:t>Newcastle CBD urban renewal light rail project replacing heavy rail with light rail</w:t>
      </w:r>
    </w:p>
    <w:p w14:paraId="05C9AFBE" w14:textId="77777777" w:rsidR="00AD7C9A" w:rsidRPr="00BF7BEC" w:rsidRDefault="00AD7C9A" w:rsidP="00791C11">
      <w:pPr>
        <w:pStyle w:val="ListParagraph"/>
        <w:numPr>
          <w:ilvl w:val="0"/>
          <w:numId w:val="13"/>
        </w:numPr>
        <w:rPr>
          <w:szCs w:val="20"/>
        </w:rPr>
      </w:pPr>
      <w:r w:rsidRPr="00BF7BEC">
        <w:rPr>
          <w:szCs w:val="20"/>
        </w:rPr>
        <w:t>Parramatta Light Rail</w:t>
      </w:r>
    </w:p>
    <w:p w14:paraId="2567CDE3" w14:textId="66016649" w:rsidR="00214E11" w:rsidRPr="00BF7BEC" w:rsidRDefault="009861AC" w:rsidP="00791C11">
      <w:pPr>
        <w:pStyle w:val="ListParagraph"/>
        <w:numPr>
          <w:ilvl w:val="0"/>
          <w:numId w:val="13"/>
        </w:numPr>
        <w:rPr>
          <w:szCs w:val="20"/>
        </w:rPr>
      </w:pPr>
      <w:r>
        <w:rPr>
          <w:szCs w:val="20"/>
        </w:rPr>
        <w:t>MAX Light Rail (Perth)</w:t>
      </w:r>
    </w:p>
    <w:p w14:paraId="1A524A58" w14:textId="77777777" w:rsidR="00AD7C9A" w:rsidRPr="00BF7BEC" w:rsidRDefault="00AD7C9A" w:rsidP="00791C11">
      <w:pPr>
        <w:pStyle w:val="ListParagraph"/>
        <w:numPr>
          <w:ilvl w:val="0"/>
          <w:numId w:val="13"/>
        </w:numPr>
        <w:rPr>
          <w:szCs w:val="20"/>
        </w:rPr>
      </w:pPr>
      <w:r w:rsidRPr="00BF7BEC">
        <w:rPr>
          <w:szCs w:val="20"/>
        </w:rPr>
        <w:t>Canberra Light Rail</w:t>
      </w:r>
    </w:p>
    <w:p w14:paraId="61FAD361" w14:textId="5EBDF8E0" w:rsidR="00214E11" w:rsidRDefault="00214E11" w:rsidP="00791C11">
      <w:pPr>
        <w:pStyle w:val="ListParagraph"/>
        <w:numPr>
          <w:ilvl w:val="0"/>
          <w:numId w:val="13"/>
        </w:numPr>
        <w:rPr>
          <w:szCs w:val="20"/>
        </w:rPr>
      </w:pPr>
      <w:r>
        <w:rPr>
          <w:szCs w:val="20"/>
        </w:rPr>
        <w:t>AdeLI</w:t>
      </w:r>
      <w:r w:rsidR="009861AC">
        <w:rPr>
          <w:szCs w:val="20"/>
        </w:rPr>
        <w:t>NK</w:t>
      </w:r>
      <w:r>
        <w:rPr>
          <w:szCs w:val="20"/>
        </w:rPr>
        <w:t xml:space="preserve"> light rail </w:t>
      </w:r>
    </w:p>
    <w:p w14:paraId="6E8C2007" w14:textId="77777777" w:rsidR="00BF6A38" w:rsidRPr="00BF7BEC" w:rsidRDefault="00BF6A38" w:rsidP="00791C11">
      <w:pPr>
        <w:pStyle w:val="ListParagraph"/>
        <w:numPr>
          <w:ilvl w:val="0"/>
          <w:numId w:val="13"/>
        </w:numPr>
        <w:rPr>
          <w:szCs w:val="20"/>
        </w:rPr>
      </w:pPr>
      <w:r w:rsidRPr="00BF7BEC">
        <w:rPr>
          <w:szCs w:val="20"/>
        </w:rPr>
        <w:t>Sunshine Coast light rail.</w:t>
      </w:r>
    </w:p>
    <w:p w14:paraId="10B5AD0C" w14:textId="77777777" w:rsidR="00BF7BEC" w:rsidRDefault="00BF7BEC" w:rsidP="009F4F91"/>
    <w:p w14:paraId="24BC6C9E" w14:textId="77777777" w:rsidR="009F4F91" w:rsidRDefault="009F4F91" w:rsidP="009F4F91">
      <w:r w:rsidRPr="00AF4C38">
        <w:t xml:space="preserve">There is clear evidence that the introduction of light rail has a positive impact on property values. </w:t>
      </w:r>
      <w:r>
        <w:t xml:space="preserve">Such impacts are typically measured in terms of the quantifiable impact on property prices as an indication of the economic benefit that is provided to a public transport catchment. An increase in property values in an area serviced by recently developed light rail infrastructure - over and above that occurring in comparable areas where light rail has not been a factor - is typically attributed to the presence of the newly developed transport infrastructure. It can be used </w:t>
      </w:r>
      <w:r w:rsidR="00920D55">
        <w:t>to measure</w:t>
      </w:r>
      <w:r>
        <w:t xml:space="preserve"> the economic impact of light rail.</w:t>
      </w:r>
    </w:p>
    <w:p w14:paraId="6B9FB945" w14:textId="77777777" w:rsidR="009F4F91" w:rsidRDefault="009F4F91" w:rsidP="009F4F91"/>
    <w:p w14:paraId="69937E08" w14:textId="77777777" w:rsidR="009F4F91" w:rsidRDefault="009F4F91" w:rsidP="009F4F91">
      <w:r>
        <w:t xml:space="preserve">Concentrations of urban activity generate significant land value uplift and consequent increases in urban densities. </w:t>
      </w:r>
    </w:p>
    <w:p w14:paraId="5A56DD62" w14:textId="77777777" w:rsidR="009F4F91" w:rsidRDefault="009F4F91" w:rsidP="009F4F91"/>
    <w:p w14:paraId="5177E8B2" w14:textId="4E78F7DD" w:rsidR="009F4F91" w:rsidRDefault="00FD0D64" w:rsidP="009F4F91">
      <w:r w:rsidRPr="002B3D16">
        <w:t xml:space="preserve">Table </w:t>
      </w:r>
      <w:r w:rsidR="002B3D16" w:rsidRPr="002B3D16">
        <w:t>9</w:t>
      </w:r>
      <w:r w:rsidR="00920D55" w:rsidRPr="002B3D16">
        <w:t xml:space="preserve"> </w:t>
      </w:r>
      <w:r w:rsidR="009F4F91" w:rsidRPr="002B3D16">
        <w:t>presents</w:t>
      </w:r>
      <w:r w:rsidR="009F4F91">
        <w:t xml:space="preserve"> a summary of research findings on the impact of light rail undertaken by SGS Economics and Planning. There have been a range of different variables used (house and unit prices, residential and commercial rents) to understand the impact on property prices of the introduction of a light rail network. </w:t>
      </w:r>
    </w:p>
    <w:p w14:paraId="0026C451" w14:textId="72FD08FE" w:rsidR="009F4F91" w:rsidRDefault="009F4F91" w:rsidP="009F4F91">
      <w:pPr>
        <w:pStyle w:val="Caption"/>
        <w:keepNext/>
        <w:keepLines/>
        <w:rPr>
          <w:b/>
        </w:rPr>
      </w:pPr>
      <w:bookmarkStart w:id="42" w:name="_Toc430896543"/>
      <w:r w:rsidRPr="00F41E25">
        <w:lastRenderedPageBreak/>
        <w:t xml:space="preserve">Table </w:t>
      </w:r>
      <w:r>
        <w:fldChar w:fldCharType="begin"/>
      </w:r>
      <w:r>
        <w:instrText xml:space="preserve"> SEQ Table \* ARABIC </w:instrText>
      </w:r>
      <w:r>
        <w:fldChar w:fldCharType="separate"/>
      </w:r>
      <w:r w:rsidR="00184C79">
        <w:rPr>
          <w:noProof/>
        </w:rPr>
        <w:t>9</w:t>
      </w:r>
      <w:r>
        <w:rPr>
          <w:noProof/>
        </w:rPr>
        <w:fldChar w:fldCharType="end"/>
      </w:r>
      <w:r w:rsidR="00E82F86">
        <w:t xml:space="preserve">. </w:t>
      </w:r>
      <w:r>
        <w:t>Impact of Light Rail on property values</w:t>
      </w:r>
      <w:bookmarkEnd w:id="42"/>
    </w:p>
    <w:tbl>
      <w:tblPr>
        <w:tblStyle w:val="GridTable4-Accent21"/>
        <w:tblW w:w="5000" w:type="pct"/>
        <w:tblLook w:val="04A0" w:firstRow="1" w:lastRow="0" w:firstColumn="1" w:lastColumn="0" w:noHBand="0" w:noVBand="1"/>
      </w:tblPr>
      <w:tblGrid>
        <w:gridCol w:w="3274"/>
        <w:gridCol w:w="2380"/>
        <w:gridCol w:w="3272"/>
      </w:tblGrid>
      <w:tr w:rsidR="009F4F91" w:rsidRPr="00896C6F" w14:paraId="026E4A01"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4" w:type="pct"/>
            <w:tcBorders>
              <w:top w:val="none" w:sz="0" w:space="0" w:color="auto"/>
              <w:left w:val="none" w:sz="0" w:space="0" w:color="auto"/>
              <w:bottom w:val="none" w:sz="0" w:space="0" w:color="auto"/>
              <w:right w:val="none" w:sz="0" w:space="0" w:color="auto"/>
            </w:tcBorders>
          </w:tcPr>
          <w:p w14:paraId="6A460E1F" w14:textId="77777777" w:rsidR="009F4F91" w:rsidRPr="00896C6F" w:rsidRDefault="009F4F91" w:rsidP="006B6F31">
            <w:pPr>
              <w:pStyle w:val="Tablecolumnheading"/>
              <w:rPr>
                <w:b/>
                <w:color w:val="FFFFFF" w:themeColor="background1"/>
                <w:sz w:val="18"/>
                <w:szCs w:val="18"/>
                <w:lang w:val="en-US"/>
              </w:rPr>
            </w:pPr>
            <w:r w:rsidRPr="00896C6F">
              <w:rPr>
                <w:b/>
                <w:color w:val="FFFFFF" w:themeColor="background1"/>
                <w:sz w:val="18"/>
                <w:szCs w:val="18"/>
                <w:lang w:val="en-US"/>
              </w:rPr>
              <w:t xml:space="preserve">Location </w:t>
            </w:r>
          </w:p>
        </w:tc>
        <w:tc>
          <w:tcPr>
            <w:tcW w:w="1333" w:type="pct"/>
            <w:tcBorders>
              <w:top w:val="none" w:sz="0" w:space="0" w:color="auto"/>
              <w:left w:val="none" w:sz="0" w:space="0" w:color="auto"/>
              <w:bottom w:val="none" w:sz="0" w:space="0" w:color="auto"/>
              <w:right w:val="none" w:sz="0" w:space="0" w:color="auto"/>
            </w:tcBorders>
          </w:tcPr>
          <w:p w14:paraId="1C98AC08" w14:textId="77777777" w:rsidR="009F4F91" w:rsidRPr="00896C6F" w:rsidRDefault="009F4F91" w:rsidP="006B6F31">
            <w:pPr>
              <w:pStyle w:val="Tablecolumnheading"/>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lang w:val="en-US"/>
              </w:rPr>
            </w:pPr>
            <w:r w:rsidRPr="00896C6F">
              <w:rPr>
                <w:b/>
                <w:color w:val="FFFFFF" w:themeColor="background1"/>
                <w:sz w:val="18"/>
                <w:szCs w:val="18"/>
                <w:lang w:val="en-US"/>
              </w:rPr>
              <w:t>Impact of Light Rail</w:t>
            </w:r>
          </w:p>
        </w:tc>
        <w:tc>
          <w:tcPr>
            <w:tcW w:w="1833" w:type="pct"/>
            <w:tcBorders>
              <w:top w:val="none" w:sz="0" w:space="0" w:color="auto"/>
              <w:left w:val="none" w:sz="0" w:space="0" w:color="auto"/>
              <w:bottom w:val="none" w:sz="0" w:space="0" w:color="auto"/>
              <w:right w:val="none" w:sz="0" w:space="0" w:color="auto"/>
            </w:tcBorders>
          </w:tcPr>
          <w:p w14:paraId="280C7EEE" w14:textId="77777777" w:rsidR="009F4F91" w:rsidRPr="00896C6F" w:rsidRDefault="009F4F91" w:rsidP="006B6F31">
            <w:pPr>
              <w:pStyle w:val="Tablecolumnheading"/>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lang w:val="en-US"/>
              </w:rPr>
            </w:pPr>
            <w:r w:rsidRPr="00896C6F">
              <w:rPr>
                <w:b/>
                <w:color w:val="FFFFFF" w:themeColor="background1"/>
                <w:sz w:val="18"/>
                <w:szCs w:val="18"/>
                <w:lang w:val="en-US"/>
              </w:rPr>
              <w:t>Variable Used</w:t>
            </w:r>
          </w:p>
        </w:tc>
      </w:tr>
      <w:tr w:rsidR="009F4F91" w:rsidRPr="00896C6F" w14:paraId="0D530D63" w14:textId="77777777" w:rsidTr="00896C6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34" w:type="pct"/>
          </w:tcPr>
          <w:p w14:paraId="5C19BE29" w14:textId="77777777" w:rsidR="009F4F91" w:rsidRPr="00896C6F" w:rsidRDefault="009F4F91" w:rsidP="006B6F31">
            <w:pPr>
              <w:keepNext/>
              <w:keepLines/>
              <w:rPr>
                <w:sz w:val="18"/>
                <w:szCs w:val="18"/>
              </w:rPr>
            </w:pPr>
            <w:r w:rsidRPr="00896C6F">
              <w:rPr>
                <w:sz w:val="18"/>
                <w:szCs w:val="18"/>
              </w:rPr>
              <w:t>Newcastle (United Kingdom)</w:t>
            </w:r>
          </w:p>
        </w:tc>
        <w:tc>
          <w:tcPr>
            <w:tcW w:w="1333" w:type="pct"/>
          </w:tcPr>
          <w:p w14:paraId="62A114C5"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+20 %</w:t>
            </w:r>
          </w:p>
        </w:tc>
        <w:tc>
          <w:tcPr>
            <w:tcW w:w="1833" w:type="pct"/>
          </w:tcPr>
          <w:p w14:paraId="58A6AD4B"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House Prices</w:t>
            </w:r>
          </w:p>
        </w:tc>
      </w:tr>
      <w:tr w:rsidR="009F4F91" w:rsidRPr="00896C6F" w14:paraId="1D0C1BF1" w14:textId="77777777" w:rsidTr="00896C6F">
        <w:trPr>
          <w:trHeight w:val="230"/>
        </w:trPr>
        <w:tc>
          <w:tcPr>
            <w:cnfStyle w:val="001000000000" w:firstRow="0" w:lastRow="0" w:firstColumn="1" w:lastColumn="0" w:oddVBand="0" w:evenVBand="0" w:oddHBand="0" w:evenHBand="0" w:firstRowFirstColumn="0" w:firstRowLastColumn="0" w:lastRowFirstColumn="0" w:lastRowLastColumn="0"/>
            <w:tcW w:w="1834" w:type="pct"/>
          </w:tcPr>
          <w:p w14:paraId="46353B19" w14:textId="77777777" w:rsidR="009F4F91" w:rsidRPr="00896C6F" w:rsidRDefault="009F4F91" w:rsidP="006B6F31">
            <w:pPr>
              <w:keepNext/>
              <w:keepLines/>
              <w:rPr>
                <w:sz w:val="18"/>
                <w:szCs w:val="18"/>
              </w:rPr>
            </w:pPr>
            <w:r w:rsidRPr="00896C6F">
              <w:rPr>
                <w:sz w:val="18"/>
                <w:szCs w:val="18"/>
              </w:rPr>
              <w:t>Freiburg</w:t>
            </w:r>
          </w:p>
        </w:tc>
        <w:tc>
          <w:tcPr>
            <w:tcW w:w="1333" w:type="pct"/>
          </w:tcPr>
          <w:p w14:paraId="03290767"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+15 – 20 %</w:t>
            </w:r>
          </w:p>
        </w:tc>
        <w:tc>
          <w:tcPr>
            <w:tcW w:w="1833" w:type="pct"/>
          </w:tcPr>
          <w:p w14:paraId="580D9B4F"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Office Rents</w:t>
            </w:r>
          </w:p>
        </w:tc>
      </w:tr>
      <w:tr w:rsidR="009F4F91" w:rsidRPr="00896C6F" w14:paraId="15D65B56" w14:textId="77777777" w:rsidTr="00896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4" w:type="pct"/>
          </w:tcPr>
          <w:p w14:paraId="7498A8CA" w14:textId="77777777" w:rsidR="009F4F91" w:rsidRPr="00896C6F" w:rsidRDefault="009F4F91" w:rsidP="006B6F31">
            <w:pPr>
              <w:keepNext/>
              <w:keepLines/>
              <w:rPr>
                <w:sz w:val="18"/>
                <w:szCs w:val="18"/>
              </w:rPr>
            </w:pPr>
            <w:r w:rsidRPr="00896C6F">
              <w:rPr>
                <w:sz w:val="18"/>
                <w:szCs w:val="18"/>
              </w:rPr>
              <w:t>Strasbourg</w:t>
            </w:r>
          </w:p>
        </w:tc>
        <w:tc>
          <w:tcPr>
            <w:tcW w:w="1333" w:type="pct"/>
          </w:tcPr>
          <w:p w14:paraId="1F904F16"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+10 – 15 %</w:t>
            </w:r>
          </w:p>
        </w:tc>
        <w:tc>
          <w:tcPr>
            <w:tcW w:w="1833" w:type="pct"/>
          </w:tcPr>
          <w:p w14:paraId="7E36C2A6"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Office Rents</w:t>
            </w:r>
          </w:p>
        </w:tc>
      </w:tr>
      <w:tr w:rsidR="009F4F91" w:rsidRPr="00896C6F" w14:paraId="4380624C" w14:textId="77777777" w:rsidTr="00896C6F">
        <w:trPr>
          <w:trHeight w:val="230"/>
        </w:trPr>
        <w:tc>
          <w:tcPr>
            <w:cnfStyle w:val="001000000000" w:firstRow="0" w:lastRow="0" w:firstColumn="1" w:lastColumn="0" w:oddVBand="0" w:evenVBand="0" w:oddHBand="0" w:evenHBand="0" w:firstRowFirstColumn="0" w:firstRowLastColumn="0" w:lastRowFirstColumn="0" w:lastRowLastColumn="0"/>
            <w:tcW w:w="1834" w:type="pct"/>
          </w:tcPr>
          <w:p w14:paraId="5B7A9DA0" w14:textId="77777777" w:rsidR="009F4F91" w:rsidRPr="00896C6F" w:rsidRDefault="009F4F91" w:rsidP="006B6F31">
            <w:pPr>
              <w:keepNext/>
              <w:keepLines/>
              <w:tabs>
                <w:tab w:val="left" w:pos="2024"/>
              </w:tabs>
              <w:rPr>
                <w:sz w:val="18"/>
                <w:szCs w:val="18"/>
              </w:rPr>
            </w:pPr>
            <w:r w:rsidRPr="00896C6F">
              <w:rPr>
                <w:sz w:val="18"/>
                <w:szCs w:val="18"/>
              </w:rPr>
              <w:t xml:space="preserve">Portland </w:t>
            </w:r>
          </w:p>
        </w:tc>
        <w:tc>
          <w:tcPr>
            <w:tcW w:w="1333" w:type="pct"/>
          </w:tcPr>
          <w:p w14:paraId="09FDE37D" w14:textId="77777777" w:rsidR="009F4F91" w:rsidRPr="00896C6F" w:rsidRDefault="009F4F91" w:rsidP="006B6F31">
            <w:pPr>
              <w:keepNext/>
              <w:keepLines/>
              <w:tabs>
                <w:tab w:val="left" w:pos="2024"/>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+10%</w:t>
            </w:r>
          </w:p>
        </w:tc>
        <w:tc>
          <w:tcPr>
            <w:tcW w:w="1833" w:type="pct"/>
          </w:tcPr>
          <w:p w14:paraId="6C0CD626" w14:textId="77777777" w:rsidR="009F4F91" w:rsidRPr="00896C6F" w:rsidRDefault="009F4F91" w:rsidP="006B6F31">
            <w:pPr>
              <w:keepNext/>
              <w:keepLines/>
              <w:tabs>
                <w:tab w:val="left" w:pos="2024"/>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House Prices</w:t>
            </w:r>
          </w:p>
        </w:tc>
      </w:tr>
      <w:tr w:rsidR="009F4F91" w:rsidRPr="00896C6F" w14:paraId="5D8699E1" w14:textId="77777777" w:rsidTr="00896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4" w:type="pct"/>
          </w:tcPr>
          <w:p w14:paraId="2F47C611" w14:textId="77777777" w:rsidR="009F4F91" w:rsidRPr="00896C6F" w:rsidRDefault="009F4F91" w:rsidP="006B6F31">
            <w:pPr>
              <w:keepNext/>
              <w:keepLines/>
              <w:tabs>
                <w:tab w:val="left" w:pos="2024"/>
              </w:tabs>
              <w:rPr>
                <w:sz w:val="18"/>
                <w:szCs w:val="18"/>
              </w:rPr>
            </w:pPr>
            <w:r w:rsidRPr="00896C6F">
              <w:rPr>
                <w:sz w:val="18"/>
                <w:szCs w:val="18"/>
              </w:rPr>
              <w:t>Rouen</w:t>
            </w:r>
          </w:p>
        </w:tc>
        <w:tc>
          <w:tcPr>
            <w:tcW w:w="1333" w:type="pct"/>
          </w:tcPr>
          <w:p w14:paraId="6F864673"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+10%</w:t>
            </w:r>
          </w:p>
        </w:tc>
        <w:tc>
          <w:tcPr>
            <w:tcW w:w="1833" w:type="pct"/>
          </w:tcPr>
          <w:p w14:paraId="0D49A689"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Residential Rents &amp; House prices</w:t>
            </w:r>
          </w:p>
        </w:tc>
      </w:tr>
      <w:tr w:rsidR="009F4F91" w:rsidRPr="00896C6F" w14:paraId="0B3D780D" w14:textId="77777777" w:rsidTr="00896C6F">
        <w:trPr>
          <w:trHeight w:val="230"/>
        </w:trPr>
        <w:tc>
          <w:tcPr>
            <w:cnfStyle w:val="001000000000" w:firstRow="0" w:lastRow="0" w:firstColumn="1" w:lastColumn="0" w:oddVBand="0" w:evenVBand="0" w:oddHBand="0" w:evenHBand="0" w:firstRowFirstColumn="0" w:firstRowLastColumn="0" w:lastRowFirstColumn="0" w:lastRowLastColumn="0"/>
            <w:tcW w:w="1834" w:type="pct"/>
          </w:tcPr>
          <w:p w14:paraId="0FCA2ADA" w14:textId="77777777" w:rsidR="009F4F91" w:rsidRPr="00896C6F" w:rsidRDefault="009F4F91" w:rsidP="006B6F31">
            <w:pPr>
              <w:keepNext/>
              <w:keepLines/>
              <w:tabs>
                <w:tab w:val="left" w:pos="2024"/>
              </w:tabs>
              <w:rPr>
                <w:sz w:val="18"/>
                <w:szCs w:val="18"/>
              </w:rPr>
            </w:pPr>
            <w:r w:rsidRPr="00896C6F">
              <w:rPr>
                <w:sz w:val="18"/>
                <w:szCs w:val="18"/>
              </w:rPr>
              <w:t>Route 96 (Inner North of Melbourne)*</w:t>
            </w:r>
          </w:p>
        </w:tc>
        <w:tc>
          <w:tcPr>
            <w:tcW w:w="1333" w:type="pct"/>
          </w:tcPr>
          <w:p w14:paraId="59DAA611" w14:textId="77777777" w:rsidR="009F4F91" w:rsidRPr="00896C6F" w:rsidRDefault="009F4F91" w:rsidP="006B6F31">
            <w:pPr>
              <w:keepNext/>
              <w:keepLines/>
              <w:tabs>
                <w:tab w:val="left" w:pos="2024"/>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+9%</w:t>
            </w:r>
          </w:p>
        </w:tc>
        <w:tc>
          <w:tcPr>
            <w:tcW w:w="1833" w:type="pct"/>
          </w:tcPr>
          <w:p w14:paraId="3421AED9" w14:textId="77777777" w:rsidR="009F4F91" w:rsidRPr="00896C6F" w:rsidRDefault="009F4F91" w:rsidP="006B6F31">
            <w:pPr>
              <w:keepNext/>
              <w:keepLines/>
              <w:tabs>
                <w:tab w:val="left" w:pos="2024"/>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 xml:space="preserve">Residual land value </w:t>
            </w:r>
          </w:p>
        </w:tc>
      </w:tr>
      <w:tr w:rsidR="009F4F91" w:rsidRPr="00896C6F" w14:paraId="3BEA842A" w14:textId="77777777" w:rsidTr="00896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4" w:type="pct"/>
          </w:tcPr>
          <w:p w14:paraId="50334D8F" w14:textId="77777777" w:rsidR="009F4F91" w:rsidRPr="00896C6F" w:rsidRDefault="009F4F91" w:rsidP="006B6F31">
            <w:pPr>
              <w:keepNext/>
              <w:keepLines/>
              <w:tabs>
                <w:tab w:val="left" w:pos="2024"/>
              </w:tabs>
              <w:rPr>
                <w:sz w:val="18"/>
                <w:szCs w:val="18"/>
              </w:rPr>
            </w:pPr>
            <w:r w:rsidRPr="00896C6F">
              <w:rPr>
                <w:sz w:val="18"/>
                <w:szCs w:val="18"/>
              </w:rPr>
              <w:t>Strasbourg</w:t>
            </w:r>
          </w:p>
        </w:tc>
        <w:tc>
          <w:tcPr>
            <w:tcW w:w="1333" w:type="pct"/>
          </w:tcPr>
          <w:p w14:paraId="5B3341B0" w14:textId="77777777" w:rsidR="009F4F91" w:rsidRPr="00896C6F" w:rsidRDefault="009F4F91" w:rsidP="006B6F31">
            <w:pPr>
              <w:keepNext/>
              <w:keepLines/>
              <w:tabs>
                <w:tab w:val="left" w:pos="202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+7%</w:t>
            </w:r>
          </w:p>
        </w:tc>
        <w:tc>
          <w:tcPr>
            <w:tcW w:w="1833" w:type="pct"/>
          </w:tcPr>
          <w:p w14:paraId="586BD580" w14:textId="77777777" w:rsidR="009F4F91" w:rsidRPr="00896C6F" w:rsidRDefault="009F4F91" w:rsidP="006B6F31">
            <w:pPr>
              <w:keepNext/>
              <w:keepLines/>
              <w:tabs>
                <w:tab w:val="left" w:pos="2024"/>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Residential Rents</w:t>
            </w:r>
          </w:p>
        </w:tc>
      </w:tr>
      <w:tr w:rsidR="009F4F91" w:rsidRPr="00896C6F" w14:paraId="1E637DFA" w14:textId="77777777" w:rsidTr="00896C6F">
        <w:trPr>
          <w:trHeight w:val="230"/>
        </w:trPr>
        <w:tc>
          <w:tcPr>
            <w:cnfStyle w:val="001000000000" w:firstRow="0" w:lastRow="0" w:firstColumn="1" w:lastColumn="0" w:oddVBand="0" w:evenVBand="0" w:oddHBand="0" w:evenHBand="0" w:firstRowFirstColumn="0" w:firstRowLastColumn="0" w:lastRowFirstColumn="0" w:lastRowLastColumn="0"/>
            <w:tcW w:w="1834" w:type="pct"/>
          </w:tcPr>
          <w:p w14:paraId="2EDD11FB" w14:textId="77777777" w:rsidR="009F4F91" w:rsidRPr="00896C6F" w:rsidRDefault="009F4F91" w:rsidP="006B6F31">
            <w:pPr>
              <w:keepNext/>
              <w:keepLines/>
              <w:tabs>
                <w:tab w:val="left" w:pos="2024"/>
              </w:tabs>
              <w:rPr>
                <w:sz w:val="18"/>
                <w:szCs w:val="18"/>
              </w:rPr>
            </w:pPr>
            <w:r w:rsidRPr="00896C6F">
              <w:rPr>
                <w:sz w:val="18"/>
                <w:szCs w:val="18"/>
              </w:rPr>
              <w:t>Portland Gresham</w:t>
            </w:r>
            <w:r w:rsidRPr="00896C6F">
              <w:rPr>
                <w:sz w:val="18"/>
                <w:szCs w:val="18"/>
              </w:rPr>
              <w:tab/>
            </w:r>
          </w:p>
        </w:tc>
        <w:tc>
          <w:tcPr>
            <w:tcW w:w="1333" w:type="pct"/>
          </w:tcPr>
          <w:p w14:paraId="72079209"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&gt; 5%</w:t>
            </w:r>
          </w:p>
        </w:tc>
        <w:tc>
          <w:tcPr>
            <w:tcW w:w="1833" w:type="pct"/>
          </w:tcPr>
          <w:p w14:paraId="277A6AE4"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Residential Rents</w:t>
            </w:r>
          </w:p>
        </w:tc>
      </w:tr>
      <w:tr w:rsidR="009F4F91" w:rsidRPr="00896C6F" w14:paraId="2CC27680" w14:textId="77777777" w:rsidTr="00896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4" w:type="pct"/>
          </w:tcPr>
          <w:p w14:paraId="69E4AECB" w14:textId="77777777" w:rsidR="009F4F91" w:rsidRPr="00896C6F" w:rsidRDefault="009F4F91" w:rsidP="006B6F31">
            <w:pPr>
              <w:keepNext/>
              <w:keepLines/>
              <w:rPr>
                <w:sz w:val="18"/>
                <w:szCs w:val="18"/>
              </w:rPr>
            </w:pPr>
            <w:r w:rsidRPr="00896C6F">
              <w:rPr>
                <w:sz w:val="18"/>
                <w:szCs w:val="18"/>
              </w:rPr>
              <w:t xml:space="preserve">Freiburg </w:t>
            </w:r>
          </w:p>
        </w:tc>
        <w:tc>
          <w:tcPr>
            <w:tcW w:w="1333" w:type="pct"/>
          </w:tcPr>
          <w:p w14:paraId="05128CD3"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3%</w:t>
            </w:r>
          </w:p>
        </w:tc>
        <w:tc>
          <w:tcPr>
            <w:tcW w:w="1833" w:type="pct"/>
          </w:tcPr>
          <w:p w14:paraId="33B11D6C"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Residential Rents</w:t>
            </w:r>
          </w:p>
        </w:tc>
      </w:tr>
    </w:tbl>
    <w:p w14:paraId="3B48E42B" w14:textId="77777777" w:rsidR="009F4F91" w:rsidRPr="00526155" w:rsidRDefault="009F4F91" w:rsidP="009F4F91">
      <w:pPr>
        <w:pStyle w:val="TableSource0"/>
      </w:pPr>
      <w:r w:rsidRPr="00526155">
        <w:t xml:space="preserve">Source: </w:t>
      </w:r>
      <w:r w:rsidRPr="00526155">
        <w:rPr>
          <w:bCs/>
          <w:lang w:val="en-US"/>
        </w:rPr>
        <w:t>Hass-Klau</w:t>
      </w:r>
      <w:r w:rsidRPr="00526155">
        <w:rPr>
          <w:lang w:val="en-US"/>
        </w:rPr>
        <w:t>, Crampton and Benjari (2004), Economic Imp</w:t>
      </w:r>
      <w:r>
        <w:rPr>
          <w:lang w:val="en-US"/>
        </w:rPr>
        <w:t>act of Light Rail: The Results of 15 Urban Areas i</w:t>
      </w:r>
      <w:r w:rsidRPr="00526155">
        <w:rPr>
          <w:lang w:val="en-US"/>
        </w:rPr>
        <w:t>n France, Germany, UK and North America, Environmental &amp; Transport Planning</w:t>
      </w:r>
      <w:r>
        <w:rPr>
          <w:lang w:val="en-US"/>
        </w:rPr>
        <w:t xml:space="preserve"> and *SGS Economics &amp; Planning </w:t>
      </w:r>
    </w:p>
    <w:p w14:paraId="76660D06" w14:textId="77777777" w:rsidR="009F4F91" w:rsidRDefault="009F4F91" w:rsidP="009F4F91">
      <w:pPr>
        <w:pStyle w:val="TableSource0"/>
      </w:pPr>
    </w:p>
    <w:p w14:paraId="440EA35A" w14:textId="77777777" w:rsidR="00CD6914" w:rsidRPr="00CD6914" w:rsidRDefault="009F4F91" w:rsidP="009F4F91">
      <w:r w:rsidRPr="00CD6914">
        <w:t xml:space="preserve">The long run </w:t>
      </w:r>
      <w:r w:rsidR="00920D55" w:rsidRPr="00CD6914">
        <w:t xml:space="preserve">uplift on property </w:t>
      </w:r>
      <w:r w:rsidR="00CD6914" w:rsidRPr="00CD6914">
        <w:t xml:space="preserve">values </w:t>
      </w:r>
      <w:r w:rsidR="00646920" w:rsidRPr="00CD6914">
        <w:t>is variable due to location</w:t>
      </w:r>
      <w:r w:rsidR="00CD6914" w:rsidRPr="00CD6914">
        <w:t xml:space="preserve"> specific factors such as:</w:t>
      </w:r>
    </w:p>
    <w:p w14:paraId="009D9D6C" w14:textId="77777777" w:rsidR="00CD6914" w:rsidRPr="00CD6914" w:rsidRDefault="00CD6914" w:rsidP="009F4F91"/>
    <w:p w14:paraId="39ACF706" w14:textId="77777777" w:rsidR="00CD6914" w:rsidRPr="00CD6914" w:rsidRDefault="009F4F91" w:rsidP="00791C11">
      <w:pPr>
        <w:pStyle w:val="ListParagraph"/>
        <w:numPr>
          <w:ilvl w:val="0"/>
          <w:numId w:val="26"/>
        </w:numPr>
      </w:pPr>
      <w:r w:rsidRPr="00CD6914">
        <w:t>economic structure of the corridor and broader region</w:t>
      </w:r>
    </w:p>
    <w:p w14:paraId="3B8D8343" w14:textId="77777777" w:rsidR="00CD6914" w:rsidRPr="00CD6914" w:rsidRDefault="009F4F91" w:rsidP="00791C11">
      <w:pPr>
        <w:pStyle w:val="ListParagraph"/>
        <w:numPr>
          <w:ilvl w:val="0"/>
          <w:numId w:val="26"/>
        </w:numPr>
      </w:pPr>
      <w:r w:rsidRPr="00CD6914">
        <w:t>impact of “averaging” of benefits along the corridor</w:t>
      </w:r>
    </w:p>
    <w:p w14:paraId="3EF17DBA" w14:textId="77777777" w:rsidR="00CD6914" w:rsidRPr="00CD6914" w:rsidRDefault="009F4F91" w:rsidP="00791C11">
      <w:pPr>
        <w:pStyle w:val="ListParagraph"/>
        <w:numPr>
          <w:ilvl w:val="0"/>
          <w:numId w:val="26"/>
        </w:numPr>
      </w:pPr>
      <w:r w:rsidRPr="00CD6914">
        <w:t>social attitudes towards light rail and higher density living</w:t>
      </w:r>
    </w:p>
    <w:p w14:paraId="517120FC" w14:textId="77777777" w:rsidR="00CD6914" w:rsidRPr="00CD6914" w:rsidRDefault="009F4F91" w:rsidP="00791C11">
      <w:pPr>
        <w:pStyle w:val="ListParagraph"/>
        <w:numPr>
          <w:ilvl w:val="0"/>
          <w:numId w:val="26"/>
        </w:numPr>
      </w:pPr>
      <w:r w:rsidRPr="00CD6914">
        <w:t>accessibility by other transport modes</w:t>
      </w:r>
    </w:p>
    <w:p w14:paraId="7C0B4A45" w14:textId="77777777" w:rsidR="009F4F91" w:rsidRPr="00CD6914" w:rsidRDefault="009F4F91" w:rsidP="00791C11">
      <w:pPr>
        <w:pStyle w:val="ListParagraph"/>
        <w:numPr>
          <w:ilvl w:val="0"/>
          <w:numId w:val="26"/>
        </w:numPr>
      </w:pPr>
      <w:r w:rsidRPr="00CD6914">
        <w:t xml:space="preserve">underlying fundamentals of the property market. </w:t>
      </w:r>
    </w:p>
    <w:p w14:paraId="582D3A64" w14:textId="77777777" w:rsidR="009F4F91" w:rsidRPr="00CD6914" w:rsidRDefault="009F4F91" w:rsidP="009F4F91"/>
    <w:p w14:paraId="5A25FBF2" w14:textId="77777777" w:rsidR="00CD6914" w:rsidRDefault="009F4F91" w:rsidP="009F4F91">
      <w:r w:rsidRPr="00CD6914">
        <w:t xml:space="preserve">The following </w:t>
      </w:r>
      <w:r w:rsidR="004177A0" w:rsidRPr="00CD6914">
        <w:t xml:space="preserve">case studies provide </w:t>
      </w:r>
      <w:r w:rsidR="00CD6914" w:rsidRPr="00CD6914">
        <w:t xml:space="preserve">more detailed </w:t>
      </w:r>
      <w:r w:rsidR="004177A0" w:rsidRPr="00CD6914">
        <w:t xml:space="preserve">evidence </w:t>
      </w:r>
      <w:r w:rsidR="00CD6914" w:rsidRPr="00CD6914">
        <w:t>of how</w:t>
      </w:r>
      <w:r w:rsidRPr="00CD6914">
        <w:t xml:space="preserve"> light rail </w:t>
      </w:r>
      <w:r w:rsidR="004177A0" w:rsidRPr="00CD6914">
        <w:t>increases property values</w:t>
      </w:r>
      <w:r w:rsidRPr="00CD6914">
        <w:t xml:space="preserve"> and therefore justifies the introduction of modest value capture mechanisms to </w:t>
      </w:r>
      <w:r w:rsidR="00CD6914" w:rsidRPr="00CD6914">
        <w:t xml:space="preserve">help </w:t>
      </w:r>
      <w:r w:rsidRPr="00CD6914">
        <w:t xml:space="preserve">fund new infrastructure. </w:t>
      </w:r>
    </w:p>
    <w:p w14:paraId="7E3F6926" w14:textId="77777777" w:rsidR="009F4F91" w:rsidRPr="00CF5B31" w:rsidRDefault="009F4F91" w:rsidP="009861AC">
      <w:pPr>
        <w:pStyle w:val="Heading2"/>
        <w:rPr>
          <w:lang w:val="en-AU"/>
        </w:rPr>
      </w:pPr>
      <w:bookmarkStart w:id="43" w:name="_Toc430896835"/>
      <w:r w:rsidRPr="00CF5B31">
        <w:rPr>
          <w:lang w:val="en-AU"/>
        </w:rPr>
        <w:t>Swanston Street, Melbourne</w:t>
      </w:r>
      <w:bookmarkEnd w:id="43"/>
    </w:p>
    <w:p w14:paraId="61B1C8C5" w14:textId="77777777" w:rsidR="009F4F91" w:rsidRDefault="009F4F91" w:rsidP="009F4F91">
      <w:r>
        <w:rPr>
          <w:noProof/>
          <w:lang w:val="en-US" w:eastAsia="en-US"/>
        </w:rPr>
        <w:drawing>
          <wp:anchor distT="0" distB="0" distL="114300" distR="114300" simplePos="0" relativeHeight="251662848" behindDoc="0" locked="0" layoutInCell="1" allowOverlap="1" wp14:anchorId="5EFB8D45" wp14:editId="73676C9A">
            <wp:simplePos x="0" y="0"/>
            <wp:positionH relativeFrom="column">
              <wp:posOffset>9525</wp:posOffset>
            </wp:positionH>
            <wp:positionV relativeFrom="paragraph">
              <wp:posOffset>480060</wp:posOffset>
            </wp:positionV>
            <wp:extent cx="3192780" cy="2259330"/>
            <wp:effectExtent l="19050" t="0" r="762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92780" cy="2259330"/>
                    </a:xfrm>
                    <a:prstGeom prst="rect">
                      <a:avLst/>
                    </a:prstGeom>
                    <a:noFill/>
                  </pic:spPr>
                </pic:pic>
              </a:graphicData>
            </a:graphic>
          </wp:anchor>
        </w:drawing>
      </w:r>
      <w:r>
        <w:t xml:space="preserve">Swanston Street in Melbourne stretches over approximately 1.2 kilometres from Franklin Street in the North of the CBD to Flinders Street in the South. Trams operating along the street allow customers to access the whole length of the strip with relative ease. The indicative size of Swanton Street, if it was measured as a “shopping centre”, is estimated to be around 130,000 sqm. This would make it amongst the largest shopping centres in Australia. </w:t>
      </w:r>
    </w:p>
    <w:p w14:paraId="7C70120B" w14:textId="77777777" w:rsidR="009F4F91" w:rsidRDefault="009F4F91" w:rsidP="009F4F91"/>
    <w:p w14:paraId="72712016" w14:textId="3A948979" w:rsidR="009F4F91" w:rsidRDefault="009F4F91" w:rsidP="009F4F91">
      <w:r>
        <w:t>In the last decade Swanston Street has boomed, mainly in Retail Trade, and Food and Beverage Services. The number of establishments, floor space and jobs has grown significantly in recent years and the vacancy rate has declined to a low level. The vacancy rate in Swanston Street has been consistently below the City of Melbourne average. I</w:t>
      </w:r>
      <w:r w:rsidR="002B3D16">
        <w:t>n</w:t>
      </w:r>
      <w:r>
        <w:t xml:space="preserve"> part this is attributable to the exposure provide by the trams operating along the street. </w:t>
      </w:r>
    </w:p>
    <w:p w14:paraId="78E8E200" w14:textId="30C67085" w:rsidR="009F4F91" w:rsidRDefault="009F4F91" w:rsidP="009F4F91">
      <w:pPr>
        <w:pStyle w:val="Caption"/>
      </w:pPr>
      <w:bookmarkStart w:id="44" w:name="_Toc430896544"/>
      <w:r>
        <w:t xml:space="preserve">Table </w:t>
      </w:r>
      <w:r>
        <w:fldChar w:fldCharType="begin"/>
      </w:r>
      <w:r>
        <w:instrText xml:space="preserve"> SEQ Table \* ARABIC </w:instrText>
      </w:r>
      <w:r>
        <w:fldChar w:fldCharType="separate"/>
      </w:r>
      <w:r w:rsidR="00184C79">
        <w:rPr>
          <w:noProof/>
        </w:rPr>
        <w:t>10</w:t>
      </w:r>
      <w:r>
        <w:fldChar w:fldCharType="end"/>
      </w:r>
      <w:r w:rsidR="00E82F86">
        <w:t xml:space="preserve">. </w:t>
      </w:r>
      <w:r>
        <w:t>Melbourne CBD retail Vacancy 2002-2008</w:t>
      </w:r>
      <w:bookmarkEnd w:id="44"/>
    </w:p>
    <w:tbl>
      <w:tblPr>
        <w:tblStyle w:val="GridTable4-Accent21"/>
        <w:tblW w:w="0" w:type="auto"/>
        <w:tblLook w:val="04A0" w:firstRow="1" w:lastRow="0" w:firstColumn="1" w:lastColumn="0" w:noHBand="0" w:noVBand="1"/>
      </w:tblPr>
      <w:tblGrid>
        <w:gridCol w:w="1789"/>
        <w:gridCol w:w="1417"/>
        <w:gridCol w:w="1417"/>
        <w:gridCol w:w="1417"/>
        <w:gridCol w:w="1417"/>
      </w:tblGrid>
      <w:tr w:rsidR="009F4F91" w:rsidRPr="00896C6F" w14:paraId="3475BE66"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tcBorders>
              <w:top w:val="none" w:sz="0" w:space="0" w:color="auto"/>
              <w:left w:val="none" w:sz="0" w:space="0" w:color="auto"/>
              <w:bottom w:val="none" w:sz="0" w:space="0" w:color="auto"/>
              <w:right w:val="none" w:sz="0" w:space="0" w:color="auto"/>
            </w:tcBorders>
          </w:tcPr>
          <w:p w14:paraId="19331D80" w14:textId="77777777" w:rsidR="009F4F91" w:rsidRPr="00896C6F" w:rsidRDefault="009F4F91" w:rsidP="006B6F31">
            <w:pPr>
              <w:pStyle w:val="Tablecolumnheading"/>
              <w:rPr>
                <w:b/>
                <w:color w:val="FFFFFF" w:themeColor="background1"/>
                <w:sz w:val="18"/>
                <w:szCs w:val="18"/>
              </w:rPr>
            </w:pPr>
            <w:r w:rsidRPr="00896C6F">
              <w:rPr>
                <w:b/>
                <w:color w:val="FFFFFF" w:themeColor="background1"/>
                <w:sz w:val="18"/>
                <w:szCs w:val="18"/>
              </w:rPr>
              <w:t>Precinct</w:t>
            </w:r>
          </w:p>
        </w:tc>
        <w:tc>
          <w:tcPr>
            <w:tcW w:w="1417" w:type="dxa"/>
            <w:tcBorders>
              <w:top w:val="none" w:sz="0" w:space="0" w:color="auto"/>
              <w:left w:val="none" w:sz="0" w:space="0" w:color="auto"/>
              <w:bottom w:val="none" w:sz="0" w:space="0" w:color="auto"/>
              <w:right w:val="none" w:sz="0" w:space="0" w:color="auto"/>
            </w:tcBorders>
          </w:tcPr>
          <w:p w14:paraId="58FF88F2" w14:textId="77777777" w:rsidR="009F4F91" w:rsidRPr="00896C6F" w:rsidRDefault="009F4F91" w:rsidP="006B6F31">
            <w:pPr>
              <w:pStyle w:val="Tablecolumnheading"/>
              <w:jc w:val="right"/>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2002</w:t>
            </w:r>
          </w:p>
        </w:tc>
        <w:tc>
          <w:tcPr>
            <w:tcW w:w="1417" w:type="dxa"/>
            <w:tcBorders>
              <w:top w:val="none" w:sz="0" w:space="0" w:color="auto"/>
              <w:left w:val="none" w:sz="0" w:space="0" w:color="auto"/>
              <w:bottom w:val="none" w:sz="0" w:space="0" w:color="auto"/>
              <w:right w:val="none" w:sz="0" w:space="0" w:color="auto"/>
            </w:tcBorders>
          </w:tcPr>
          <w:p w14:paraId="5E3596C3" w14:textId="77777777" w:rsidR="009F4F91" w:rsidRPr="00896C6F" w:rsidRDefault="009F4F91" w:rsidP="006B6F31">
            <w:pPr>
              <w:pStyle w:val="Tablecolumnheading"/>
              <w:jc w:val="right"/>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2004</w:t>
            </w:r>
          </w:p>
        </w:tc>
        <w:tc>
          <w:tcPr>
            <w:tcW w:w="1417" w:type="dxa"/>
            <w:tcBorders>
              <w:top w:val="none" w:sz="0" w:space="0" w:color="auto"/>
              <w:left w:val="none" w:sz="0" w:space="0" w:color="auto"/>
              <w:bottom w:val="none" w:sz="0" w:space="0" w:color="auto"/>
              <w:right w:val="none" w:sz="0" w:space="0" w:color="auto"/>
            </w:tcBorders>
          </w:tcPr>
          <w:p w14:paraId="48E5916E" w14:textId="77777777" w:rsidR="009F4F91" w:rsidRPr="00896C6F" w:rsidRDefault="009F4F91" w:rsidP="006B6F31">
            <w:pPr>
              <w:pStyle w:val="Tablecolumnheading"/>
              <w:jc w:val="right"/>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2006</w:t>
            </w:r>
          </w:p>
        </w:tc>
        <w:tc>
          <w:tcPr>
            <w:tcW w:w="1417" w:type="dxa"/>
            <w:tcBorders>
              <w:top w:val="none" w:sz="0" w:space="0" w:color="auto"/>
              <w:left w:val="none" w:sz="0" w:space="0" w:color="auto"/>
              <w:bottom w:val="none" w:sz="0" w:space="0" w:color="auto"/>
              <w:right w:val="none" w:sz="0" w:space="0" w:color="auto"/>
            </w:tcBorders>
          </w:tcPr>
          <w:p w14:paraId="2A08F397" w14:textId="77777777" w:rsidR="009F4F91" w:rsidRPr="00896C6F" w:rsidRDefault="009F4F91" w:rsidP="006B6F31">
            <w:pPr>
              <w:pStyle w:val="Tablecolumnheading"/>
              <w:jc w:val="right"/>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2008</w:t>
            </w:r>
          </w:p>
        </w:tc>
      </w:tr>
      <w:tr w:rsidR="009F4F91" w:rsidRPr="00896C6F" w14:paraId="4A9C8BFB" w14:textId="77777777" w:rsidTr="00896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789" w:type="dxa"/>
          </w:tcPr>
          <w:p w14:paraId="24162107" w14:textId="77777777" w:rsidR="009F4F91" w:rsidRPr="00896C6F" w:rsidRDefault="009F4F91" w:rsidP="006B6F31">
            <w:pPr>
              <w:keepNext/>
              <w:keepLines/>
              <w:rPr>
                <w:sz w:val="18"/>
                <w:szCs w:val="18"/>
              </w:rPr>
            </w:pPr>
            <w:r w:rsidRPr="00896C6F">
              <w:rPr>
                <w:sz w:val="18"/>
                <w:szCs w:val="18"/>
              </w:rPr>
              <w:t>Swanston Street</w:t>
            </w:r>
          </w:p>
        </w:tc>
        <w:tc>
          <w:tcPr>
            <w:tcW w:w="1417" w:type="dxa"/>
          </w:tcPr>
          <w:p w14:paraId="7FFDD870" w14:textId="77777777" w:rsidR="009F4F91" w:rsidRPr="00896C6F" w:rsidRDefault="009F4F91" w:rsidP="006B6F31">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14.3%</w:t>
            </w:r>
          </w:p>
        </w:tc>
        <w:tc>
          <w:tcPr>
            <w:tcW w:w="1417" w:type="dxa"/>
          </w:tcPr>
          <w:p w14:paraId="48654B28" w14:textId="77777777" w:rsidR="009F4F91" w:rsidRPr="00896C6F" w:rsidRDefault="009F4F91" w:rsidP="006B6F31">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18.2%</w:t>
            </w:r>
          </w:p>
        </w:tc>
        <w:tc>
          <w:tcPr>
            <w:tcW w:w="1417" w:type="dxa"/>
          </w:tcPr>
          <w:p w14:paraId="71010AC8" w14:textId="77777777" w:rsidR="009F4F91" w:rsidRPr="00896C6F" w:rsidRDefault="009F4F91" w:rsidP="006B6F31">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2.9%</w:t>
            </w:r>
          </w:p>
        </w:tc>
        <w:tc>
          <w:tcPr>
            <w:tcW w:w="1417" w:type="dxa"/>
          </w:tcPr>
          <w:p w14:paraId="50077EE9" w14:textId="77777777" w:rsidR="009F4F91" w:rsidRPr="00896C6F" w:rsidRDefault="009F4F91" w:rsidP="006B6F31">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2.8%</w:t>
            </w:r>
          </w:p>
        </w:tc>
      </w:tr>
      <w:tr w:rsidR="009F4F91" w:rsidRPr="00896C6F" w14:paraId="08F8A1A7" w14:textId="77777777" w:rsidTr="00896C6F">
        <w:trPr>
          <w:trHeight w:val="230"/>
        </w:trPr>
        <w:tc>
          <w:tcPr>
            <w:cnfStyle w:val="001000000000" w:firstRow="0" w:lastRow="0" w:firstColumn="1" w:lastColumn="0" w:oddVBand="0" w:evenVBand="0" w:oddHBand="0" w:evenHBand="0" w:firstRowFirstColumn="0" w:firstRowLastColumn="0" w:lastRowFirstColumn="0" w:lastRowLastColumn="0"/>
            <w:tcW w:w="1789" w:type="dxa"/>
          </w:tcPr>
          <w:p w14:paraId="72B30621" w14:textId="77777777" w:rsidR="009F4F91" w:rsidRPr="00896C6F" w:rsidRDefault="009F4F91" w:rsidP="006B6F31">
            <w:pPr>
              <w:keepNext/>
              <w:keepLines/>
              <w:rPr>
                <w:sz w:val="18"/>
                <w:szCs w:val="18"/>
              </w:rPr>
            </w:pPr>
            <w:r w:rsidRPr="00896C6F">
              <w:rPr>
                <w:sz w:val="18"/>
                <w:szCs w:val="18"/>
              </w:rPr>
              <w:t>City of Melbourne</w:t>
            </w:r>
          </w:p>
        </w:tc>
        <w:tc>
          <w:tcPr>
            <w:tcW w:w="1417" w:type="dxa"/>
          </w:tcPr>
          <w:p w14:paraId="58FF1A0C" w14:textId="77777777" w:rsidR="009F4F91" w:rsidRPr="00896C6F" w:rsidRDefault="009F4F91" w:rsidP="006B6F31">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8.4%</w:t>
            </w:r>
          </w:p>
        </w:tc>
        <w:tc>
          <w:tcPr>
            <w:tcW w:w="1417" w:type="dxa"/>
          </w:tcPr>
          <w:p w14:paraId="4D971427" w14:textId="77777777" w:rsidR="009F4F91" w:rsidRPr="00896C6F" w:rsidRDefault="009F4F91" w:rsidP="006B6F31">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7.3%</w:t>
            </w:r>
          </w:p>
        </w:tc>
        <w:tc>
          <w:tcPr>
            <w:tcW w:w="1417" w:type="dxa"/>
          </w:tcPr>
          <w:p w14:paraId="37ECF52F" w14:textId="77777777" w:rsidR="009F4F91" w:rsidRPr="00896C6F" w:rsidRDefault="009F4F91" w:rsidP="006B6F31">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6.9%</w:t>
            </w:r>
          </w:p>
        </w:tc>
        <w:tc>
          <w:tcPr>
            <w:tcW w:w="1417" w:type="dxa"/>
          </w:tcPr>
          <w:p w14:paraId="1886DDD3" w14:textId="77777777" w:rsidR="009F4F91" w:rsidRPr="00896C6F" w:rsidRDefault="009F4F91" w:rsidP="006B6F31">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7.2%</w:t>
            </w:r>
          </w:p>
        </w:tc>
      </w:tr>
    </w:tbl>
    <w:p w14:paraId="2A07DA6D" w14:textId="77777777" w:rsidR="009F4F91" w:rsidRPr="007C30F7" w:rsidRDefault="009F4F91" w:rsidP="009F4F91">
      <w:pPr>
        <w:pStyle w:val="TableSource0"/>
      </w:pPr>
      <w:r w:rsidRPr="007C30F7">
        <w:t>Source:</w:t>
      </w:r>
      <w:r>
        <w:t xml:space="preserve"> SGS Economics &amp; Planning</w:t>
      </w:r>
      <w:r w:rsidRPr="007C30F7">
        <w:t>,</w:t>
      </w:r>
      <w:r>
        <w:t xml:space="preserve"> 2013</w:t>
      </w:r>
    </w:p>
    <w:p w14:paraId="0A534498" w14:textId="77777777" w:rsidR="009F4F91" w:rsidRPr="00E0310E" w:rsidRDefault="009F4F91" w:rsidP="009F4F91"/>
    <w:p w14:paraId="377B2927" w14:textId="77777777" w:rsidR="009F4F91" w:rsidRDefault="009F4F91" w:rsidP="009F4F91">
      <w:r>
        <w:t xml:space="preserve">While vacancy rates have increased since 2008 owing to deteriorating consumer sentiment and a slowdown in consumer spending post GFC, Table 3 shows that the Swanston Street area vacancy rate is still nearly half that of the CBD core area. While trams also serve other major Melbourne CBD retail strips, </w:t>
      </w:r>
      <w:r>
        <w:lastRenderedPageBreak/>
        <w:t>including Elizabeth Street, Bourke Street, and Collins Street, the density of routes serving Swanston Street, and the pedestrianisation of the entire length of the street within the CBD area have bolstered the street’s prospects as a retail destination.</w:t>
      </w:r>
    </w:p>
    <w:p w14:paraId="477904B9" w14:textId="1EE485FC" w:rsidR="009F4F91" w:rsidRDefault="009F4F91" w:rsidP="009F4F91">
      <w:pPr>
        <w:pStyle w:val="Caption"/>
        <w:rPr>
          <w:b/>
        </w:rPr>
      </w:pPr>
      <w:bookmarkStart w:id="45" w:name="_Toc430896545"/>
      <w:r>
        <w:t xml:space="preserve">Table </w:t>
      </w:r>
      <w:r>
        <w:fldChar w:fldCharType="begin"/>
      </w:r>
      <w:r>
        <w:instrText xml:space="preserve"> SEQ Table \* ARABIC </w:instrText>
      </w:r>
      <w:r>
        <w:fldChar w:fldCharType="separate"/>
      </w:r>
      <w:r w:rsidR="00184C79">
        <w:rPr>
          <w:noProof/>
        </w:rPr>
        <w:t>11</w:t>
      </w:r>
      <w:r>
        <w:rPr>
          <w:noProof/>
        </w:rPr>
        <w:fldChar w:fldCharType="end"/>
      </w:r>
      <w:r w:rsidR="00E82F86">
        <w:t xml:space="preserve">. </w:t>
      </w:r>
      <w:r>
        <w:t>Melbourne CBD retail Vacancy Feb 2013</w:t>
      </w:r>
      <w:bookmarkEnd w:id="45"/>
    </w:p>
    <w:tbl>
      <w:tblPr>
        <w:tblStyle w:val="GridTable4-Accent21"/>
        <w:tblW w:w="0" w:type="auto"/>
        <w:tblLook w:val="04A0" w:firstRow="1" w:lastRow="0" w:firstColumn="1" w:lastColumn="0" w:noHBand="0" w:noVBand="1"/>
      </w:tblPr>
      <w:tblGrid>
        <w:gridCol w:w="1417"/>
        <w:gridCol w:w="1417"/>
        <w:gridCol w:w="1417"/>
        <w:gridCol w:w="1417"/>
      </w:tblGrid>
      <w:tr w:rsidR="009F4F91" w:rsidRPr="00896C6F" w14:paraId="12EBF3B3" w14:textId="77777777" w:rsidTr="00896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08B70613" w14:textId="77777777" w:rsidR="009F4F91" w:rsidRPr="00896C6F" w:rsidRDefault="009F4F91" w:rsidP="006B6F31">
            <w:pPr>
              <w:pStyle w:val="Tablecolumnheading"/>
              <w:rPr>
                <w:b/>
                <w:color w:val="FFFFFF" w:themeColor="background1"/>
                <w:sz w:val="18"/>
                <w:szCs w:val="18"/>
              </w:rPr>
            </w:pPr>
            <w:r w:rsidRPr="00896C6F">
              <w:rPr>
                <w:b/>
                <w:color w:val="FFFFFF" w:themeColor="background1"/>
                <w:sz w:val="18"/>
                <w:szCs w:val="18"/>
              </w:rPr>
              <w:t>Precinct</w:t>
            </w:r>
          </w:p>
        </w:tc>
        <w:tc>
          <w:tcPr>
            <w:tcW w:w="1417" w:type="dxa"/>
            <w:tcBorders>
              <w:top w:val="none" w:sz="0" w:space="0" w:color="auto"/>
              <w:left w:val="none" w:sz="0" w:space="0" w:color="auto"/>
              <w:bottom w:val="none" w:sz="0" w:space="0" w:color="auto"/>
              <w:right w:val="none" w:sz="0" w:space="0" w:color="auto"/>
            </w:tcBorders>
          </w:tcPr>
          <w:p w14:paraId="7070CAB6" w14:textId="77777777" w:rsidR="009F4F91" w:rsidRPr="00896C6F" w:rsidRDefault="009F4F91" w:rsidP="006B6F31">
            <w:pPr>
              <w:pStyle w:val="Tablecolumnheading"/>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Shops(no)</w:t>
            </w:r>
          </w:p>
        </w:tc>
        <w:tc>
          <w:tcPr>
            <w:tcW w:w="1417" w:type="dxa"/>
            <w:tcBorders>
              <w:top w:val="none" w:sz="0" w:space="0" w:color="auto"/>
              <w:left w:val="none" w:sz="0" w:space="0" w:color="auto"/>
              <w:bottom w:val="none" w:sz="0" w:space="0" w:color="auto"/>
              <w:right w:val="none" w:sz="0" w:space="0" w:color="auto"/>
            </w:tcBorders>
          </w:tcPr>
          <w:p w14:paraId="321D90B8" w14:textId="77777777" w:rsidR="009F4F91" w:rsidRPr="00896C6F" w:rsidRDefault="009F4F91" w:rsidP="006B6F31">
            <w:pPr>
              <w:pStyle w:val="Tablecolumnheading"/>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Vacancy (no)</w:t>
            </w:r>
          </w:p>
        </w:tc>
        <w:tc>
          <w:tcPr>
            <w:tcW w:w="1417" w:type="dxa"/>
            <w:tcBorders>
              <w:top w:val="none" w:sz="0" w:space="0" w:color="auto"/>
              <w:left w:val="none" w:sz="0" w:space="0" w:color="auto"/>
              <w:bottom w:val="none" w:sz="0" w:space="0" w:color="auto"/>
              <w:right w:val="none" w:sz="0" w:space="0" w:color="auto"/>
            </w:tcBorders>
          </w:tcPr>
          <w:p w14:paraId="3345AC33" w14:textId="77777777" w:rsidR="009F4F91" w:rsidRPr="00896C6F" w:rsidRDefault="009F4F91" w:rsidP="006B6F31">
            <w:pPr>
              <w:pStyle w:val="Tablecolumnheading"/>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896C6F">
              <w:rPr>
                <w:b/>
                <w:color w:val="FFFFFF" w:themeColor="background1"/>
                <w:sz w:val="18"/>
                <w:szCs w:val="18"/>
              </w:rPr>
              <w:t>Vacancy (%)</w:t>
            </w:r>
          </w:p>
        </w:tc>
      </w:tr>
      <w:tr w:rsidR="009F4F91" w:rsidRPr="00896C6F" w14:paraId="0DBFBF82" w14:textId="77777777" w:rsidTr="00896C6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17" w:type="dxa"/>
          </w:tcPr>
          <w:p w14:paraId="00F0E556" w14:textId="77777777" w:rsidR="009F4F91" w:rsidRPr="00896C6F" w:rsidRDefault="009F4F91" w:rsidP="006B6F31">
            <w:pPr>
              <w:keepNext/>
              <w:keepLines/>
              <w:rPr>
                <w:sz w:val="18"/>
                <w:szCs w:val="18"/>
              </w:rPr>
            </w:pPr>
            <w:r w:rsidRPr="00896C6F">
              <w:rPr>
                <w:sz w:val="18"/>
                <w:szCs w:val="18"/>
              </w:rPr>
              <w:t>Swanston Walk</w:t>
            </w:r>
          </w:p>
        </w:tc>
        <w:tc>
          <w:tcPr>
            <w:tcW w:w="1417" w:type="dxa"/>
          </w:tcPr>
          <w:p w14:paraId="349AB669"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315</w:t>
            </w:r>
          </w:p>
        </w:tc>
        <w:tc>
          <w:tcPr>
            <w:tcW w:w="1417" w:type="dxa"/>
          </w:tcPr>
          <w:p w14:paraId="2E54AD64"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14</w:t>
            </w:r>
          </w:p>
        </w:tc>
        <w:tc>
          <w:tcPr>
            <w:tcW w:w="1417" w:type="dxa"/>
          </w:tcPr>
          <w:p w14:paraId="018CB31B"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4.4</w:t>
            </w:r>
          </w:p>
        </w:tc>
      </w:tr>
      <w:tr w:rsidR="009F4F91" w:rsidRPr="00896C6F" w14:paraId="5E3D92AD" w14:textId="77777777" w:rsidTr="00896C6F">
        <w:trPr>
          <w:trHeight w:val="230"/>
        </w:trPr>
        <w:tc>
          <w:tcPr>
            <w:cnfStyle w:val="001000000000" w:firstRow="0" w:lastRow="0" w:firstColumn="1" w:lastColumn="0" w:oddVBand="0" w:evenVBand="0" w:oddHBand="0" w:evenHBand="0" w:firstRowFirstColumn="0" w:firstRowLastColumn="0" w:lastRowFirstColumn="0" w:lastRowLastColumn="0"/>
            <w:tcW w:w="1417" w:type="dxa"/>
          </w:tcPr>
          <w:p w14:paraId="10228BE6" w14:textId="77777777" w:rsidR="009F4F91" w:rsidRPr="00896C6F" w:rsidRDefault="009F4F91" w:rsidP="006B6F31">
            <w:pPr>
              <w:keepNext/>
              <w:keepLines/>
              <w:rPr>
                <w:sz w:val="18"/>
                <w:szCs w:val="18"/>
              </w:rPr>
            </w:pPr>
            <w:r w:rsidRPr="00896C6F">
              <w:rPr>
                <w:sz w:val="18"/>
                <w:szCs w:val="18"/>
              </w:rPr>
              <w:t>CBD Core</w:t>
            </w:r>
          </w:p>
        </w:tc>
        <w:tc>
          <w:tcPr>
            <w:tcW w:w="1417" w:type="dxa"/>
          </w:tcPr>
          <w:p w14:paraId="185DBD97"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832</w:t>
            </w:r>
          </w:p>
        </w:tc>
        <w:tc>
          <w:tcPr>
            <w:tcW w:w="1417" w:type="dxa"/>
          </w:tcPr>
          <w:p w14:paraId="5F3F04D3"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69</w:t>
            </w:r>
          </w:p>
        </w:tc>
        <w:tc>
          <w:tcPr>
            <w:tcW w:w="1417" w:type="dxa"/>
          </w:tcPr>
          <w:p w14:paraId="0FA8EA9F" w14:textId="77777777" w:rsidR="009F4F91" w:rsidRPr="00896C6F" w:rsidRDefault="009F4F91" w:rsidP="006B6F31">
            <w:pPr>
              <w:keepNext/>
              <w:keepLines/>
              <w:jc w:val="center"/>
              <w:cnfStyle w:val="000000000000" w:firstRow="0" w:lastRow="0" w:firstColumn="0" w:lastColumn="0" w:oddVBand="0" w:evenVBand="0" w:oddHBand="0" w:evenHBand="0" w:firstRowFirstColumn="0" w:firstRowLastColumn="0" w:lastRowFirstColumn="0" w:lastRowLastColumn="0"/>
              <w:rPr>
                <w:sz w:val="18"/>
                <w:szCs w:val="18"/>
              </w:rPr>
            </w:pPr>
            <w:r w:rsidRPr="00896C6F">
              <w:rPr>
                <w:sz w:val="18"/>
                <w:szCs w:val="18"/>
              </w:rPr>
              <w:t>8.3</w:t>
            </w:r>
          </w:p>
        </w:tc>
      </w:tr>
      <w:tr w:rsidR="009F4F91" w:rsidRPr="00896C6F" w14:paraId="222E2695" w14:textId="77777777" w:rsidTr="00896C6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17" w:type="dxa"/>
          </w:tcPr>
          <w:p w14:paraId="7B30EA89" w14:textId="77777777" w:rsidR="009F4F91" w:rsidRPr="00896C6F" w:rsidRDefault="009F4F91" w:rsidP="006B6F31">
            <w:pPr>
              <w:keepNext/>
              <w:keepLines/>
              <w:rPr>
                <w:sz w:val="18"/>
                <w:szCs w:val="18"/>
              </w:rPr>
            </w:pPr>
            <w:r w:rsidRPr="00896C6F">
              <w:rPr>
                <w:sz w:val="18"/>
                <w:szCs w:val="18"/>
              </w:rPr>
              <w:t>Total</w:t>
            </w:r>
          </w:p>
        </w:tc>
        <w:tc>
          <w:tcPr>
            <w:tcW w:w="1417" w:type="dxa"/>
          </w:tcPr>
          <w:p w14:paraId="1EA274FF"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1,147</w:t>
            </w:r>
          </w:p>
        </w:tc>
        <w:tc>
          <w:tcPr>
            <w:tcW w:w="1417" w:type="dxa"/>
          </w:tcPr>
          <w:p w14:paraId="596F0B6A"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83</w:t>
            </w:r>
          </w:p>
        </w:tc>
        <w:tc>
          <w:tcPr>
            <w:tcW w:w="1417" w:type="dxa"/>
          </w:tcPr>
          <w:p w14:paraId="1415C4DE" w14:textId="77777777" w:rsidR="009F4F91" w:rsidRPr="00896C6F" w:rsidRDefault="009F4F91" w:rsidP="006B6F31">
            <w:pPr>
              <w:keepNext/>
              <w:keepLines/>
              <w:jc w:val="center"/>
              <w:cnfStyle w:val="000000100000" w:firstRow="0" w:lastRow="0" w:firstColumn="0" w:lastColumn="0" w:oddVBand="0" w:evenVBand="0" w:oddHBand="1" w:evenHBand="0" w:firstRowFirstColumn="0" w:firstRowLastColumn="0" w:lastRowFirstColumn="0" w:lastRowLastColumn="0"/>
              <w:rPr>
                <w:sz w:val="18"/>
                <w:szCs w:val="18"/>
              </w:rPr>
            </w:pPr>
            <w:r w:rsidRPr="00896C6F">
              <w:rPr>
                <w:sz w:val="18"/>
                <w:szCs w:val="18"/>
              </w:rPr>
              <w:t>7.2</w:t>
            </w:r>
          </w:p>
        </w:tc>
      </w:tr>
    </w:tbl>
    <w:p w14:paraId="3B5F7F98" w14:textId="77777777" w:rsidR="009F4F91" w:rsidRPr="007C30F7" w:rsidRDefault="009F4F91" w:rsidP="009F4F91">
      <w:pPr>
        <w:pStyle w:val="TableSource0"/>
      </w:pPr>
      <w:r w:rsidRPr="007C30F7">
        <w:t>Source:</w:t>
      </w:r>
      <w:r>
        <w:t xml:space="preserve"> Savills Research</w:t>
      </w:r>
      <w:r w:rsidRPr="007C30F7">
        <w:t>,</w:t>
      </w:r>
      <w:r>
        <w:t xml:space="preserve"> 2013</w:t>
      </w:r>
    </w:p>
    <w:p w14:paraId="59AEBA04" w14:textId="77777777" w:rsidR="009F4F91" w:rsidRDefault="009F4F91" w:rsidP="009F4F91"/>
    <w:p w14:paraId="1F231674" w14:textId="77777777" w:rsidR="009F4F91" w:rsidRDefault="009F4F91" w:rsidP="009861AC">
      <w:pPr>
        <w:pStyle w:val="Heading2"/>
        <w:rPr>
          <w:lang w:val="en-AU"/>
        </w:rPr>
      </w:pPr>
      <w:bookmarkStart w:id="46" w:name="_Toc430896836"/>
      <w:r>
        <w:rPr>
          <w:lang w:val="en-AU"/>
        </w:rPr>
        <w:t>London Docklands Light Rail</w:t>
      </w:r>
      <w:bookmarkEnd w:id="46"/>
    </w:p>
    <w:p w14:paraId="2021224E" w14:textId="77777777" w:rsidR="009F4F91" w:rsidRDefault="009F4F91" w:rsidP="009F4F91">
      <w:pPr>
        <w:rPr>
          <w:b/>
        </w:rPr>
      </w:pPr>
      <w:r w:rsidRPr="00D95BF5">
        <w:t xml:space="preserve">The London Docklands </w:t>
      </w:r>
      <w:r>
        <w:t>was an urban renewal area which lacked sufficient accessibility to the existing London CBD. Light rail has enhanced transport links but also helped to attracted new investment into Docklands.</w:t>
      </w:r>
      <w:r>
        <w:rPr>
          <w:b/>
        </w:rPr>
        <w:t xml:space="preserve"> </w:t>
      </w:r>
    </w:p>
    <w:p w14:paraId="322DCCB9" w14:textId="77777777" w:rsidR="009F4F91" w:rsidRDefault="009F4F91" w:rsidP="009F4F91"/>
    <w:p w14:paraId="2213AC80" w14:textId="77777777" w:rsidR="009F4F91" w:rsidRPr="0037228A" w:rsidRDefault="009F4F91" w:rsidP="009F4F91">
      <w:r w:rsidRPr="007F1302">
        <w:t xml:space="preserve">The </w:t>
      </w:r>
      <w:r>
        <w:t xml:space="preserve">City of London was a rich jurisdiction with leading global financial and professional services while the Docklands was historically home to industrial activities centred </w:t>
      </w:r>
      <w:r w:rsidR="00ED461A">
        <w:t>on</w:t>
      </w:r>
      <w:r>
        <w:t xml:space="preserve"> London’s docks. The docks were obsolete due to the transition to container shipping, and were closed during the 1970s leaving over 2,000 hectares of vacant industrial land to the East of the Square Mile.</w:t>
      </w:r>
      <w:r>
        <w:rPr>
          <w:b/>
        </w:rPr>
        <w:t xml:space="preserve"> </w:t>
      </w:r>
      <w:r w:rsidRPr="00213B6C">
        <w:t xml:space="preserve">The </w:t>
      </w:r>
      <w:r>
        <w:t xml:space="preserve">provision of </w:t>
      </w:r>
      <w:r w:rsidRPr="00213B6C">
        <w:t xml:space="preserve">transport </w:t>
      </w:r>
      <w:r w:rsidRPr="005D5AA1">
        <w:t>infrastructure</w:t>
      </w:r>
      <w:r w:rsidRPr="00213B6C">
        <w:t xml:space="preserve"> </w:t>
      </w:r>
      <w:r>
        <w:t>formed a clear part of the overall precinct r</w:t>
      </w:r>
      <w:r w:rsidRPr="005D5AA1">
        <w:t>egeneration strategy</w:t>
      </w:r>
      <w:r>
        <w:t xml:space="preserve">. The development of the Docklands Light Rail (DLR) boosted connectivity between the London financial district and Docklands. This sent a clear signal to the property market of government intentions in the area. The project commenced in the 1980s with subsequent extensions over the next twenty years. </w:t>
      </w:r>
    </w:p>
    <w:p w14:paraId="67CD756D" w14:textId="77777777" w:rsidR="009F4F91" w:rsidRDefault="009F4F91" w:rsidP="009F4F91">
      <w:pPr>
        <w:rPr>
          <w:b/>
        </w:rPr>
      </w:pPr>
    </w:p>
    <w:p w14:paraId="501EC903" w14:textId="77777777" w:rsidR="00094C7E" w:rsidRDefault="009F4F91" w:rsidP="009F4F91">
      <w:r w:rsidRPr="00596424">
        <w:t>Prior to the development of the DLR</w:t>
      </w:r>
      <w:r>
        <w:t>,</w:t>
      </w:r>
      <w:r>
        <w:rPr>
          <w:b/>
        </w:rPr>
        <w:t xml:space="preserve"> </w:t>
      </w:r>
      <w:r w:rsidRPr="0037228A">
        <w:t xml:space="preserve">a bus service </w:t>
      </w:r>
      <w:r>
        <w:t xml:space="preserve">was mooted as </w:t>
      </w:r>
      <w:r w:rsidRPr="0037228A">
        <w:t>be</w:t>
      </w:r>
      <w:r>
        <w:t>ing</w:t>
      </w:r>
      <w:r w:rsidRPr="0037228A">
        <w:t xml:space="preserve"> sufficient</w:t>
      </w:r>
      <w:r>
        <w:t xml:space="preserve"> to serve the needs of the Docklands regeneration</w:t>
      </w:r>
      <w:r w:rsidRPr="0037228A">
        <w:t xml:space="preserve">. However, a fixed track system </w:t>
      </w:r>
      <w:r>
        <w:t xml:space="preserve">was recognised as </w:t>
      </w:r>
      <w:r w:rsidRPr="0037228A">
        <w:t>provid</w:t>
      </w:r>
      <w:r>
        <w:t xml:space="preserve">ing higher service levels </w:t>
      </w:r>
      <w:r w:rsidRPr="0037228A">
        <w:t xml:space="preserve">and </w:t>
      </w:r>
      <w:r>
        <w:t>serving as</w:t>
      </w:r>
      <w:r w:rsidRPr="0037228A">
        <w:t xml:space="preserve"> a greater </w:t>
      </w:r>
      <w:r>
        <w:t xml:space="preserve">indicator of government confidence in the precinct </w:t>
      </w:r>
      <w:r w:rsidRPr="0037228A">
        <w:t>regeneration strategy.</w:t>
      </w:r>
      <w:r w:rsidRPr="007F1302">
        <w:rPr>
          <w:vertAlign w:val="superscript"/>
        </w:rPr>
        <w:footnoteReference w:id="2"/>
      </w:r>
      <w:r w:rsidRPr="0037228A">
        <w:t xml:space="preserve"> </w:t>
      </w:r>
      <w:r>
        <w:t>M</w:t>
      </w:r>
      <w:r w:rsidRPr="0037228A">
        <w:t>ost of the</w:t>
      </w:r>
      <w:r>
        <w:t xml:space="preserve"> present day docklands developments </w:t>
      </w:r>
      <w:r w:rsidRPr="0037228A">
        <w:t xml:space="preserve">were not planned when the </w:t>
      </w:r>
      <w:r>
        <w:t xml:space="preserve">light </w:t>
      </w:r>
      <w:r w:rsidRPr="0037228A">
        <w:t>rail system was designed</w:t>
      </w:r>
      <w:r>
        <w:t xml:space="preserve"> and the system has reached 100% capacity, prompting the need for additional transport infrastructure investment in the form of the extension to the Jubilee Line, which opened in 1999 linking Canary Wharf and beyond to London’s West End</w:t>
      </w:r>
      <w:r w:rsidRPr="0037228A">
        <w:t xml:space="preserve">. Today the </w:t>
      </w:r>
      <w:r>
        <w:t>DLR itself</w:t>
      </w:r>
      <w:r w:rsidRPr="0037228A">
        <w:t xml:space="preserve"> has been expanded to include </w:t>
      </w:r>
      <w:r>
        <w:t>four</w:t>
      </w:r>
      <w:r w:rsidRPr="0037228A">
        <w:t xml:space="preserve"> other routes, not including the original Canary Wharf</w:t>
      </w:r>
      <w:r>
        <w:t xml:space="preserve"> line</w:t>
      </w:r>
      <w:r w:rsidRPr="0037228A">
        <w:t xml:space="preserve">. </w:t>
      </w:r>
    </w:p>
    <w:p w14:paraId="48125FF1" w14:textId="77777777" w:rsidR="009F4F91" w:rsidRDefault="009F4F91" w:rsidP="009F4F91">
      <w:pPr>
        <w:rPr>
          <w:lang w:val="en-AU"/>
        </w:rPr>
      </w:pPr>
    </w:p>
    <w:p w14:paraId="03F770F4" w14:textId="77777777" w:rsidR="009F4F91" w:rsidRDefault="009F4F91" w:rsidP="009F4F91">
      <w:r>
        <w:t>Light rail</w:t>
      </w:r>
      <w:r w:rsidRPr="0037228A">
        <w:t xml:space="preserve"> </w:t>
      </w:r>
      <w:r w:rsidR="00FD0D64">
        <w:t>has</w:t>
      </w:r>
      <w:r w:rsidRPr="0037228A">
        <w:t xml:space="preserve"> sparked the development of large-scale office properties that now populate the area.</w:t>
      </w:r>
      <w:r w:rsidRPr="007F1302">
        <w:rPr>
          <w:vertAlign w:val="superscript"/>
        </w:rPr>
        <w:footnoteReference w:id="3"/>
      </w:r>
      <w:r w:rsidRPr="0037228A">
        <w:t xml:space="preserve"> This was driven by the increased accessibility of the Docklands which reduced its economic isolation from the rest of London. With this new found accessibility, the area was able to leverage its rental rates competitiveness to induce property investment. Continued demand for office space in the Docklands area has </w:t>
      </w:r>
      <w:r>
        <w:t xml:space="preserve">reduced </w:t>
      </w:r>
      <w:r w:rsidRPr="0037228A">
        <w:t xml:space="preserve">the land price discrepancy between London’s </w:t>
      </w:r>
      <w:r>
        <w:t>Square Mile</w:t>
      </w:r>
      <w:r w:rsidRPr="0037228A">
        <w:t xml:space="preserve"> and Docklands. Canary Wharf </w:t>
      </w:r>
      <w:r>
        <w:t xml:space="preserve">has become </w:t>
      </w:r>
      <w:r w:rsidRPr="0037228A">
        <w:t xml:space="preserve">home to some of the world’s most prominent </w:t>
      </w:r>
      <w:r>
        <w:t xml:space="preserve">financial services </w:t>
      </w:r>
      <w:r w:rsidRPr="0037228A">
        <w:t>companies, such as HSBC, Citigroup, Barclays</w:t>
      </w:r>
      <w:r>
        <w:t xml:space="preserve"> </w:t>
      </w:r>
      <w:r w:rsidRPr="0037228A">
        <w:t>and Reuters.</w:t>
      </w:r>
      <w:r>
        <w:t xml:space="preserve"> </w:t>
      </w:r>
    </w:p>
    <w:p w14:paraId="46B4F04C" w14:textId="77777777" w:rsidR="009F4F91" w:rsidRDefault="009F4F91" w:rsidP="009F4F91"/>
    <w:p w14:paraId="26735B2B" w14:textId="77777777" w:rsidR="009F4F91" w:rsidRDefault="009F4F91" w:rsidP="009F4F91">
      <w:r w:rsidRPr="0037228A">
        <w:t>Today the Docklands is home to around 2,700 businesses.</w:t>
      </w:r>
      <w:r w:rsidRPr="007F1302">
        <w:rPr>
          <w:vertAlign w:val="superscript"/>
        </w:rPr>
        <w:footnoteReference w:id="4"/>
      </w:r>
      <w:r w:rsidRPr="0037228A">
        <w:t xml:space="preserve"> This signifies another flow-on effect – job growth. </w:t>
      </w:r>
    </w:p>
    <w:p w14:paraId="327D4601" w14:textId="77777777" w:rsidR="009F4F91" w:rsidRDefault="009F4F91" w:rsidP="009F4F91"/>
    <w:p w14:paraId="0AF375D9" w14:textId="61C7FBBE" w:rsidR="009F4F91" w:rsidRDefault="009F4F91" w:rsidP="009F4F91">
      <w:r w:rsidRPr="0037228A">
        <w:t xml:space="preserve">This has helped strengthen the value chain of small sole trader firms and large global corporations. By welcoming global corporations, it is clear that the labour productivity of the region has grown dramatically. </w:t>
      </w:r>
      <w:r w:rsidRPr="0037228A">
        <w:lastRenderedPageBreak/>
        <w:t xml:space="preserve">Agglomeration economies have brought further economic activity to the area. The project has </w:t>
      </w:r>
      <w:r w:rsidR="00503087">
        <w:t>aided</w:t>
      </w:r>
      <w:r w:rsidRPr="0037228A">
        <w:t xml:space="preserve"> Dockland’s </w:t>
      </w:r>
      <w:r w:rsidR="008F2B77">
        <w:t>ability</w:t>
      </w:r>
      <w:r w:rsidR="008F2B77" w:rsidRPr="0037228A">
        <w:t xml:space="preserve"> </w:t>
      </w:r>
      <w:r w:rsidRPr="0037228A">
        <w:t>to catch-up with the rest of the London economy.</w:t>
      </w:r>
    </w:p>
    <w:p w14:paraId="38FCC55F" w14:textId="77777777" w:rsidR="009F4F91" w:rsidRPr="006232EB" w:rsidRDefault="009F4F91" w:rsidP="009F4F91"/>
    <w:p w14:paraId="542CA88C" w14:textId="77777777" w:rsidR="009F4F91" w:rsidRDefault="009F4F91" w:rsidP="009F4F91">
      <w:r w:rsidRPr="0037228A">
        <w:t xml:space="preserve">With such economic activity occurring, it is natural for residential property to start booming. </w:t>
      </w:r>
    </w:p>
    <w:p w14:paraId="504AF74C" w14:textId="77777777" w:rsidR="009F4F91" w:rsidRDefault="009F4F91" w:rsidP="009F4F91"/>
    <w:p w14:paraId="66FE02C9" w14:textId="77777777" w:rsidR="009F4F91" w:rsidRPr="0037228A" w:rsidRDefault="009F4F91" w:rsidP="009F4F91">
      <w:r w:rsidRPr="0037228A">
        <w:t>In 1981</w:t>
      </w:r>
      <w:r>
        <w:t>,</w:t>
      </w:r>
      <w:r w:rsidRPr="0037228A">
        <w:t xml:space="preserve"> 95% of the housing </w:t>
      </w:r>
      <w:r>
        <w:t xml:space="preserve">in Docklands </w:t>
      </w:r>
      <w:r w:rsidRPr="0037228A">
        <w:t>was social housing. Today the area is characterized by growing private housing</w:t>
      </w:r>
      <w:r>
        <w:t xml:space="preserve"> with</w:t>
      </w:r>
      <w:r w:rsidRPr="0037228A">
        <w:t xml:space="preserve"> 24,046 new homes built</w:t>
      </w:r>
      <w:r w:rsidRPr="00241B6E">
        <w:t xml:space="preserve"> </w:t>
      </w:r>
      <w:r w:rsidRPr="0037228A">
        <w:t xml:space="preserve">between 1981 and 1998. </w:t>
      </w:r>
      <w:r w:rsidRPr="007F1302">
        <w:rPr>
          <w:vertAlign w:val="superscript"/>
        </w:rPr>
        <w:footnoteReference w:id="5"/>
      </w:r>
      <w:r w:rsidRPr="0037228A">
        <w:t xml:space="preserve"> Furthermore, 11 new primary schools, </w:t>
      </w:r>
      <w:r>
        <w:t>two</w:t>
      </w:r>
      <w:r w:rsidRPr="0037228A">
        <w:t xml:space="preserve"> secondary schools, and several post-high school education institutions have been established. This has greatly improved the human capital accumulation. This is not say that the all these education investments came as a result of the DLR, but it is to that the rejuvenation process was boosted significantly by the DLR.</w:t>
      </w:r>
    </w:p>
    <w:p w14:paraId="39BDD39A" w14:textId="77777777" w:rsidR="009F4F91" w:rsidRDefault="009F4F91" w:rsidP="009F4F91"/>
    <w:p w14:paraId="426B9B14" w14:textId="77777777" w:rsidR="004639D9" w:rsidRPr="00FD15DA" w:rsidRDefault="004639D9" w:rsidP="009861AC">
      <w:pPr>
        <w:pStyle w:val="Heading2"/>
        <w:numPr>
          <w:ilvl w:val="1"/>
          <w:numId w:val="57"/>
        </w:numPr>
        <w:rPr>
          <w:lang w:val="en-AU"/>
        </w:rPr>
      </w:pPr>
      <w:bookmarkStart w:id="47" w:name="_Toc430896837"/>
      <w:r w:rsidRPr="009861AC">
        <w:rPr>
          <w:lang w:val="en-AU"/>
        </w:rPr>
        <w:t>Conclusion</w:t>
      </w:r>
      <w:bookmarkEnd w:id="47"/>
    </w:p>
    <w:p w14:paraId="5CD89136" w14:textId="77777777" w:rsidR="002D728B" w:rsidRDefault="002D728B" w:rsidP="002D728B">
      <w:r w:rsidRPr="006B18AE">
        <w:t xml:space="preserve">A clear prerequisite for a value capture strategy is that there </w:t>
      </w:r>
      <w:r>
        <w:t>must be</w:t>
      </w:r>
      <w:r w:rsidRPr="006B18AE">
        <w:t xml:space="preserve"> value to be captured</w:t>
      </w:r>
      <w:r>
        <w:t>. Uplift in property values from new public transport infrastructure is the core principle behind value capture. There is clear evidence that new public transport infrastructure does, under the right circumstances, create high uplifts in property values as the examples in Section 4 of this report demonstrate. Value capture is likely to be most successful in key capital cities such as Sydney, Melbourne, Brisbane and Perth where demographics trends and economic growth outlook are strongest to support long term property value appreciation.</w:t>
      </w:r>
    </w:p>
    <w:p w14:paraId="0D417880" w14:textId="77777777" w:rsidR="00E556F1" w:rsidRDefault="00E556F1" w:rsidP="00E556F1"/>
    <w:p w14:paraId="352929D4" w14:textId="27034D4E" w:rsidR="004639D9" w:rsidRDefault="00E83F33" w:rsidP="009F4F91">
      <w:r>
        <w:t xml:space="preserve">This section provides conclusive evidence of the extent of an uplift in property values from well-located new public transport </w:t>
      </w:r>
      <w:r w:rsidR="00E556F1">
        <w:t>infrastructure</w:t>
      </w:r>
      <w:r>
        <w:t>.</w:t>
      </w:r>
    </w:p>
    <w:p w14:paraId="10CF5F6E" w14:textId="77777777" w:rsidR="00E556F1" w:rsidRDefault="00E556F1" w:rsidP="009F4F91"/>
    <w:p w14:paraId="6D3D561F" w14:textId="77777777" w:rsidR="00E556F1" w:rsidRDefault="00E556F1" w:rsidP="009F4F91"/>
    <w:p w14:paraId="07368282" w14:textId="77777777" w:rsidR="00045F67" w:rsidRDefault="00D870E9" w:rsidP="00045F67">
      <w:pPr>
        <w:pStyle w:val="Heading1"/>
      </w:pPr>
      <w:bookmarkStart w:id="48" w:name="_Toc430896838"/>
      <w:r>
        <w:lastRenderedPageBreak/>
        <w:t xml:space="preserve">value capture - </w:t>
      </w:r>
      <w:r w:rsidR="009A5B2D">
        <w:t>case studies</w:t>
      </w:r>
      <w:bookmarkEnd w:id="48"/>
      <w:r w:rsidR="009A5B2D">
        <w:t xml:space="preserve"> </w:t>
      </w:r>
    </w:p>
    <w:p w14:paraId="51397C8F" w14:textId="77777777" w:rsidR="00F07ABD" w:rsidRDefault="00EC7140" w:rsidP="00F035AE">
      <w:r>
        <w:t>Value capture is an established form of public transport infrastructure funding globally. However, t</w:t>
      </w:r>
      <w:r w:rsidR="00692610">
        <w:t>here has been limited application of value capture mechanisms in Australia. The case studies that do exist vary substantially in terms of structure and governance. This section profiles</w:t>
      </w:r>
      <w:r>
        <w:t xml:space="preserve"> global and </w:t>
      </w:r>
      <w:r w:rsidR="00692610">
        <w:t xml:space="preserve">Australian </w:t>
      </w:r>
      <w:r>
        <w:t>case studies</w:t>
      </w:r>
      <w:r w:rsidR="00692610">
        <w:t>.</w:t>
      </w:r>
    </w:p>
    <w:p w14:paraId="256C50CB" w14:textId="77777777" w:rsidR="00931600" w:rsidRDefault="00931600" w:rsidP="009861AC">
      <w:pPr>
        <w:pStyle w:val="Heading2"/>
      </w:pPr>
      <w:bookmarkStart w:id="49" w:name="_Toc430896839"/>
      <w:r>
        <w:t>Economic Benefits of New Public Transport Infrastructure</w:t>
      </w:r>
      <w:bookmarkEnd w:id="49"/>
    </w:p>
    <w:p w14:paraId="4764433A" w14:textId="77777777" w:rsidR="004E5699" w:rsidRPr="00896C6F" w:rsidRDefault="004E5699" w:rsidP="00896C6F">
      <w:r w:rsidRPr="00896C6F">
        <w:t xml:space="preserve">The economic benefit derived from new public transport infrastructure is high. A recent study by the Australian Bureau of Infrastructure, Transport and Regional Economics (BITRE) estimated that public investment in 128 </w:t>
      </w:r>
      <w:r w:rsidR="00931600" w:rsidRPr="00896C6F">
        <w:t>transport</w:t>
      </w:r>
      <w:r w:rsidRPr="00896C6F">
        <w:t xml:space="preserve"> projects in Australia had returned $2.65 for every $1 invested and had a present value of net benefits of $62 billion.</w:t>
      </w:r>
    </w:p>
    <w:p w14:paraId="6C73ECD9" w14:textId="77777777" w:rsidR="0042656F" w:rsidRPr="00896C6F" w:rsidRDefault="0042656F" w:rsidP="00896C6F"/>
    <w:p w14:paraId="36522670" w14:textId="77777777" w:rsidR="000E6890" w:rsidRPr="00896C6F" w:rsidRDefault="0042656F" w:rsidP="00896C6F">
      <w:r w:rsidRPr="00896C6F">
        <w:t xml:space="preserve">The UK National Audit Office General audited the Crossrail project in 2014. It found that the benefits of Crossrail outweigh its costs by a wide margin. The benefit–cost ratio in the business case (2011) was 1.97. This </w:t>
      </w:r>
      <w:r w:rsidR="000E6890" w:rsidRPr="00896C6F">
        <w:t>represents ‘medium’ value for money</w:t>
      </w:r>
      <w:r w:rsidRPr="00896C6F">
        <w:t xml:space="preserve"> </w:t>
      </w:r>
      <w:r w:rsidR="000E6890" w:rsidRPr="00896C6F">
        <w:t>in</w:t>
      </w:r>
      <w:r w:rsidRPr="00896C6F">
        <w:t xml:space="preserve"> the Department for Transport’s definition</w:t>
      </w:r>
      <w:r w:rsidR="000E6890" w:rsidRPr="00896C6F">
        <w:t xml:space="preserve"> </w:t>
      </w:r>
      <w:r w:rsidRPr="00896C6F">
        <w:t xml:space="preserve">– which is a range of 1.5 to 2. </w:t>
      </w:r>
    </w:p>
    <w:p w14:paraId="089955DB" w14:textId="77777777" w:rsidR="000E6890" w:rsidRPr="00896C6F" w:rsidRDefault="000E6890" w:rsidP="00896C6F"/>
    <w:p w14:paraId="7D7F6AC0" w14:textId="77777777" w:rsidR="000E6890" w:rsidRPr="00896C6F" w:rsidRDefault="0042656F" w:rsidP="00896C6F">
      <w:r w:rsidRPr="00896C6F">
        <w:t xml:space="preserve">If wider economic benefits were included, the benefit–cost ratio would increase to 3.1. </w:t>
      </w:r>
    </w:p>
    <w:p w14:paraId="1C2F50CC" w14:textId="77777777" w:rsidR="000E6890" w:rsidRPr="00896C6F" w:rsidRDefault="000E6890" w:rsidP="00896C6F"/>
    <w:p w14:paraId="5E3B5E20" w14:textId="77777777" w:rsidR="0042656F" w:rsidRPr="00896C6F" w:rsidRDefault="0042656F" w:rsidP="00896C6F">
      <w:r w:rsidRPr="00896C6F">
        <w:t xml:space="preserve">This is a high range result due to its impact on a range of indicators including improved transport connectivity, reduced transport congestion, journey time savings, more sustainable urban form, higher economic development levels, improved productivity and less car use reducing   emissions. The economic benefits of Crossrail have been calculated regularly over the past 10 years. A full suite of documents is contained at </w:t>
      </w:r>
      <w:hyperlink r:id="rId18" w:history="1">
        <w:r w:rsidRPr="00896C6F">
          <w:rPr>
            <w:rStyle w:val="Hyperlink"/>
            <w:sz w:val="18"/>
          </w:rPr>
          <w:t>http://www.crossrail.co.uk/benefits/wider-economic-benefits/</w:t>
        </w:r>
      </w:hyperlink>
      <w:r w:rsidRPr="00896C6F">
        <w:rPr>
          <w:sz w:val="22"/>
        </w:rPr>
        <w:t>.</w:t>
      </w:r>
    </w:p>
    <w:p w14:paraId="2696DE6C" w14:textId="77777777" w:rsidR="00007F26" w:rsidRPr="00896C6F" w:rsidRDefault="00007F26" w:rsidP="00896C6F"/>
    <w:p w14:paraId="04DFA530" w14:textId="77777777" w:rsidR="00C27F2F" w:rsidRPr="00896C6F" w:rsidRDefault="00007F26" w:rsidP="00896C6F">
      <w:r w:rsidRPr="00896C6F">
        <w:t xml:space="preserve">This evidence </w:t>
      </w:r>
      <w:r w:rsidR="00035595" w:rsidRPr="00896C6F">
        <w:t xml:space="preserve">of strong benefits from public transport infrastructure investment </w:t>
      </w:r>
      <w:r w:rsidRPr="00896C6F">
        <w:t xml:space="preserve">is supported by major overseas studies. In the US, it has been estimated that each dollar of investment in public transport generates $1.80 in </w:t>
      </w:r>
      <w:r w:rsidR="00EC2960" w:rsidRPr="00896C6F">
        <w:t>GDP growth</w:t>
      </w:r>
      <w:r w:rsidRPr="00896C6F">
        <w:t>.</w:t>
      </w:r>
      <w:r w:rsidR="00C27F2F" w:rsidRPr="00896C6F">
        <w:t xml:space="preserve"> This economic benefit flows on to tax collection by US governments, which is estimated at $488 million for each $1 billion spent.</w:t>
      </w:r>
    </w:p>
    <w:p w14:paraId="6F947039" w14:textId="34D4135F" w:rsidR="00007F26" w:rsidRDefault="00896C6F" w:rsidP="00896C6F">
      <w:pPr>
        <w:pStyle w:val="Caption"/>
        <w:rPr>
          <w:color w:val="231F20"/>
          <w:spacing w:val="-3"/>
          <w:w w:val="110"/>
        </w:rPr>
      </w:pPr>
      <w:bookmarkStart w:id="50" w:name="_Toc430896553"/>
      <w:r>
        <w:t xml:space="preserve">Figure </w:t>
      </w:r>
      <w:r>
        <w:fldChar w:fldCharType="begin"/>
      </w:r>
      <w:r>
        <w:instrText xml:space="preserve"> SEQ Figure \* ARABIC </w:instrText>
      </w:r>
      <w:r>
        <w:fldChar w:fldCharType="separate"/>
      </w:r>
      <w:r w:rsidR="00184C79">
        <w:rPr>
          <w:noProof/>
        </w:rPr>
        <w:t>1</w:t>
      </w:r>
      <w:r>
        <w:fldChar w:fldCharType="end"/>
      </w:r>
      <w:r w:rsidR="00E82F86">
        <w:t xml:space="preserve">. </w:t>
      </w:r>
      <w:r w:rsidR="0083718D">
        <w:t>economic benefits of public transport infrastructure</w:t>
      </w:r>
      <w:bookmarkEnd w:id="50"/>
    </w:p>
    <w:p w14:paraId="2CA22435" w14:textId="77777777" w:rsidR="00007F26" w:rsidRDefault="00007F26" w:rsidP="00007F26">
      <w:pPr>
        <w:pStyle w:val="BodyText"/>
        <w:ind w:left="0" w:right="-1"/>
        <w:rPr>
          <w:rFonts w:ascii="Calibri" w:hAnsi="Calibri"/>
          <w:color w:val="231F20"/>
          <w:spacing w:val="-3"/>
          <w:w w:val="110"/>
        </w:rPr>
      </w:pPr>
      <w:r w:rsidRPr="00007F26">
        <w:rPr>
          <w:noProof/>
        </w:rPr>
        <w:drawing>
          <wp:inline distT="0" distB="0" distL="0" distR="0" wp14:anchorId="61BE364C" wp14:editId="5935E03E">
            <wp:extent cx="4590477" cy="1942857"/>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90477" cy="1942857"/>
                    </a:xfrm>
                    <a:prstGeom prst="rect">
                      <a:avLst/>
                    </a:prstGeom>
                  </pic:spPr>
                </pic:pic>
              </a:graphicData>
            </a:graphic>
          </wp:inline>
        </w:drawing>
      </w:r>
    </w:p>
    <w:p w14:paraId="6353D580" w14:textId="77777777" w:rsidR="006129F8" w:rsidRDefault="006129F8" w:rsidP="00193BE4"/>
    <w:p w14:paraId="22327DF2" w14:textId="77777777" w:rsidR="006129F8" w:rsidRDefault="006129F8" w:rsidP="00193BE4"/>
    <w:p w14:paraId="06167CB7" w14:textId="77777777" w:rsidR="006129F8" w:rsidRDefault="006129F8" w:rsidP="00193BE4"/>
    <w:p w14:paraId="27BB3D1E" w14:textId="77777777" w:rsidR="0053546E" w:rsidRDefault="0053546E" w:rsidP="00193BE4">
      <w:r>
        <w:lastRenderedPageBreak/>
        <w:t>Public transport infrastructure also generates a higher number of jobs than other forms of government investment. In a US study (University of Massachusetts-Amherst), Public transport generated 30,000 jobs for each $1 billion of investment. This compares with 10,800 jobs for tax cuts.</w:t>
      </w:r>
    </w:p>
    <w:p w14:paraId="55246A0F" w14:textId="77777777" w:rsidR="0053546E" w:rsidRDefault="0053546E" w:rsidP="00193BE4"/>
    <w:p w14:paraId="7105AA32" w14:textId="77777777" w:rsidR="004B4620" w:rsidRDefault="004B4620" w:rsidP="00193BE4">
      <w:r>
        <w:t>The following case studies provide evidence of value capture in action globally and in Australia as well as outlining some of the flaws in these approaches.</w:t>
      </w:r>
    </w:p>
    <w:p w14:paraId="015F3DD3" w14:textId="77777777" w:rsidR="009A5B2D" w:rsidRDefault="009A5B2D" w:rsidP="009861AC">
      <w:pPr>
        <w:pStyle w:val="Heading2"/>
      </w:pPr>
      <w:bookmarkStart w:id="51" w:name="_Toc430896840"/>
      <w:r>
        <w:t>Crossrail</w:t>
      </w:r>
      <w:r w:rsidR="00B02AE5">
        <w:t>, London</w:t>
      </w:r>
      <w:r>
        <w:t xml:space="preserve"> </w:t>
      </w:r>
      <w:r w:rsidR="00F63DD2">
        <w:t>– Benefit Rates Supplement</w:t>
      </w:r>
      <w:bookmarkEnd w:id="51"/>
    </w:p>
    <w:p w14:paraId="3DD36C4B" w14:textId="77777777" w:rsidR="00996C45" w:rsidRPr="00885F59" w:rsidRDefault="00523AF7" w:rsidP="00996C45">
      <w:r>
        <w:t xml:space="preserve">Crossrail is a major public transport project </w:t>
      </w:r>
      <w:r w:rsidR="00B02AE5">
        <w:t xml:space="preserve">in London </w:t>
      </w:r>
      <w:r>
        <w:t xml:space="preserve">that is using value capture to generate a </w:t>
      </w:r>
      <w:r w:rsidR="00EC7140">
        <w:t xml:space="preserve">substantial </w:t>
      </w:r>
      <w:r>
        <w:t xml:space="preserve">portion of upfront and ongoing project financing. </w:t>
      </w:r>
      <w:r w:rsidR="00C72A5E">
        <w:t xml:space="preserve">It responds to a forecast increase of 35% in public transport trips in London between 2010 and 2031. </w:t>
      </w:r>
      <w:r>
        <w:t>The project route exceeds 100 km</w:t>
      </w:r>
      <w:r w:rsidR="00EC7140">
        <w:t xml:space="preserve"> incorporating</w:t>
      </w:r>
      <w:r>
        <w:t xml:space="preserve"> development around 40 stations including </w:t>
      </w:r>
      <w:r w:rsidR="00EC7140">
        <w:t xml:space="preserve">the </w:t>
      </w:r>
      <w:r>
        <w:t xml:space="preserve">construction of 10 new stations. It will link Heathrow Airport to central London. </w:t>
      </w:r>
      <w:r w:rsidR="00EC7140">
        <w:t>Crossrail</w:t>
      </w:r>
      <w:r>
        <w:t xml:space="preserve"> will increase rail capacity in central London by 10 per cent. Construction commenced in 2009. The first services will commence in 2018. </w:t>
      </w:r>
      <w:r w:rsidR="00996C45">
        <w:t xml:space="preserve">Total </w:t>
      </w:r>
      <w:r w:rsidR="00996C45" w:rsidRPr="00885F59">
        <w:t xml:space="preserve">project cost is UKP14.8 billion. </w:t>
      </w:r>
    </w:p>
    <w:p w14:paraId="72EE4C44" w14:textId="58B105B0" w:rsidR="00523AF7" w:rsidRDefault="00896C6F" w:rsidP="00523AF7">
      <w:r>
        <w:t>A map</w:t>
      </w:r>
      <w:r w:rsidR="00242F0A" w:rsidRPr="00885F59">
        <w:t xml:space="preserve"> of Crossrail</w:t>
      </w:r>
      <w:r>
        <w:t xml:space="preserve"> is</w:t>
      </w:r>
      <w:r w:rsidR="00242F0A" w:rsidRPr="00885F59">
        <w:t xml:space="preserve"> presented below.</w:t>
      </w:r>
    </w:p>
    <w:p w14:paraId="305DEA95" w14:textId="52253251" w:rsidR="00896C6F" w:rsidRDefault="00896C6F" w:rsidP="00896C6F">
      <w:pPr>
        <w:pStyle w:val="Caption"/>
      </w:pPr>
      <w:bookmarkStart w:id="52" w:name="_Toc430896554"/>
      <w:r>
        <w:t xml:space="preserve">Figure </w:t>
      </w:r>
      <w:r>
        <w:fldChar w:fldCharType="begin"/>
      </w:r>
      <w:r>
        <w:instrText xml:space="preserve"> SEQ Figure \* ARABIC </w:instrText>
      </w:r>
      <w:r>
        <w:fldChar w:fldCharType="separate"/>
      </w:r>
      <w:r w:rsidR="00184C79">
        <w:rPr>
          <w:noProof/>
        </w:rPr>
        <w:t>2</w:t>
      </w:r>
      <w:r>
        <w:fldChar w:fldCharType="end"/>
      </w:r>
      <w:r w:rsidR="00E82F86">
        <w:t xml:space="preserve">. </w:t>
      </w:r>
      <w:r>
        <w:t>crossrail london</w:t>
      </w:r>
      <w:bookmarkEnd w:id="52"/>
    </w:p>
    <w:p w14:paraId="3AF0BBE6" w14:textId="77777777" w:rsidR="00996C45" w:rsidRDefault="00996C45" w:rsidP="00523AF7"/>
    <w:p w14:paraId="40652F4F" w14:textId="77777777" w:rsidR="00996C45" w:rsidRDefault="00996C45" w:rsidP="00523AF7">
      <w:r w:rsidRPr="00996C45">
        <w:rPr>
          <w:noProof/>
          <w:lang w:val="en-US" w:eastAsia="en-US"/>
        </w:rPr>
        <w:drawing>
          <wp:inline distT="0" distB="0" distL="0" distR="0" wp14:anchorId="02E8942D" wp14:editId="2F893A2C">
            <wp:extent cx="5844672" cy="176212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846899" cy="1762796"/>
                    </a:xfrm>
                    <a:prstGeom prst="rect">
                      <a:avLst/>
                    </a:prstGeom>
                  </pic:spPr>
                </pic:pic>
              </a:graphicData>
            </a:graphic>
          </wp:inline>
        </w:drawing>
      </w:r>
    </w:p>
    <w:p w14:paraId="04D4D1DA" w14:textId="77777777" w:rsidR="00242F0A" w:rsidRDefault="00242F0A" w:rsidP="00523AF7"/>
    <w:p w14:paraId="73835E1A" w14:textId="77777777" w:rsidR="00242F0A" w:rsidRDefault="00242F0A" w:rsidP="00523AF7">
      <w:r w:rsidRPr="00242F0A">
        <w:rPr>
          <w:noProof/>
          <w:lang w:val="en-US" w:eastAsia="en-US"/>
        </w:rPr>
        <w:drawing>
          <wp:inline distT="0" distB="0" distL="0" distR="0" wp14:anchorId="3E8969D3" wp14:editId="38ADAB34">
            <wp:extent cx="5848350" cy="2847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854677" cy="2851056"/>
                    </a:xfrm>
                    <a:prstGeom prst="rect">
                      <a:avLst/>
                    </a:prstGeom>
                  </pic:spPr>
                </pic:pic>
              </a:graphicData>
            </a:graphic>
          </wp:inline>
        </w:drawing>
      </w:r>
    </w:p>
    <w:p w14:paraId="11BDF758" w14:textId="77777777" w:rsidR="00523AF7" w:rsidRDefault="00523AF7" w:rsidP="00523AF7"/>
    <w:p w14:paraId="3FC6B406" w14:textId="77777777" w:rsidR="00523AF7" w:rsidRDefault="00523AF7" w:rsidP="00523AF7">
      <w:r>
        <w:t xml:space="preserve">Value capture mechanisms </w:t>
      </w:r>
      <w:r w:rsidR="005A377F">
        <w:t>have been</w:t>
      </w:r>
      <w:r>
        <w:t xml:space="preserve"> put in place that will generate UKP 4.1 billion of capital costs</w:t>
      </w:r>
      <w:r w:rsidR="00C114C0">
        <w:t xml:space="preserve"> for Crossrail</w:t>
      </w:r>
      <w:r>
        <w:t xml:space="preserve">. </w:t>
      </w:r>
      <w:r w:rsidR="00223E7D">
        <w:t>V</w:t>
      </w:r>
      <w:r>
        <w:t>alue capture will then be used over a 20 year period to pay down debt on the project. This structure significantly reduces the upfront cost to government of delivering major new public transport infrastructure.</w:t>
      </w:r>
    </w:p>
    <w:p w14:paraId="1A3418B7" w14:textId="77777777" w:rsidR="00896C6F" w:rsidRDefault="00896C6F" w:rsidP="00523AF7"/>
    <w:p w14:paraId="44F527D7" w14:textId="77777777" w:rsidR="00523AF7" w:rsidRDefault="00523AF7" w:rsidP="00523AF7"/>
    <w:p w14:paraId="0C063EE5" w14:textId="77777777" w:rsidR="00854C92" w:rsidRDefault="00523AF7" w:rsidP="00523AF7">
      <w:r>
        <w:lastRenderedPageBreak/>
        <w:t>The UK Audit Office summarised the funding structure in the following table.</w:t>
      </w:r>
      <w:r w:rsidR="00880038">
        <w:t xml:space="preserve"> </w:t>
      </w:r>
    </w:p>
    <w:p w14:paraId="6147DDC8" w14:textId="267A4C20" w:rsidR="00896C6F" w:rsidRDefault="00896C6F" w:rsidP="00896C6F">
      <w:pPr>
        <w:pStyle w:val="Caption"/>
      </w:pPr>
      <w:bookmarkStart w:id="53" w:name="_Toc430896555"/>
      <w:r w:rsidRPr="00E82F86">
        <w:t xml:space="preserve">Figure </w:t>
      </w:r>
      <w:r w:rsidRPr="00E82F86">
        <w:fldChar w:fldCharType="begin"/>
      </w:r>
      <w:r w:rsidRPr="00E82F86">
        <w:instrText xml:space="preserve"> SEQ Figure \* ARABIC </w:instrText>
      </w:r>
      <w:r w:rsidRPr="00E82F86">
        <w:fldChar w:fldCharType="separate"/>
      </w:r>
      <w:r w:rsidR="00184C79">
        <w:rPr>
          <w:noProof/>
        </w:rPr>
        <w:t>3</w:t>
      </w:r>
      <w:r w:rsidRPr="00E82F86">
        <w:fldChar w:fldCharType="end"/>
      </w:r>
      <w:r w:rsidRPr="00E82F86">
        <w:t>.</w:t>
      </w:r>
      <w:r>
        <w:tab/>
        <w:t>funding structure of crossrail</w:t>
      </w:r>
      <w:bookmarkEnd w:id="53"/>
    </w:p>
    <w:p w14:paraId="476DD20A" w14:textId="77777777" w:rsidR="00854C92" w:rsidRDefault="00854C92" w:rsidP="00146C3E">
      <w:r w:rsidRPr="00854C92">
        <w:rPr>
          <w:noProof/>
          <w:lang w:val="en-US" w:eastAsia="en-US"/>
        </w:rPr>
        <w:drawing>
          <wp:inline distT="0" distB="0" distL="0" distR="0" wp14:anchorId="798DC4C7" wp14:editId="2BBA3DF8">
            <wp:extent cx="4297680" cy="2524480"/>
            <wp:effectExtent l="0" t="0" r="762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t="6311"/>
                    <a:stretch/>
                  </pic:blipFill>
                  <pic:spPr bwMode="auto">
                    <a:xfrm>
                      <a:off x="0" y="0"/>
                      <a:ext cx="4293307" cy="2521911"/>
                    </a:xfrm>
                    <a:prstGeom prst="rect">
                      <a:avLst/>
                    </a:prstGeom>
                    <a:ln>
                      <a:noFill/>
                    </a:ln>
                    <a:extLst>
                      <a:ext uri="{53640926-AAD7-44d8-BBD7-CCE9431645EC}">
                        <a14:shadowObscured xmlns:a14="http://schemas.microsoft.com/office/drawing/2010/main"/>
                      </a:ext>
                    </a:extLst>
                  </pic:spPr>
                </pic:pic>
              </a:graphicData>
            </a:graphic>
          </wp:inline>
        </w:drawing>
      </w:r>
    </w:p>
    <w:p w14:paraId="5B1FA199" w14:textId="77777777" w:rsidR="00523AF7" w:rsidRDefault="00523AF7" w:rsidP="00523AF7">
      <w:r>
        <w:t xml:space="preserve">Crossrail is generating </w:t>
      </w:r>
      <w:r w:rsidR="00880038">
        <w:t>project funds</w:t>
      </w:r>
      <w:r>
        <w:t xml:space="preserve"> from </w:t>
      </w:r>
      <w:r w:rsidR="00CB5842">
        <w:t>4</w:t>
      </w:r>
      <w:r>
        <w:t xml:space="preserve"> value capture </w:t>
      </w:r>
      <w:r w:rsidR="00223E7D">
        <w:t>sources</w:t>
      </w:r>
      <w:r>
        <w:t>:</w:t>
      </w:r>
    </w:p>
    <w:p w14:paraId="67874DDC" w14:textId="77777777" w:rsidR="00523AF7" w:rsidRDefault="00523AF7" w:rsidP="00523AF7"/>
    <w:p w14:paraId="4CC2E49C" w14:textId="77777777" w:rsidR="00523AF7" w:rsidRDefault="00523AF7" w:rsidP="003C2621">
      <w:pPr>
        <w:pStyle w:val="ListParagraph"/>
        <w:numPr>
          <w:ilvl w:val="0"/>
          <w:numId w:val="5"/>
        </w:numPr>
      </w:pPr>
      <w:r>
        <w:t>Business Rates Supplement (BRS)</w:t>
      </w:r>
    </w:p>
    <w:p w14:paraId="6BC91FE4" w14:textId="77777777" w:rsidR="00223E7D" w:rsidRDefault="00523AF7" w:rsidP="003C2621">
      <w:pPr>
        <w:pStyle w:val="ListParagraph"/>
        <w:numPr>
          <w:ilvl w:val="0"/>
          <w:numId w:val="5"/>
        </w:numPr>
      </w:pPr>
      <w:r>
        <w:t>Mayoral Community Infrastructure Levy (MCIL)</w:t>
      </w:r>
    </w:p>
    <w:p w14:paraId="1DD96B43" w14:textId="77777777" w:rsidR="00CB5842" w:rsidRDefault="00223E7D" w:rsidP="003C2621">
      <w:pPr>
        <w:pStyle w:val="ListParagraph"/>
        <w:numPr>
          <w:ilvl w:val="0"/>
          <w:numId w:val="5"/>
        </w:numPr>
      </w:pPr>
      <w:r>
        <w:t>Sale of surplus land</w:t>
      </w:r>
    </w:p>
    <w:p w14:paraId="38F49F84" w14:textId="77777777" w:rsidR="00523AF7" w:rsidRDefault="00CB5842" w:rsidP="003C2621">
      <w:pPr>
        <w:pStyle w:val="ListParagraph"/>
        <w:numPr>
          <w:ilvl w:val="0"/>
          <w:numId w:val="5"/>
        </w:numPr>
      </w:pPr>
      <w:r>
        <w:t>Developer contributions</w:t>
      </w:r>
      <w:r w:rsidR="00523AF7">
        <w:t>.</w:t>
      </w:r>
    </w:p>
    <w:p w14:paraId="1B984AF2" w14:textId="77777777" w:rsidR="00CB5842" w:rsidRDefault="00CB5842" w:rsidP="00CB5842"/>
    <w:p w14:paraId="3C7FDE09" w14:textId="77777777" w:rsidR="00523AF7" w:rsidRDefault="00CB5842" w:rsidP="00523AF7">
      <w:r>
        <w:t>In total, these sources will generate approximately 35% of Crossrail’s capital costs.</w:t>
      </w:r>
      <w:r w:rsidR="00026B46">
        <w:t xml:space="preserve"> </w:t>
      </w:r>
      <w:r w:rsidR="00B72D86">
        <w:t xml:space="preserve">Both </w:t>
      </w:r>
      <w:r w:rsidR="002C5188">
        <w:t>BR</w:t>
      </w:r>
      <w:r w:rsidR="00B72D86">
        <w:t>S</w:t>
      </w:r>
      <w:r w:rsidR="002C5188">
        <w:t xml:space="preserve"> and MCIL </w:t>
      </w:r>
      <w:r w:rsidR="00523AF7">
        <w:t xml:space="preserve">will </w:t>
      </w:r>
      <w:r w:rsidR="002C5188">
        <w:t xml:space="preserve">both </w:t>
      </w:r>
      <w:r w:rsidR="00523AF7">
        <w:t xml:space="preserve">continue to </w:t>
      </w:r>
      <w:r w:rsidR="00CA5F6D">
        <w:t>raise</w:t>
      </w:r>
      <w:r w:rsidR="00523AF7">
        <w:t xml:space="preserve"> income after operations commence </w:t>
      </w:r>
      <w:r w:rsidR="00CA5F6D">
        <w:t xml:space="preserve">in order </w:t>
      </w:r>
      <w:r w:rsidR="002C5188">
        <w:t xml:space="preserve">to repay debt </w:t>
      </w:r>
      <w:r w:rsidR="00523AF7">
        <w:t xml:space="preserve">until the project is completely paid off. </w:t>
      </w:r>
    </w:p>
    <w:p w14:paraId="1075DAFC" w14:textId="77777777" w:rsidR="00A5596B" w:rsidRDefault="00A5596B" w:rsidP="00523AF7"/>
    <w:p w14:paraId="145EB59D" w14:textId="77A9651D" w:rsidR="00854C92" w:rsidRDefault="00854C92" w:rsidP="00523AF7">
      <w:r>
        <w:t>There are significant improvements to travel times between key locations as the following table demonstrates</w:t>
      </w:r>
      <w:r w:rsidR="00E82F86">
        <w:t>.</w:t>
      </w:r>
    </w:p>
    <w:p w14:paraId="106A0721" w14:textId="1E425C27" w:rsidR="00854C92" w:rsidRDefault="00896C6F" w:rsidP="00896C6F">
      <w:pPr>
        <w:pStyle w:val="Caption"/>
      </w:pPr>
      <w:bookmarkStart w:id="54" w:name="_Toc430896556"/>
      <w:r>
        <w:t xml:space="preserve">Figure </w:t>
      </w:r>
      <w:r>
        <w:fldChar w:fldCharType="begin"/>
      </w:r>
      <w:r>
        <w:instrText xml:space="preserve"> SEQ Figure \* ARABIC </w:instrText>
      </w:r>
      <w:r>
        <w:fldChar w:fldCharType="separate"/>
      </w:r>
      <w:r w:rsidR="00184C79">
        <w:rPr>
          <w:noProof/>
        </w:rPr>
        <w:t>4</w:t>
      </w:r>
      <w:r>
        <w:fldChar w:fldCharType="end"/>
      </w:r>
      <w:r w:rsidR="00E82F86">
        <w:t xml:space="preserve">. </w:t>
      </w:r>
      <w:r>
        <w:t>travel time improvements from crossrail</w:t>
      </w:r>
      <w:bookmarkEnd w:id="54"/>
    </w:p>
    <w:p w14:paraId="4EA02E37" w14:textId="77777777" w:rsidR="00854C92" w:rsidRDefault="00854C92" w:rsidP="00146C3E">
      <w:r w:rsidRPr="00854C92">
        <w:rPr>
          <w:noProof/>
          <w:lang w:val="en-US" w:eastAsia="en-US"/>
        </w:rPr>
        <w:drawing>
          <wp:inline distT="0" distB="0" distL="0" distR="0" wp14:anchorId="2703142B" wp14:editId="3C298917">
            <wp:extent cx="4616094" cy="156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619301" cy="1563185"/>
                    </a:xfrm>
                    <a:prstGeom prst="rect">
                      <a:avLst/>
                    </a:prstGeom>
                  </pic:spPr>
                </pic:pic>
              </a:graphicData>
            </a:graphic>
          </wp:inline>
        </w:drawing>
      </w:r>
    </w:p>
    <w:p w14:paraId="7219DAC8" w14:textId="77777777" w:rsidR="00523AF7" w:rsidRDefault="00523AF7" w:rsidP="00523AF7"/>
    <w:p w14:paraId="64EB0C96" w14:textId="77777777" w:rsidR="00026B46" w:rsidRDefault="00026B46" w:rsidP="00523AF7">
      <w:r>
        <w:t xml:space="preserve">The use of </w:t>
      </w:r>
      <w:r w:rsidR="00006739">
        <w:t xml:space="preserve">a </w:t>
      </w:r>
      <w:r>
        <w:t>BRS</w:t>
      </w:r>
      <w:r w:rsidR="00006739">
        <w:t xml:space="preserve"> for Crossrail</w:t>
      </w:r>
      <w:r>
        <w:t xml:space="preserve"> is pertinent to Australian conditions as there is likely to be widespread uplift in property values in a range of proposed rail and light rail corridors</w:t>
      </w:r>
      <w:r w:rsidR="00871F7C">
        <w:t xml:space="preserve"> especially high volume services such as </w:t>
      </w:r>
      <w:r>
        <w:t>the extension of the Sydney Light Rail, the Sydney Metro and proposed Melbourne Metro.</w:t>
      </w:r>
      <w:r w:rsidR="00006739">
        <w:t xml:space="preserve"> </w:t>
      </w:r>
    </w:p>
    <w:p w14:paraId="284EBFEB" w14:textId="77777777" w:rsidR="00026B46" w:rsidRDefault="00026B46" w:rsidP="00523AF7"/>
    <w:p w14:paraId="702563A6" w14:textId="77777777" w:rsidR="003D126D" w:rsidRDefault="00523AF7" w:rsidP="00523AF7">
      <w:r>
        <w:t>The BRS is a compulsory charge levied on National Non-Domestic Rates (NNDR) of qualifying properties within the designated Crossrail 1 beneficiary area.</w:t>
      </w:r>
      <w:r w:rsidR="00223E7D">
        <w:t xml:space="preserve"> </w:t>
      </w:r>
      <w:r>
        <w:t xml:space="preserve">The calculation of NNDR in the UK is based on a </w:t>
      </w:r>
      <w:r w:rsidR="003D126D">
        <w:t xml:space="preserve">‘business rates multiplier’ – that is a </w:t>
      </w:r>
      <w:r>
        <w:t>rate defined in terms of pence per pound of rateable land values</w:t>
      </w:r>
      <w:r w:rsidR="003D126D">
        <w:t>.</w:t>
      </w:r>
      <w:r>
        <w:t xml:space="preserve"> In 2014, </w:t>
      </w:r>
      <w:r w:rsidR="003D126D">
        <w:t>NNDR</w:t>
      </w:r>
      <w:r>
        <w:t xml:space="preserve"> was set at 48.2 pence per</w:t>
      </w:r>
      <w:r w:rsidR="00871F7C">
        <w:t xml:space="preserve"> pound</w:t>
      </w:r>
      <w:r>
        <w:t>. The rate was slightly lower for small business</w:t>
      </w:r>
      <w:r w:rsidR="00871F7C">
        <w:t>.</w:t>
      </w:r>
      <w:r>
        <w:t xml:space="preserve"> The NNDR is recalculated every 5 years. </w:t>
      </w:r>
    </w:p>
    <w:p w14:paraId="656CC9DE" w14:textId="77777777" w:rsidR="003D126D" w:rsidRDefault="003D126D" w:rsidP="00523AF7"/>
    <w:p w14:paraId="19893F83" w14:textId="77777777" w:rsidR="00523AF7" w:rsidRDefault="00523AF7" w:rsidP="00523AF7">
      <w:r>
        <w:t>The Business Rates Supplement Act 2009</w:t>
      </w:r>
      <w:r w:rsidR="00871F7C">
        <w:t xml:space="preserve"> states that</w:t>
      </w:r>
      <w:r>
        <w:t xml:space="preserve"> a BRS can be levied up to a maximum of an additional 2 p</w:t>
      </w:r>
      <w:r w:rsidR="00CB3817">
        <w:t>ence per pound</w:t>
      </w:r>
      <w:r>
        <w:t>.</w:t>
      </w:r>
      <w:r w:rsidR="002C5188">
        <w:t xml:space="preserve"> </w:t>
      </w:r>
      <w:r>
        <w:t xml:space="preserve">The BRS for Crossrail was set at the maximum levy of 2p per pound. The BRS </w:t>
      </w:r>
      <w:r w:rsidR="00871F7C">
        <w:t xml:space="preserve">has been </w:t>
      </w:r>
      <w:r>
        <w:lastRenderedPageBreak/>
        <w:t>applied to properties with a rateable value above UKP55,000. Approximately 20% of non-domestic properties in London were levied with the Crossrail BRS.</w:t>
      </w:r>
    </w:p>
    <w:p w14:paraId="415653B7" w14:textId="77777777" w:rsidR="00523AF7" w:rsidRDefault="00523AF7" w:rsidP="00523AF7"/>
    <w:p w14:paraId="27D66621" w14:textId="77777777" w:rsidR="00523AF7" w:rsidRDefault="00523AF7" w:rsidP="00523AF7">
      <w:r>
        <w:t>BRS revenue of over UKP 4 billion will be used for the following purposes:</w:t>
      </w:r>
    </w:p>
    <w:p w14:paraId="6718C0E0" w14:textId="77777777" w:rsidR="00523AF7" w:rsidRDefault="00523AF7" w:rsidP="00523AF7"/>
    <w:tbl>
      <w:tblPr>
        <w:tblStyle w:val="TableGrid"/>
        <w:tblW w:w="0" w:type="auto"/>
        <w:tblInd w:w="108" w:type="dxa"/>
        <w:tblLook w:val="04A0" w:firstRow="1" w:lastRow="0" w:firstColumn="1" w:lastColumn="0" w:noHBand="0" w:noVBand="1"/>
      </w:tblPr>
      <w:tblGrid>
        <w:gridCol w:w="5029"/>
        <w:gridCol w:w="1935"/>
        <w:gridCol w:w="1854"/>
      </w:tblGrid>
      <w:tr w:rsidR="002C5188" w14:paraId="308A4AE7" w14:textId="77777777" w:rsidTr="002C5188">
        <w:tc>
          <w:tcPr>
            <w:tcW w:w="5029" w:type="dxa"/>
          </w:tcPr>
          <w:p w14:paraId="3BAC36C1" w14:textId="77777777" w:rsidR="002C5188" w:rsidRDefault="002C5188" w:rsidP="003C2621">
            <w:pPr>
              <w:pStyle w:val="ListParagraph"/>
              <w:numPr>
                <w:ilvl w:val="0"/>
                <w:numId w:val="6"/>
              </w:numPr>
            </w:pPr>
            <w:r>
              <w:t>Direct capital funding for Crossrail 1</w:t>
            </w:r>
          </w:p>
        </w:tc>
        <w:tc>
          <w:tcPr>
            <w:tcW w:w="1935" w:type="dxa"/>
          </w:tcPr>
          <w:p w14:paraId="58BD5ABC" w14:textId="77777777" w:rsidR="002C5188" w:rsidRPr="00D47F81" w:rsidRDefault="002C5188" w:rsidP="006B6F31">
            <w:pPr>
              <w:rPr>
                <w:b/>
              </w:rPr>
            </w:pPr>
            <w:r w:rsidRPr="00D47F81">
              <w:rPr>
                <w:b/>
              </w:rPr>
              <w:t>UKP 600 million</w:t>
            </w:r>
          </w:p>
        </w:tc>
        <w:tc>
          <w:tcPr>
            <w:tcW w:w="1854" w:type="dxa"/>
          </w:tcPr>
          <w:p w14:paraId="734EC937" w14:textId="77777777" w:rsidR="002C5188" w:rsidRPr="00D47F81" w:rsidRDefault="002C5188" w:rsidP="006B6F31">
            <w:pPr>
              <w:rPr>
                <w:b/>
              </w:rPr>
            </w:pPr>
          </w:p>
        </w:tc>
      </w:tr>
      <w:tr w:rsidR="002C5188" w14:paraId="78EC588E" w14:textId="77777777" w:rsidTr="002C5188">
        <w:tc>
          <w:tcPr>
            <w:tcW w:w="5029" w:type="dxa"/>
          </w:tcPr>
          <w:p w14:paraId="44684693" w14:textId="77777777" w:rsidR="002C5188" w:rsidRDefault="002C5188" w:rsidP="003C2621">
            <w:pPr>
              <w:pStyle w:val="ListParagraph"/>
              <w:numPr>
                <w:ilvl w:val="0"/>
                <w:numId w:val="6"/>
              </w:numPr>
            </w:pPr>
            <w:r>
              <w:t xml:space="preserve">Repayment of debt  to Public Works Loan Board </w:t>
            </w:r>
          </w:p>
        </w:tc>
        <w:tc>
          <w:tcPr>
            <w:tcW w:w="1935" w:type="dxa"/>
          </w:tcPr>
          <w:p w14:paraId="6F685A41" w14:textId="77777777" w:rsidR="002C5188" w:rsidRPr="00D47F81" w:rsidRDefault="002C5188" w:rsidP="006B6F31">
            <w:pPr>
              <w:rPr>
                <w:b/>
              </w:rPr>
            </w:pPr>
            <w:r w:rsidRPr="00D47F81">
              <w:rPr>
                <w:b/>
              </w:rPr>
              <w:t>UKP 3,500 million</w:t>
            </w:r>
          </w:p>
        </w:tc>
        <w:tc>
          <w:tcPr>
            <w:tcW w:w="1854" w:type="dxa"/>
          </w:tcPr>
          <w:p w14:paraId="115B5C30" w14:textId="77777777" w:rsidR="002C5188" w:rsidRPr="00D47F81" w:rsidRDefault="002C5188" w:rsidP="006B6F31">
            <w:pPr>
              <w:rPr>
                <w:b/>
              </w:rPr>
            </w:pPr>
          </w:p>
        </w:tc>
      </w:tr>
    </w:tbl>
    <w:p w14:paraId="1E0E257E" w14:textId="77777777" w:rsidR="00523AF7" w:rsidRDefault="00523AF7" w:rsidP="00523AF7"/>
    <w:p w14:paraId="1FC10773" w14:textId="77777777" w:rsidR="00113729" w:rsidRDefault="00523AF7" w:rsidP="00523AF7">
      <w:r>
        <w:t xml:space="preserve">Data collected on Crossrail indicated that the BRS was extremely successful with a collection rate of 98.4% in 2013/14. Unoccupied properties remain liable for BRS, shielding it against economic downturns. Crossrail BRS will terminate when debt is repaid. </w:t>
      </w:r>
    </w:p>
    <w:p w14:paraId="4B4794DA" w14:textId="77777777" w:rsidR="00113729" w:rsidRDefault="00113729" w:rsidP="00523AF7"/>
    <w:p w14:paraId="14265361" w14:textId="77777777" w:rsidR="00523AF7" w:rsidRDefault="00523AF7" w:rsidP="00523AF7">
      <w:r>
        <w:t>The loan period was scheduled to end in 2037. It is now projected that debt will be discharged by 2033 due to lower than forecast interest rates</w:t>
      </w:r>
      <w:r w:rsidR="00DB30BA">
        <w:t>.</w:t>
      </w:r>
    </w:p>
    <w:p w14:paraId="1D595E19" w14:textId="77777777" w:rsidR="00113729" w:rsidRDefault="00113729" w:rsidP="00523AF7"/>
    <w:p w14:paraId="087B9EDB" w14:textId="77777777" w:rsidR="00523AF7" w:rsidRDefault="00523AF7" w:rsidP="00523AF7">
      <w:r>
        <w:t xml:space="preserve">Principal benefits of the Crossrail BRS: </w:t>
      </w:r>
    </w:p>
    <w:p w14:paraId="0989ECC3" w14:textId="77777777" w:rsidR="00523AF7" w:rsidRDefault="00523AF7" w:rsidP="00523AF7"/>
    <w:p w14:paraId="0B4CA6F8" w14:textId="77777777" w:rsidR="00523AF7" w:rsidRDefault="00523AF7" w:rsidP="003C2621">
      <w:pPr>
        <w:pStyle w:val="ListParagraph"/>
        <w:numPr>
          <w:ilvl w:val="0"/>
          <w:numId w:val="7"/>
        </w:numPr>
      </w:pPr>
      <w:r>
        <w:t>It is broad-based and distributed equitably with relatively low actual costs to qualifying property owners</w:t>
      </w:r>
    </w:p>
    <w:p w14:paraId="16AE3F6E" w14:textId="77777777" w:rsidR="00523AF7" w:rsidRDefault="00523AF7" w:rsidP="003C2621">
      <w:pPr>
        <w:pStyle w:val="ListParagraph"/>
        <w:numPr>
          <w:ilvl w:val="0"/>
          <w:numId w:val="7"/>
        </w:numPr>
      </w:pPr>
      <w:r>
        <w:t xml:space="preserve">It supplied a very stable, predictable income stream for funding the project. </w:t>
      </w:r>
    </w:p>
    <w:p w14:paraId="35C40F71" w14:textId="77777777" w:rsidR="00523AF7" w:rsidRDefault="00523AF7" w:rsidP="003C2621">
      <w:pPr>
        <w:pStyle w:val="ListParagraph"/>
        <w:numPr>
          <w:ilvl w:val="0"/>
          <w:numId w:val="7"/>
        </w:numPr>
      </w:pPr>
      <w:r>
        <w:t xml:space="preserve">It has been dedicated to an actual project so payees can see tangible outcomes from the levy. </w:t>
      </w:r>
    </w:p>
    <w:p w14:paraId="3D912988" w14:textId="77777777" w:rsidR="00523AF7" w:rsidRDefault="00523AF7" w:rsidP="003C2621">
      <w:pPr>
        <w:pStyle w:val="ListParagraph"/>
        <w:numPr>
          <w:ilvl w:val="0"/>
          <w:numId w:val="7"/>
        </w:numPr>
      </w:pPr>
      <w:r>
        <w:t>It will increase the value of levied properties resulting in extra value for owners as well as periodically increasing BRS revenue as re-valuations occur.</w:t>
      </w:r>
    </w:p>
    <w:p w14:paraId="04F32B30" w14:textId="77777777" w:rsidR="00523AF7" w:rsidRDefault="00523AF7" w:rsidP="003C2621">
      <w:pPr>
        <w:pStyle w:val="ListParagraph"/>
        <w:numPr>
          <w:ilvl w:val="0"/>
          <w:numId w:val="7"/>
        </w:numPr>
      </w:pPr>
      <w:r>
        <w:t xml:space="preserve">It will be collected only until project debt is discharged. </w:t>
      </w:r>
    </w:p>
    <w:p w14:paraId="7FCC8FAC" w14:textId="77777777" w:rsidR="00523AF7" w:rsidRDefault="00523AF7" w:rsidP="00523AF7"/>
    <w:p w14:paraId="65B0C560" w14:textId="77777777" w:rsidR="00523AF7" w:rsidRDefault="00523AF7" w:rsidP="00523AF7">
      <w:r>
        <w:t xml:space="preserve">It is noted that BRS is effective for funding successive projects but it could not reasonably be used to fund multiple projects simultaneously as this would represent an unreasonable impost on business. </w:t>
      </w:r>
    </w:p>
    <w:p w14:paraId="4990D282" w14:textId="77777777" w:rsidR="00523AF7" w:rsidRDefault="00523AF7" w:rsidP="00523AF7"/>
    <w:p w14:paraId="53E8AEE0" w14:textId="77777777" w:rsidR="00854C92" w:rsidRDefault="00523AF7" w:rsidP="00854C92">
      <w:r>
        <w:t xml:space="preserve">It is considered </w:t>
      </w:r>
      <w:r w:rsidR="00343AC7">
        <w:t>likely that the BRS will be “rol</w:t>
      </w:r>
      <w:r>
        <w:t>led over” in 2033 to commence funding for Crossrail 2 over a</w:t>
      </w:r>
      <w:r w:rsidR="00343AC7">
        <w:t xml:space="preserve"> further</w:t>
      </w:r>
      <w:r>
        <w:t xml:space="preserve"> 30 year period. Thus</w:t>
      </w:r>
      <w:r w:rsidR="00343AC7">
        <w:t>, the</w:t>
      </w:r>
      <w:r>
        <w:t xml:space="preserve"> BRS </w:t>
      </w:r>
      <w:r w:rsidR="00343AC7">
        <w:t>will</w:t>
      </w:r>
      <w:r>
        <w:t xml:space="preserve"> become entrenched as a rolling ‘value capture’ tool to fund new public transport</w:t>
      </w:r>
      <w:r w:rsidR="00343AC7">
        <w:t xml:space="preserve"> in London</w:t>
      </w:r>
      <w:r>
        <w:t>.</w:t>
      </w:r>
      <w:r w:rsidR="00854C92">
        <w:t xml:space="preserve"> Crossrail 2 is currently being planned. </w:t>
      </w:r>
    </w:p>
    <w:p w14:paraId="2089A590" w14:textId="77777777" w:rsidR="00523AF7" w:rsidRDefault="00523AF7" w:rsidP="00523AF7"/>
    <w:p w14:paraId="5BA14526" w14:textId="77777777" w:rsidR="00343AC7" w:rsidRDefault="00343AC7" w:rsidP="00343AC7">
      <w:pPr>
        <w:pStyle w:val="BodyText"/>
        <w:spacing w:line="240" w:lineRule="exact"/>
        <w:ind w:left="0" w:right="127"/>
        <w:rPr>
          <w:rFonts w:asciiTheme="minorHAnsi" w:hAnsiTheme="minorHAnsi"/>
        </w:rPr>
      </w:pPr>
      <w:r w:rsidRPr="00343AC7">
        <w:rPr>
          <w:rFonts w:asciiTheme="minorHAnsi" w:hAnsiTheme="minorHAnsi"/>
        </w:rPr>
        <w:t>The BRS in London</w:t>
      </w:r>
      <w:r>
        <w:rPr>
          <w:rFonts w:asciiTheme="minorHAnsi" w:hAnsiTheme="minorHAnsi"/>
        </w:rPr>
        <w:t xml:space="preserve"> has been generally accepted as it has been accompanied by evidence that</w:t>
      </w:r>
      <w:r w:rsidRPr="00343AC7">
        <w:rPr>
          <w:rFonts w:asciiTheme="minorHAnsi" w:hAnsiTheme="minorHAnsi"/>
        </w:rPr>
        <w:t xml:space="preserve"> businesses in London that are close to the route </w:t>
      </w:r>
      <w:r>
        <w:rPr>
          <w:rFonts w:asciiTheme="minorHAnsi" w:hAnsiTheme="minorHAnsi"/>
        </w:rPr>
        <w:t xml:space="preserve">can </w:t>
      </w:r>
      <w:r w:rsidRPr="00343AC7">
        <w:rPr>
          <w:rFonts w:asciiTheme="minorHAnsi" w:hAnsiTheme="minorHAnsi"/>
        </w:rPr>
        <w:t xml:space="preserve">expect </w:t>
      </w:r>
      <w:r>
        <w:rPr>
          <w:rFonts w:asciiTheme="minorHAnsi" w:hAnsiTheme="minorHAnsi"/>
        </w:rPr>
        <w:t xml:space="preserve">a 10-15% increase in </w:t>
      </w:r>
      <w:r w:rsidRPr="00343AC7">
        <w:rPr>
          <w:rFonts w:asciiTheme="minorHAnsi" w:hAnsiTheme="minorHAnsi"/>
        </w:rPr>
        <w:t>the value of their buildings as a direct result of</w:t>
      </w:r>
      <w:r w:rsidRPr="00343AC7">
        <w:rPr>
          <w:rFonts w:asciiTheme="minorHAnsi" w:hAnsiTheme="minorHAnsi"/>
          <w:spacing w:val="-5"/>
        </w:rPr>
        <w:t xml:space="preserve"> </w:t>
      </w:r>
      <w:r w:rsidRPr="00343AC7">
        <w:rPr>
          <w:rFonts w:asciiTheme="minorHAnsi" w:hAnsiTheme="minorHAnsi"/>
        </w:rPr>
        <w:t>the</w:t>
      </w:r>
      <w:r w:rsidRPr="00343AC7">
        <w:rPr>
          <w:rFonts w:asciiTheme="minorHAnsi" w:hAnsiTheme="minorHAnsi"/>
          <w:spacing w:val="-5"/>
        </w:rPr>
        <w:t xml:space="preserve"> </w:t>
      </w:r>
      <w:r w:rsidRPr="00343AC7">
        <w:rPr>
          <w:rFonts w:asciiTheme="minorHAnsi" w:hAnsiTheme="minorHAnsi"/>
        </w:rPr>
        <w:t>Crossrail.</w:t>
      </w:r>
      <w:r w:rsidRPr="00343AC7">
        <w:rPr>
          <w:rFonts w:asciiTheme="minorHAnsi" w:hAnsiTheme="minorHAnsi"/>
          <w:spacing w:val="-5"/>
        </w:rPr>
        <w:t xml:space="preserve"> </w:t>
      </w:r>
      <w:r w:rsidRPr="00343AC7">
        <w:rPr>
          <w:rFonts w:asciiTheme="minorHAnsi" w:hAnsiTheme="minorHAnsi"/>
        </w:rPr>
        <w:t>The</w:t>
      </w:r>
      <w:r w:rsidRPr="00343AC7">
        <w:rPr>
          <w:rFonts w:asciiTheme="minorHAnsi" w:hAnsiTheme="minorHAnsi"/>
          <w:spacing w:val="-5"/>
        </w:rPr>
        <w:t xml:space="preserve"> </w:t>
      </w:r>
      <w:r w:rsidRPr="00343AC7">
        <w:rPr>
          <w:rFonts w:asciiTheme="minorHAnsi" w:hAnsiTheme="minorHAnsi"/>
          <w:spacing w:val="2"/>
        </w:rPr>
        <w:t>BRS</w:t>
      </w:r>
      <w:r w:rsidRPr="00343AC7">
        <w:rPr>
          <w:rFonts w:asciiTheme="minorHAnsi" w:hAnsiTheme="minorHAnsi"/>
          <w:spacing w:val="-5"/>
        </w:rPr>
        <w:t xml:space="preserve"> </w:t>
      </w:r>
      <w:r w:rsidRPr="00343AC7">
        <w:rPr>
          <w:rFonts w:asciiTheme="minorHAnsi" w:hAnsiTheme="minorHAnsi"/>
        </w:rPr>
        <w:t>is</w:t>
      </w:r>
      <w:r w:rsidRPr="00343AC7">
        <w:rPr>
          <w:rFonts w:asciiTheme="minorHAnsi" w:hAnsiTheme="minorHAnsi"/>
          <w:spacing w:val="-5"/>
        </w:rPr>
        <w:t xml:space="preserve"> </w:t>
      </w:r>
      <w:r>
        <w:rPr>
          <w:rFonts w:asciiTheme="minorHAnsi" w:hAnsiTheme="minorHAnsi"/>
          <w:spacing w:val="-5"/>
        </w:rPr>
        <w:t xml:space="preserve">much </w:t>
      </w:r>
      <w:r w:rsidRPr="00343AC7">
        <w:rPr>
          <w:rFonts w:asciiTheme="minorHAnsi" w:hAnsiTheme="minorHAnsi"/>
        </w:rPr>
        <w:t>lower</w:t>
      </w:r>
      <w:r w:rsidRPr="00343AC7">
        <w:rPr>
          <w:rFonts w:asciiTheme="minorHAnsi" w:hAnsiTheme="minorHAnsi"/>
          <w:spacing w:val="-5"/>
        </w:rPr>
        <w:t xml:space="preserve"> </w:t>
      </w:r>
      <w:r w:rsidRPr="00343AC7">
        <w:rPr>
          <w:rFonts w:asciiTheme="minorHAnsi" w:hAnsiTheme="minorHAnsi"/>
        </w:rPr>
        <w:t>than</w:t>
      </w:r>
      <w:r w:rsidRPr="00343AC7">
        <w:rPr>
          <w:rFonts w:asciiTheme="minorHAnsi" w:hAnsiTheme="minorHAnsi"/>
          <w:spacing w:val="-5"/>
        </w:rPr>
        <w:t xml:space="preserve"> </w:t>
      </w:r>
      <w:r w:rsidRPr="00343AC7">
        <w:rPr>
          <w:rFonts w:asciiTheme="minorHAnsi" w:hAnsiTheme="minorHAnsi"/>
        </w:rPr>
        <w:t>that</w:t>
      </w:r>
      <w:r>
        <w:rPr>
          <w:rFonts w:asciiTheme="minorHAnsi" w:hAnsiTheme="minorHAnsi"/>
        </w:rPr>
        <w:t xml:space="preserve">. </w:t>
      </w:r>
      <w:r w:rsidR="00945F42">
        <w:rPr>
          <w:rFonts w:asciiTheme="minorHAnsi" w:hAnsiTheme="minorHAnsi"/>
        </w:rPr>
        <w:t xml:space="preserve">Thus, land owners will </w:t>
      </w:r>
      <w:r w:rsidRPr="00343AC7">
        <w:rPr>
          <w:rFonts w:asciiTheme="minorHAnsi" w:hAnsiTheme="minorHAnsi"/>
        </w:rPr>
        <w:t xml:space="preserve">profit overall. </w:t>
      </w:r>
      <w:r w:rsidR="00945F42">
        <w:rPr>
          <w:rFonts w:asciiTheme="minorHAnsi" w:hAnsiTheme="minorHAnsi"/>
        </w:rPr>
        <w:t xml:space="preserve">In addition, the broader economic benefits have been well publicised. The benefits include much shorter and more predictable travel times to work which will bring significant productivity increases to </w:t>
      </w:r>
      <w:r w:rsidR="00337D03">
        <w:rPr>
          <w:rFonts w:asciiTheme="minorHAnsi" w:hAnsiTheme="minorHAnsi"/>
        </w:rPr>
        <w:t>employers</w:t>
      </w:r>
      <w:r w:rsidR="00945F42">
        <w:rPr>
          <w:rFonts w:asciiTheme="minorHAnsi" w:hAnsiTheme="minorHAnsi"/>
        </w:rPr>
        <w:t>.</w:t>
      </w:r>
    </w:p>
    <w:p w14:paraId="54E6B9B7" w14:textId="77777777" w:rsidR="00C04D6C" w:rsidRDefault="00C04D6C" w:rsidP="00343AC7">
      <w:pPr>
        <w:pStyle w:val="BodyText"/>
        <w:spacing w:line="240" w:lineRule="exact"/>
        <w:ind w:left="0" w:right="127"/>
        <w:rPr>
          <w:rFonts w:asciiTheme="minorHAnsi" w:hAnsiTheme="minorHAnsi"/>
        </w:rPr>
      </w:pPr>
    </w:p>
    <w:p w14:paraId="326F8570" w14:textId="77777777" w:rsidR="00C04D6C" w:rsidRPr="00F104AC" w:rsidRDefault="00C04D6C" w:rsidP="00C04D6C">
      <w:pPr>
        <w:pStyle w:val="BodyText"/>
        <w:spacing w:line="240" w:lineRule="exact"/>
        <w:ind w:left="0" w:right="138"/>
        <w:rPr>
          <w:rFonts w:asciiTheme="minorHAnsi" w:hAnsiTheme="minorHAnsi"/>
        </w:rPr>
      </w:pPr>
      <w:r w:rsidRPr="00F104AC">
        <w:rPr>
          <w:rFonts w:asciiTheme="minorHAnsi" w:hAnsiTheme="minorHAnsi"/>
        </w:rPr>
        <w:t xml:space="preserve">The </w:t>
      </w:r>
      <w:r w:rsidRPr="00F104AC">
        <w:rPr>
          <w:rFonts w:asciiTheme="minorHAnsi" w:hAnsiTheme="minorHAnsi"/>
          <w:spacing w:val="2"/>
        </w:rPr>
        <w:t xml:space="preserve">BRS </w:t>
      </w:r>
      <w:r w:rsidRPr="00F104AC">
        <w:rPr>
          <w:rFonts w:asciiTheme="minorHAnsi" w:hAnsiTheme="minorHAnsi"/>
        </w:rPr>
        <w:t>value capture mechanism has a</w:t>
      </w:r>
      <w:r>
        <w:rPr>
          <w:rFonts w:asciiTheme="minorHAnsi" w:hAnsiTheme="minorHAnsi"/>
        </w:rPr>
        <w:t>n</w:t>
      </w:r>
      <w:r w:rsidRPr="00F104AC">
        <w:rPr>
          <w:rFonts w:asciiTheme="minorHAnsi" w:hAnsiTheme="minorHAnsi"/>
        </w:rPr>
        <w:t xml:space="preserve"> efficiency drawback, which is that its tax</w:t>
      </w:r>
      <w:r w:rsidRPr="00F104AC">
        <w:rPr>
          <w:rFonts w:asciiTheme="minorHAnsi" w:hAnsiTheme="minorHAnsi"/>
          <w:spacing w:val="-5"/>
        </w:rPr>
        <w:t xml:space="preserve"> </w:t>
      </w:r>
      <w:r w:rsidRPr="00F104AC">
        <w:rPr>
          <w:rFonts w:asciiTheme="minorHAnsi" w:hAnsiTheme="minorHAnsi"/>
        </w:rPr>
        <w:t>rate</w:t>
      </w:r>
      <w:r w:rsidRPr="00F104AC">
        <w:rPr>
          <w:rFonts w:asciiTheme="minorHAnsi" w:hAnsiTheme="minorHAnsi"/>
          <w:spacing w:val="-5"/>
        </w:rPr>
        <w:t xml:space="preserve"> </w:t>
      </w:r>
      <w:r w:rsidRPr="00F104AC">
        <w:rPr>
          <w:rFonts w:asciiTheme="minorHAnsi" w:hAnsiTheme="minorHAnsi"/>
        </w:rPr>
        <w:t>is</w:t>
      </w:r>
      <w:r w:rsidRPr="00F104AC">
        <w:rPr>
          <w:rFonts w:asciiTheme="minorHAnsi" w:hAnsiTheme="minorHAnsi"/>
          <w:spacing w:val="-5"/>
        </w:rPr>
        <w:t xml:space="preserve"> </w:t>
      </w:r>
      <w:r w:rsidRPr="00F104AC">
        <w:rPr>
          <w:rFonts w:asciiTheme="minorHAnsi" w:hAnsiTheme="minorHAnsi"/>
        </w:rPr>
        <w:t>not</w:t>
      </w:r>
      <w:r w:rsidRPr="00F104AC">
        <w:rPr>
          <w:rFonts w:asciiTheme="minorHAnsi" w:hAnsiTheme="minorHAnsi"/>
          <w:spacing w:val="-5"/>
        </w:rPr>
        <w:t xml:space="preserve"> </w:t>
      </w:r>
      <w:r w:rsidRPr="00F104AC">
        <w:rPr>
          <w:rFonts w:asciiTheme="minorHAnsi" w:hAnsiTheme="minorHAnsi"/>
        </w:rPr>
        <w:t>differentiated</w:t>
      </w:r>
      <w:r w:rsidRPr="00F104AC">
        <w:rPr>
          <w:rFonts w:asciiTheme="minorHAnsi" w:hAnsiTheme="minorHAnsi"/>
          <w:spacing w:val="-5"/>
        </w:rPr>
        <w:t xml:space="preserve"> </w:t>
      </w:r>
      <w:r w:rsidRPr="00F104AC">
        <w:rPr>
          <w:rFonts w:asciiTheme="minorHAnsi" w:hAnsiTheme="minorHAnsi"/>
        </w:rPr>
        <w:t>according</w:t>
      </w:r>
      <w:r w:rsidRPr="00F104AC">
        <w:rPr>
          <w:rFonts w:asciiTheme="minorHAnsi" w:hAnsiTheme="minorHAnsi"/>
          <w:spacing w:val="-5"/>
        </w:rPr>
        <w:t xml:space="preserve"> </w:t>
      </w:r>
      <w:r w:rsidRPr="00F104AC">
        <w:rPr>
          <w:rFonts w:asciiTheme="minorHAnsi" w:hAnsiTheme="minorHAnsi"/>
        </w:rPr>
        <w:t>to</w:t>
      </w:r>
      <w:r w:rsidRPr="00F104AC">
        <w:rPr>
          <w:rFonts w:asciiTheme="minorHAnsi" w:hAnsiTheme="minorHAnsi"/>
          <w:spacing w:val="-5"/>
        </w:rPr>
        <w:t xml:space="preserve"> </w:t>
      </w:r>
      <w:r w:rsidRPr="00F104AC">
        <w:rPr>
          <w:rFonts w:asciiTheme="minorHAnsi" w:hAnsiTheme="minorHAnsi"/>
        </w:rPr>
        <w:t>location.</w:t>
      </w:r>
      <w:r w:rsidRPr="00F104AC">
        <w:rPr>
          <w:rFonts w:asciiTheme="minorHAnsi" w:hAnsiTheme="minorHAnsi"/>
          <w:spacing w:val="-5"/>
        </w:rPr>
        <w:t xml:space="preserve"> </w:t>
      </w:r>
      <w:r w:rsidRPr="00F104AC">
        <w:rPr>
          <w:rFonts w:asciiTheme="minorHAnsi" w:hAnsiTheme="minorHAnsi"/>
        </w:rPr>
        <w:t xml:space="preserve">One of the main </w:t>
      </w:r>
      <w:r>
        <w:rPr>
          <w:rFonts w:asciiTheme="minorHAnsi" w:hAnsiTheme="minorHAnsi"/>
        </w:rPr>
        <w:t>recommendations</w:t>
      </w:r>
      <w:r w:rsidRPr="00F104AC">
        <w:rPr>
          <w:rFonts w:asciiTheme="minorHAnsi" w:hAnsiTheme="minorHAnsi"/>
        </w:rPr>
        <w:t xml:space="preserve"> to improve the efficiency of the mechanism is that the </w:t>
      </w:r>
      <w:r w:rsidRPr="00F104AC">
        <w:rPr>
          <w:rFonts w:asciiTheme="minorHAnsi" w:hAnsiTheme="minorHAnsi"/>
          <w:spacing w:val="2"/>
        </w:rPr>
        <w:t xml:space="preserve">BRS </w:t>
      </w:r>
      <w:r w:rsidRPr="00F104AC">
        <w:rPr>
          <w:rFonts w:asciiTheme="minorHAnsi" w:hAnsiTheme="minorHAnsi"/>
        </w:rPr>
        <w:t>should be restructured such that those areas that gain most from the Crossrail also</w:t>
      </w:r>
      <w:r w:rsidRPr="00F104AC">
        <w:rPr>
          <w:rFonts w:asciiTheme="minorHAnsi" w:hAnsiTheme="minorHAnsi"/>
          <w:spacing w:val="-27"/>
        </w:rPr>
        <w:t xml:space="preserve"> </w:t>
      </w:r>
      <w:r>
        <w:rPr>
          <w:rFonts w:asciiTheme="minorHAnsi" w:hAnsiTheme="minorHAnsi"/>
        </w:rPr>
        <w:t>pay a higher BRS</w:t>
      </w:r>
      <w:r w:rsidRPr="00F104AC">
        <w:rPr>
          <w:rFonts w:asciiTheme="minorHAnsi" w:hAnsiTheme="minorHAnsi"/>
        </w:rPr>
        <w:t>.</w:t>
      </w:r>
    </w:p>
    <w:p w14:paraId="7B5ED900" w14:textId="77777777" w:rsidR="00343AC7" w:rsidRPr="00343AC7" w:rsidRDefault="00343AC7" w:rsidP="00343AC7">
      <w:pPr>
        <w:pStyle w:val="BodyText"/>
        <w:spacing w:line="240" w:lineRule="exact"/>
        <w:ind w:left="0" w:right="127"/>
        <w:rPr>
          <w:rFonts w:asciiTheme="minorHAnsi" w:hAnsiTheme="minorHAnsi"/>
        </w:rPr>
      </w:pPr>
    </w:p>
    <w:p w14:paraId="00B7C180" w14:textId="77777777" w:rsidR="00523AF7" w:rsidRDefault="00523AF7" w:rsidP="00523AF7">
      <w:r>
        <w:t>The CIL is a compulsory charge on all new development in England</w:t>
      </w:r>
      <w:r w:rsidRPr="00AB5B0B">
        <w:t xml:space="preserve"> </w:t>
      </w:r>
      <w:r>
        <w:t>to contribute to the cost of new infrastructure that is required to support new development. It is levied by local authorities on a square metre basis. It is designed to supersede individual developer contributions based on case by case negotiations.</w:t>
      </w:r>
      <w:r w:rsidR="00343AC7" w:rsidRPr="00343AC7">
        <w:t xml:space="preserve"> </w:t>
      </w:r>
      <w:r w:rsidR="00343AC7">
        <w:t>It is forecast to raise 300 million pounds in total.</w:t>
      </w:r>
    </w:p>
    <w:p w14:paraId="6A078D75" w14:textId="77777777" w:rsidR="009A5B2D" w:rsidRDefault="006F167C" w:rsidP="009861AC">
      <w:pPr>
        <w:pStyle w:val="Heading2"/>
      </w:pPr>
      <w:bookmarkStart w:id="55" w:name="_Toc430896841"/>
      <w:r>
        <w:t xml:space="preserve">Hudson Yards, </w:t>
      </w:r>
      <w:r w:rsidR="00642845">
        <w:t>New York</w:t>
      </w:r>
      <w:r w:rsidR="00F63DD2">
        <w:t xml:space="preserve"> – Blending Value Capture Mechanisms</w:t>
      </w:r>
      <w:bookmarkEnd w:id="55"/>
    </w:p>
    <w:p w14:paraId="3ECAABCA" w14:textId="77777777" w:rsidR="00362FA6" w:rsidRDefault="00462063" w:rsidP="00462063">
      <w:pPr>
        <w:rPr>
          <w:rFonts w:eastAsia="Times New Roman" w:cs="Arial"/>
          <w:szCs w:val="20"/>
        </w:rPr>
      </w:pPr>
      <w:r w:rsidRPr="00C11E00">
        <w:rPr>
          <w:rFonts w:eastAsia="Times New Roman" w:cs="Arial"/>
          <w:szCs w:val="20"/>
        </w:rPr>
        <w:t xml:space="preserve">In New York, the Hudson Yards Redevelopment Project is a contemporary example of transit oriented development employing a range of value capture </w:t>
      </w:r>
      <w:r w:rsidR="00362FA6">
        <w:rPr>
          <w:rFonts w:eastAsia="Times New Roman" w:cs="Arial"/>
          <w:szCs w:val="20"/>
        </w:rPr>
        <w:t>mechanisms</w:t>
      </w:r>
      <w:r w:rsidRPr="00C11E00">
        <w:rPr>
          <w:rFonts w:eastAsia="Times New Roman" w:cs="Arial"/>
          <w:szCs w:val="20"/>
        </w:rPr>
        <w:t xml:space="preserve">. </w:t>
      </w:r>
    </w:p>
    <w:p w14:paraId="002D444C" w14:textId="77777777" w:rsidR="00362FA6" w:rsidRDefault="00362FA6" w:rsidP="00462063">
      <w:pPr>
        <w:rPr>
          <w:rFonts w:eastAsia="Times New Roman" w:cs="Arial"/>
          <w:szCs w:val="20"/>
        </w:rPr>
      </w:pPr>
    </w:p>
    <w:p w14:paraId="63A1B7E7" w14:textId="77777777" w:rsidR="0090021C" w:rsidRPr="00C11E00" w:rsidRDefault="00462063" w:rsidP="0090021C">
      <w:pPr>
        <w:rPr>
          <w:rFonts w:eastAsia="Times New Roman" w:cs="Arial"/>
          <w:szCs w:val="20"/>
        </w:rPr>
      </w:pPr>
      <w:r w:rsidRPr="00C11E00">
        <w:rPr>
          <w:rFonts w:eastAsia="Times New Roman" w:cs="Arial"/>
          <w:szCs w:val="20"/>
        </w:rPr>
        <w:t xml:space="preserve">Hudson Yards began with the City of New York initiating a project to extend the 7-Line Subway and redevelop the corridor. </w:t>
      </w:r>
      <w:r w:rsidR="00362FA6" w:rsidRPr="00C11E00">
        <w:rPr>
          <w:rFonts w:eastAsia="Times New Roman" w:cs="Arial"/>
          <w:szCs w:val="20"/>
        </w:rPr>
        <w:t xml:space="preserve">The project cost </w:t>
      </w:r>
      <w:r w:rsidR="00362FA6">
        <w:rPr>
          <w:rFonts w:eastAsia="Times New Roman" w:cs="Arial"/>
          <w:szCs w:val="20"/>
        </w:rPr>
        <w:t>is</w:t>
      </w:r>
      <w:r w:rsidR="00362FA6" w:rsidRPr="00C11E00">
        <w:rPr>
          <w:rFonts w:eastAsia="Times New Roman" w:cs="Arial"/>
          <w:szCs w:val="20"/>
        </w:rPr>
        <w:t xml:space="preserve"> estimated at USD2.3 billion.</w:t>
      </w:r>
      <w:r w:rsidR="00362FA6">
        <w:rPr>
          <w:rFonts w:eastAsia="Times New Roman" w:cs="Arial"/>
          <w:szCs w:val="20"/>
        </w:rPr>
        <w:t xml:space="preserve"> </w:t>
      </w:r>
      <w:r w:rsidR="0090021C">
        <w:rPr>
          <w:rFonts w:eastAsia="Times New Roman" w:cs="Arial"/>
          <w:szCs w:val="20"/>
        </w:rPr>
        <w:t>Initially, t</w:t>
      </w:r>
      <w:r w:rsidR="0090021C" w:rsidRPr="00C11E00">
        <w:rPr>
          <w:rFonts w:eastAsia="Times New Roman" w:cs="Arial"/>
          <w:szCs w:val="20"/>
        </w:rPr>
        <w:t xml:space="preserve">he </w:t>
      </w:r>
      <w:r w:rsidR="0090021C">
        <w:rPr>
          <w:rFonts w:eastAsia="Times New Roman" w:cs="Arial"/>
          <w:szCs w:val="20"/>
        </w:rPr>
        <w:t>Metropolitan Transport Authority (</w:t>
      </w:r>
      <w:r w:rsidR="0090021C" w:rsidRPr="00C11E00">
        <w:rPr>
          <w:rFonts w:eastAsia="Times New Roman" w:cs="Arial"/>
          <w:szCs w:val="20"/>
        </w:rPr>
        <w:t>MTA</w:t>
      </w:r>
      <w:r w:rsidR="0090021C">
        <w:rPr>
          <w:rFonts w:eastAsia="Times New Roman" w:cs="Arial"/>
          <w:szCs w:val="20"/>
        </w:rPr>
        <w:t>)</w:t>
      </w:r>
      <w:r w:rsidR="0090021C" w:rsidRPr="00C11E00">
        <w:rPr>
          <w:rFonts w:eastAsia="Times New Roman" w:cs="Arial"/>
          <w:szCs w:val="20"/>
        </w:rPr>
        <w:t xml:space="preserve"> did not consider</w:t>
      </w:r>
      <w:r w:rsidR="0090021C">
        <w:rPr>
          <w:rFonts w:eastAsia="Times New Roman" w:cs="Arial"/>
          <w:szCs w:val="20"/>
        </w:rPr>
        <w:t xml:space="preserve"> the 7-Line Subway project as</w:t>
      </w:r>
      <w:r w:rsidR="0090021C" w:rsidRPr="00C11E00">
        <w:rPr>
          <w:rFonts w:eastAsia="Times New Roman" w:cs="Arial"/>
          <w:szCs w:val="20"/>
        </w:rPr>
        <w:t xml:space="preserve"> a priority</w:t>
      </w:r>
      <w:r w:rsidR="0090021C">
        <w:rPr>
          <w:rFonts w:eastAsia="Times New Roman" w:cs="Arial"/>
          <w:szCs w:val="20"/>
        </w:rPr>
        <w:t xml:space="preserve"> for its limited capital budget</w:t>
      </w:r>
      <w:r w:rsidR="0090021C" w:rsidRPr="00C11E00">
        <w:rPr>
          <w:rFonts w:eastAsia="Times New Roman" w:cs="Arial"/>
          <w:szCs w:val="20"/>
        </w:rPr>
        <w:t xml:space="preserve">. </w:t>
      </w:r>
      <w:r w:rsidR="0090021C" w:rsidRPr="00C11E00">
        <w:rPr>
          <w:rFonts w:eastAsia="Times New Roman" w:cs="Arial"/>
          <w:szCs w:val="20"/>
        </w:rPr>
        <w:lastRenderedPageBreak/>
        <w:t>Therefore</w:t>
      </w:r>
      <w:r w:rsidR="0090021C">
        <w:rPr>
          <w:rFonts w:eastAsia="Times New Roman" w:cs="Arial"/>
          <w:szCs w:val="20"/>
        </w:rPr>
        <w:t>,</w:t>
      </w:r>
      <w:r w:rsidR="0090021C" w:rsidRPr="00C11E00">
        <w:rPr>
          <w:rFonts w:eastAsia="Times New Roman" w:cs="Arial"/>
          <w:szCs w:val="20"/>
        </w:rPr>
        <w:t xml:space="preserve"> the City decided to leverage future tax revenue from urban renewal </w:t>
      </w:r>
      <w:r w:rsidR="0090021C">
        <w:rPr>
          <w:rFonts w:eastAsia="Times New Roman" w:cs="Arial"/>
          <w:szCs w:val="20"/>
        </w:rPr>
        <w:t xml:space="preserve">to generate upfront funding. With </w:t>
      </w:r>
      <w:r w:rsidR="0090021C" w:rsidRPr="00C11E00">
        <w:rPr>
          <w:rFonts w:eastAsia="Times New Roman" w:cs="Arial"/>
          <w:szCs w:val="20"/>
        </w:rPr>
        <w:t>co-funding</w:t>
      </w:r>
      <w:r w:rsidR="0090021C">
        <w:rPr>
          <w:rFonts w:eastAsia="Times New Roman" w:cs="Arial"/>
          <w:szCs w:val="20"/>
        </w:rPr>
        <w:t xml:space="preserve"> in place</w:t>
      </w:r>
      <w:r w:rsidR="0090021C" w:rsidRPr="00C11E00">
        <w:rPr>
          <w:rFonts w:eastAsia="Times New Roman" w:cs="Arial"/>
          <w:szCs w:val="20"/>
        </w:rPr>
        <w:t xml:space="preserve">, the City </w:t>
      </w:r>
      <w:r w:rsidR="0090021C">
        <w:rPr>
          <w:rFonts w:eastAsia="Times New Roman" w:cs="Arial"/>
          <w:szCs w:val="20"/>
        </w:rPr>
        <w:t>was able to</w:t>
      </w:r>
      <w:r w:rsidR="0090021C" w:rsidRPr="00C11E00">
        <w:rPr>
          <w:rFonts w:eastAsia="Times New Roman" w:cs="Arial"/>
          <w:szCs w:val="20"/>
        </w:rPr>
        <w:t xml:space="preserve"> bring the project forward in the MTA’s pipeline. </w:t>
      </w:r>
    </w:p>
    <w:p w14:paraId="4E18FDC6" w14:textId="77777777" w:rsidR="00362FA6" w:rsidRDefault="00362FA6" w:rsidP="00462063">
      <w:pPr>
        <w:rPr>
          <w:rFonts w:eastAsia="Times New Roman" w:cs="Arial"/>
          <w:szCs w:val="20"/>
        </w:rPr>
      </w:pPr>
    </w:p>
    <w:p w14:paraId="2FCC6986" w14:textId="77777777" w:rsidR="00362FA6" w:rsidRDefault="00362FA6" w:rsidP="00462063">
      <w:pPr>
        <w:rPr>
          <w:rFonts w:eastAsia="Times New Roman" w:cs="Arial"/>
          <w:szCs w:val="20"/>
        </w:rPr>
      </w:pPr>
      <w:r>
        <w:rPr>
          <w:rFonts w:eastAsia="Times New Roman" w:cs="Arial"/>
          <w:szCs w:val="20"/>
        </w:rPr>
        <w:t xml:space="preserve">Value capture mechanisms used for Hudson Yards </w:t>
      </w:r>
      <w:r w:rsidR="00444EA5">
        <w:rPr>
          <w:rFonts w:eastAsia="Times New Roman" w:cs="Arial"/>
          <w:szCs w:val="20"/>
        </w:rPr>
        <w:t>include</w:t>
      </w:r>
      <w:r>
        <w:rPr>
          <w:rFonts w:eastAsia="Times New Roman" w:cs="Arial"/>
          <w:szCs w:val="20"/>
        </w:rPr>
        <w:t>:</w:t>
      </w:r>
    </w:p>
    <w:p w14:paraId="4FF9164A" w14:textId="77777777" w:rsidR="00362FA6" w:rsidRDefault="00362FA6" w:rsidP="00462063">
      <w:pPr>
        <w:rPr>
          <w:rFonts w:eastAsia="Times New Roman" w:cs="Arial"/>
          <w:szCs w:val="20"/>
        </w:rPr>
      </w:pPr>
    </w:p>
    <w:p w14:paraId="21D90235" w14:textId="5011A5FA" w:rsidR="00362FA6" w:rsidRDefault="00362FA6" w:rsidP="00791C11">
      <w:pPr>
        <w:pStyle w:val="ListParagraph"/>
        <w:numPr>
          <w:ilvl w:val="0"/>
          <w:numId w:val="19"/>
        </w:numPr>
        <w:rPr>
          <w:rFonts w:eastAsia="Times New Roman" w:cs="Arial"/>
          <w:szCs w:val="20"/>
        </w:rPr>
      </w:pPr>
      <w:r>
        <w:rPr>
          <w:rFonts w:eastAsia="Times New Roman" w:cs="Arial"/>
          <w:szCs w:val="20"/>
        </w:rPr>
        <w:t>Bonds</w:t>
      </w:r>
      <w:r w:rsidR="007360E4">
        <w:rPr>
          <w:rFonts w:eastAsia="Times New Roman" w:cs="Arial"/>
          <w:szCs w:val="20"/>
        </w:rPr>
        <w:t xml:space="preserve"> </w:t>
      </w:r>
      <w:r w:rsidR="003140B8">
        <w:rPr>
          <w:rFonts w:eastAsia="Times New Roman" w:cs="Arial"/>
          <w:szCs w:val="20"/>
        </w:rPr>
        <w:t>(secured</w:t>
      </w:r>
      <w:r w:rsidR="00FD15DA">
        <w:rPr>
          <w:rFonts w:eastAsia="Times New Roman" w:cs="Arial"/>
          <w:szCs w:val="20"/>
        </w:rPr>
        <w:t xml:space="preserve"> </w:t>
      </w:r>
      <w:r w:rsidR="003140B8">
        <w:rPr>
          <w:rFonts w:eastAsia="Times New Roman" w:cs="Arial"/>
          <w:szCs w:val="20"/>
        </w:rPr>
        <w:t xml:space="preserve">by upfront payments form property owners in lieu of future taxes) </w:t>
      </w:r>
    </w:p>
    <w:p w14:paraId="1D365F42" w14:textId="77777777" w:rsidR="00362FA6" w:rsidRDefault="00362FA6" w:rsidP="00791C11">
      <w:pPr>
        <w:pStyle w:val="ListParagraph"/>
        <w:numPr>
          <w:ilvl w:val="0"/>
          <w:numId w:val="19"/>
        </w:numPr>
        <w:rPr>
          <w:rFonts w:eastAsia="Times New Roman" w:cs="Arial"/>
          <w:szCs w:val="20"/>
        </w:rPr>
      </w:pPr>
      <w:r>
        <w:rPr>
          <w:rFonts w:eastAsia="Times New Roman" w:cs="Arial"/>
          <w:szCs w:val="20"/>
        </w:rPr>
        <w:t>T</w:t>
      </w:r>
      <w:r w:rsidRPr="00C11E00">
        <w:rPr>
          <w:rFonts w:eastAsia="Times New Roman" w:cs="Arial"/>
          <w:szCs w:val="20"/>
        </w:rPr>
        <w:t xml:space="preserve">ransferrable </w:t>
      </w:r>
      <w:r>
        <w:rPr>
          <w:rFonts w:eastAsia="Times New Roman" w:cs="Arial"/>
          <w:szCs w:val="20"/>
        </w:rPr>
        <w:t>D</w:t>
      </w:r>
      <w:r w:rsidRPr="00C11E00">
        <w:rPr>
          <w:rFonts w:eastAsia="Times New Roman" w:cs="Arial"/>
          <w:szCs w:val="20"/>
        </w:rPr>
        <w:t xml:space="preserve">evelopment </w:t>
      </w:r>
      <w:r>
        <w:rPr>
          <w:rFonts w:eastAsia="Times New Roman" w:cs="Arial"/>
          <w:szCs w:val="20"/>
        </w:rPr>
        <w:t>R</w:t>
      </w:r>
      <w:r w:rsidRPr="00C11E00">
        <w:rPr>
          <w:rFonts w:eastAsia="Times New Roman" w:cs="Arial"/>
          <w:szCs w:val="20"/>
        </w:rPr>
        <w:t xml:space="preserve">ights (“TDRs”) </w:t>
      </w:r>
    </w:p>
    <w:p w14:paraId="49F11CB3" w14:textId="77777777" w:rsidR="00946DEB" w:rsidRDefault="00362FA6" w:rsidP="00791C11">
      <w:pPr>
        <w:pStyle w:val="ListParagraph"/>
        <w:numPr>
          <w:ilvl w:val="0"/>
          <w:numId w:val="19"/>
        </w:numPr>
        <w:rPr>
          <w:rFonts w:eastAsia="Times New Roman" w:cs="Arial"/>
          <w:szCs w:val="20"/>
        </w:rPr>
      </w:pPr>
      <w:r w:rsidRPr="00362FA6">
        <w:rPr>
          <w:rFonts w:eastAsia="Times New Roman" w:cs="Arial"/>
          <w:szCs w:val="20"/>
        </w:rPr>
        <w:t>District Improvement Bonuses (“DIBs”)</w:t>
      </w:r>
      <w:r w:rsidR="00B72829">
        <w:rPr>
          <w:rFonts w:eastAsia="Times New Roman" w:cs="Arial"/>
          <w:szCs w:val="20"/>
        </w:rPr>
        <w:t>.</w:t>
      </w:r>
    </w:p>
    <w:p w14:paraId="00F2147B" w14:textId="77777777" w:rsidR="00896C6F" w:rsidRDefault="00896C6F" w:rsidP="00896C6F">
      <w:pPr>
        <w:rPr>
          <w:rFonts w:eastAsia="Times New Roman" w:cs="Arial"/>
          <w:szCs w:val="20"/>
        </w:rPr>
      </w:pPr>
    </w:p>
    <w:p w14:paraId="4E4B17FA" w14:textId="2D66EC7C" w:rsidR="00896C6F" w:rsidRPr="00896C6F" w:rsidRDefault="00896C6F" w:rsidP="00896C6F">
      <w:pPr>
        <w:pStyle w:val="Caption"/>
        <w:rPr>
          <w:rFonts w:eastAsia="Times New Roman" w:cs="Arial"/>
          <w:szCs w:val="20"/>
        </w:rPr>
      </w:pPr>
      <w:bookmarkStart w:id="56" w:name="_Toc430896557"/>
      <w:r>
        <w:t xml:space="preserve">Figure </w:t>
      </w:r>
      <w:r>
        <w:fldChar w:fldCharType="begin"/>
      </w:r>
      <w:r>
        <w:instrText xml:space="preserve"> SEQ Figure \* ARABIC </w:instrText>
      </w:r>
      <w:r>
        <w:fldChar w:fldCharType="separate"/>
      </w:r>
      <w:r w:rsidR="00184C79">
        <w:rPr>
          <w:noProof/>
        </w:rPr>
        <w:t>5</w:t>
      </w:r>
      <w:r>
        <w:fldChar w:fldCharType="end"/>
      </w:r>
      <w:r>
        <w:t>.</w:t>
      </w:r>
      <w:r>
        <w:tab/>
        <w:t>site plan of hudson yards</w:t>
      </w:r>
      <w:bookmarkEnd w:id="56"/>
    </w:p>
    <w:p w14:paraId="41E6E1EF" w14:textId="77777777" w:rsidR="00444EA5" w:rsidRPr="00444EA5" w:rsidRDefault="00444EA5" w:rsidP="00444EA5">
      <w:pPr>
        <w:rPr>
          <w:rFonts w:eastAsia="Times New Roman" w:cs="Arial"/>
          <w:szCs w:val="20"/>
        </w:rPr>
      </w:pPr>
    </w:p>
    <w:p w14:paraId="51765EAC" w14:textId="77777777" w:rsidR="00B42273" w:rsidRDefault="00670F47" w:rsidP="00462063">
      <w:pPr>
        <w:rPr>
          <w:rFonts w:eastAsia="Times New Roman" w:cs="Arial"/>
          <w:szCs w:val="20"/>
        </w:rPr>
      </w:pPr>
      <w:r w:rsidRPr="00670F47">
        <w:rPr>
          <w:noProof/>
          <w:lang w:val="en-US" w:eastAsia="en-US"/>
        </w:rPr>
        <w:drawing>
          <wp:inline distT="0" distB="0" distL="0" distR="0" wp14:anchorId="207D1E89" wp14:editId="7B0925D0">
            <wp:extent cx="5530850" cy="33409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530850" cy="3340964"/>
                    </a:xfrm>
                    <a:prstGeom prst="rect">
                      <a:avLst/>
                    </a:prstGeom>
                  </pic:spPr>
                </pic:pic>
              </a:graphicData>
            </a:graphic>
          </wp:inline>
        </w:drawing>
      </w:r>
    </w:p>
    <w:p w14:paraId="451AC5F3" w14:textId="77777777" w:rsidR="00670F47" w:rsidRDefault="00670F47" w:rsidP="00462063">
      <w:pPr>
        <w:rPr>
          <w:rFonts w:eastAsia="Times New Roman" w:cs="Arial"/>
          <w:szCs w:val="20"/>
        </w:rPr>
      </w:pPr>
    </w:p>
    <w:p w14:paraId="2F28D079" w14:textId="77777777" w:rsidR="00462063" w:rsidRPr="00C11E00" w:rsidRDefault="00462063" w:rsidP="00462063">
      <w:pPr>
        <w:rPr>
          <w:rFonts w:eastAsia="Times New Roman" w:cs="Arial"/>
          <w:szCs w:val="20"/>
        </w:rPr>
      </w:pPr>
      <w:r w:rsidRPr="00C11E00">
        <w:rPr>
          <w:rFonts w:eastAsia="Times New Roman" w:cs="Arial"/>
          <w:szCs w:val="20"/>
        </w:rPr>
        <w:t xml:space="preserve">The first step </w:t>
      </w:r>
      <w:r w:rsidR="00B72829">
        <w:rPr>
          <w:rFonts w:eastAsia="Times New Roman" w:cs="Arial"/>
          <w:szCs w:val="20"/>
        </w:rPr>
        <w:t xml:space="preserve">by the City </w:t>
      </w:r>
      <w:r w:rsidRPr="00C11E00">
        <w:rPr>
          <w:rFonts w:eastAsia="Times New Roman" w:cs="Arial"/>
          <w:szCs w:val="20"/>
        </w:rPr>
        <w:t xml:space="preserve">was rezoning 45-blocks of manufacturing space at Hudson Yards for future commercial and residential development. This zoning amendment allowed for the creation of 25.8 million square-feet </w:t>
      </w:r>
      <w:r w:rsidR="0029645F">
        <w:rPr>
          <w:rFonts w:eastAsia="Times New Roman" w:cs="Arial"/>
          <w:szCs w:val="20"/>
        </w:rPr>
        <w:t xml:space="preserve">(2.3 million square metres) </w:t>
      </w:r>
      <w:r w:rsidRPr="00C11E00">
        <w:rPr>
          <w:rFonts w:eastAsia="Times New Roman" w:cs="Arial"/>
          <w:szCs w:val="20"/>
        </w:rPr>
        <w:t>of office space</w:t>
      </w:r>
      <w:r w:rsidR="00FB36E3">
        <w:rPr>
          <w:rFonts w:eastAsia="Times New Roman" w:cs="Arial"/>
          <w:szCs w:val="20"/>
        </w:rPr>
        <w:t>;</w:t>
      </w:r>
      <w:r w:rsidRPr="00C11E00">
        <w:rPr>
          <w:rFonts w:eastAsia="Times New Roman" w:cs="Arial"/>
          <w:szCs w:val="20"/>
        </w:rPr>
        <w:t xml:space="preserve"> 20,000 housing units</w:t>
      </w:r>
      <w:r w:rsidR="00FB36E3">
        <w:rPr>
          <w:rFonts w:eastAsia="Times New Roman" w:cs="Arial"/>
          <w:szCs w:val="20"/>
        </w:rPr>
        <w:t>;</w:t>
      </w:r>
      <w:r w:rsidRPr="00C11E00">
        <w:rPr>
          <w:rFonts w:eastAsia="Times New Roman" w:cs="Arial"/>
          <w:szCs w:val="20"/>
        </w:rPr>
        <w:t xml:space="preserve"> two million square-feet </w:t>
      </w:r>
      <w:r w:rsidR="0029645F">
        <w:rPr>
          <w:rFonts w:eastAsia="Times New Roman" w:cs="Arial"/>
          <w:szCs w:val="20"/>
        </w:rPr>
        <w:t xml:space="preserve">(185,000 square metres) </w:t>
      </w:r>
      <w:r w:rsidRPr="00C11E00">
        <w:rPr>
          <w:rFonts w:eastAsia="Times New Roman" w:cs="Arial"/>
          <w:szCs w:val="20"/>
        </w:rPr>
        <w:t>of hotel space</w:t>
      </w:r>
      <w:r w:rsidR="00FB36E3">
        <w:rPr>
          <w:rFonts w:eastAsia="Times New Roman" w:cs="Arial"/>
          <w:szCs w:val="20"/>
        </w:rPr>
        <w:t>;</w:t>
      </w:r>
      <w:r w:rsidRPr="00C11E00">
        <w:rPr>
          <w:rFonts w:eastAsia="Times New Roman" w:cs="Arial"/>
          <w:szCs w:val="20"/>
        </w:rPr>
        <w:t xml:space="preserve"> one million square-feet </w:t>
      </w:r>
      <w:r w:rsidR="0029645F">
        <w:rPr>
          <w:rFonts w:eastAsia="Times New Roman" w:cs="Arial"/>
          <w:szCs w:val="20"/>
        </w:rPr>
        <w:t xml:space="preserve">(92,500 square metres) </w:t>
      </w:r>
      <w:r w:rsidRPr="00C11E00">
        <w:rPr>
          <w:rFonts w:eastAsia="Times New Roman" w:cs="Arial"/>
          <w:szCs w:val="20"/>
        </w:rPr>
        <w:t>of retail space</w:t>
      </w:r>
      <w:r w:rsidR="00FB36E3">
        <w:rPr>
          <w:rFonts w:eastAsia="Times New Roman" w:cs="Arial"/>
          <w:szCs w:val="20"/>
        </w:rPr>
        <w:t>;</w:t>
      </w:r>
      <w:r w:rsidRPr="00C11E00">
        <w:rPr>
          <w:rFonts w:eastAsia="Times New Roman" w:cs="Arial"/>
          <w:szCs w:val="20"/>
        </w:rPr>
        <w:t xml:space="preserve"> and 20 acres </w:t>
      </w:r>
      <w:r w:rsidR="001256EA">
        <w:rPr>
          <w:rFonts w:eastAsia="Times New Roman" w:cs="Arial"/>
          <w:szCs w:val="20"/>
        </w:rPr>
        <w:t xml:space="preserve">(8 hectares) </w:t>
      </w:r>
      <w:r w:rsidRPr="00C11E00">
        <w:rPr>
          <w:rFonts w:eastAsia="Times New Roman" w:cs="Arial"/>
          <w:szCs w:val="20"/>
        </w:rPr>
        <w:t>of parks and open space.</w:t>
      </w:r>
    </w:p>
    <w:p w14:paraId="4BD27997" w14:textId="77777777" w:rsidR="00462063" w:rsidRPr="00C11E00" w:rsidRDefault="00462063" w:rsidP="00462063">
      <w:pPr>
        <w:rPr>
          <w:rFonts w:eastAsia="Times New Roman" w:cs="Arial"/>
          <w:szCs w:val="20"/>
        </w:rPr>
      </w:pPr>
    </w:p>
    <w:p w14:paraId="648F6235" w14:textId="77777777" w:rsidR="001256EA" w:rsidRDefault="00462063" w:rsidP="00462063">
      <w:pPr>
        <w:shd w:val="clear" w:color="auto" w:fill="FFFFFF" w:themeFill="background1"/>
        <w:rPr>
          <w:rFonts w:eastAsia="Times New Roman" w:cs="Arial"/>
          <w:szCs w:val="20"/>
        </w:rPr>
      </w:pPr>
      <w:r w:rsidRPr="00C11E00">
        <w:rPr>
          <w:rFonts w:eastAsia="Times New Roman" w:cs="Arial"/>
          <w:szCs w:val="20"/>
        </w:rPr>
        <w:t>The City</w:t>
      </w:r>
      <w:r>
        <w:rPr>
          <w:rFonts w:eastAsia="Times New Roman" w:cs="Arial"/>
          <w:szCs w:val="20"/>
        </w:rPr>
        <w:t xml:space="preserve"> </w:t>
      </w:r>
      <w:r w:rsidR="001256EA">
        <w:rPr>
          <w:rFonts w:eastAsia="Times New Roman" w:cs="Arial"/>
          <w:szCs w:val="20"/>
        </w:rPr>
        <w:t>established</w:t>
      </w:r>
      <w:r>
        <w:rPr>
          <w:rFonts w:eastAsia="Times New Roman" w:cs="Arial"/>
          <w:szCs w:val="20"/>
        </w:rPr>
        <w:t xml:space="preserve"> a governance framework for the project</w:t>
      </w:r>
      <w:r w:rsidR="00AA70D1">
        <w:rPr>
          <w:rFonts w:eastAsia="Times New Roman" w:cs="Arial"/>
          <w:szCs w:val="20"/>
        </w:rPr>
        <w:t xml:space="preserve"> which separated planning and project delivery from financing</w:t>
      </w:r>
      <w:r>
        <w:rPr>
          <w:rFonts w:eastAsia="Times New Roman" w:cs="Arial"/>
          <w:szCs w:val="20"/>
        </w:rPr>
        <w:t xml:space="preserve">. Two </w:t>
      </w:r>
      <w:r w:rsidR="00AA70D1">
        <w:rPr>
          <w:rFonts w:eastAsia="Times New Roman" w:cs="Arial"/>
          <w:szCs w:val="20"/>
        </w:rPr>
        <w:t>project</w:t>
      </w:r>
      <w:r>
        <w:rPr>
          <w:rFonts w:eastAsia="Times New Roman" w:cs="Arial"/>
          <w:szCs w:val="20"/>
        </w:rPr>
        <w:t xml:space="preserve"> entities were created</w:t>
      </w:r>
      <w:r w:rsidR="001256EA">
        <w:rPr>
          <w:rFonts w:eastAsia="Times New Roman" w:cs="Arial"/>
          <w:szCs w:val="20"/>
        </w:rPr>
        <w:t>:</w:t>
      </w:r>
    </w:p>
    <w:p w14:paraId="6BB7689D" w14:textId="77777777" w:rsidR="001256EA" w:rsidRDefault="001256EA" w:rsidP="00462063">
      <w:pPr>
        <w:shd w:val="clear" w:color="auto" w:fill="FFFFFF" w:themeFill="background1"/>
        <w:rPr>
          <w:rFonts w:eastAsia="Times New Roman" w:cs="Arial"/>
          <w:szCs w:val="20"/>
        </w:rPr>
      </w:pPr>
    </w:p>
    <w:p w14:paraId="7635354F" w14:textId="77777777" w:rsidR="001256EA" w:rsidRPr="001256EA" w:rsidRDefault="001256EA" w:rsidP="00791C11">
      <w:pPr>
        <w:pStyle w:val="ListParagraph"/>
        <w:numPr>
          <w:ilvl w:val="0"/>
          <w:numId w:val="16"/>
        </w:numPr>
        <w:shd w:val="clear" w:color="auto" w:fill="FFFFFF" w:themeFill="background1"/>
        <w:rPr>
          <w:rFonts w:eastAsia="Times New Roman" w:cs="Arial"/>
          <w:szCs w:val="20"/>
        </w:rPr>
      </w:pPr>
      <w:r w:rsidRPr="00C11E00">
        <w:rPr>
          <w:rFonts w:eastAsia="Times New Roman" w:cs="Arial"/>
          <w:szCs w:val="20"/>
        </w:rPr>
        <w:t xml:space="preserve">Hudson Yards Development Corporation (“HYDC”) </w:t>
      </w:r>
      <w:r w:rsidRPr="001256EA">
        <w:rPr>
          <w:rFonts w:eastAsia="Times New Roman" w:cs="Arial"/>
          <w:szCs w:val="20"/>
        </w:rPr>
        <w:t>to produce the development plan</w:t>
      </w:r>
      <w:r w:rsidR="00462063" w:rsidRPr="001256EA">
        <w:rPr>
          <w:rFonts w:eastAsia="Times New Roman" w:cs="Arial"/>
          <w:szCs w:val="20"/>
        </w:rPr>
        <w:t xml:space="preserve"> </w:t>
      </w:r>
    </w:p>
    <w:p w14:paraId="724B15A7" w14:textId="77777777" w:rsidR="00462063" w:rsidRPr="001256EA" w:rsidRDefault="001256EA" w:rsidP="00791C11">
      <w:pPr>
        <w:pStyle w:val="ListParagraph"/>
        <w:numPr>
          <w:ilvl w:val="0"/>
          <w:numId w:val="16"/>
        </w:numPr>
        <w:shd w:val="clear" w:color="auto" w:fill="FFFFFF" w:themeFill="background1"/>
        <w:rPr>
          <w:rFonts w:eastAsia="Times New Roman" w:cs="Arial"/>
          <w:szCs w:val="20"/>
        </w:rPr>
      </w:pPr>
      <w:r w:rsidRPr="00C11E00">
        <w:rPr>
          <w:rFonts w:eastAsia="Times New Roman" w:cs="Arial"/>
          <w:szCs w:val="20"/>
        </w:rPr>
        <w:t>Hudson Yards Infrastructure Corporation (</w:t>
      </w:r>
      <w:r>
        <w:rPr>
          <w:rFonts w:eastAsia="Times New Roman" w:cs="Arial"/>
          <w:szCs w:val="20"/>
        </w:rPr>
        <w:t>“</w:t>
      </w:r>
      <w:r w:rsidRPr="00C11E00">
        <w:rPr>
          <w:rFonts w:eastAsia="Times New Roman" w:cs="Arial"/>
          <w:szCs w:val="20"/>
        </w:rPr>
        <w:t>HYIC</w:t>
      </w:r>
      <w:r>
        <w:rPr>
          <w:rFonts w:eastAsia="Times New Roman" w:cs="Arial"/>
          <w:szCs w:val="20"/>
        </w:rPr>
        <w:t>”</w:t>
      </w:r>
      <w:r w:rsidRPr="00C11E00">
        <w:rPr>
          <w:rFonts w:eastAsia="Times New Roman" w:cs="Arial"/>
          <w:szCs w:val="20"/>
        </w:rPr>
        <w:t>)</w:t>
      </w:r>
      <w:r>
        <w:rPr>
          <w:rFonts w:eastAsia="Times New Roman" w:cs="Arial"/>
          <w:szCs w:val="20"/>
        </w:rPr>
        <w:t xml:space="preserve"> </w:t>
      </w:r>
      <w:r w:rsidRPr="001256EA">
        <w:rPr>
          <w:rFonts w:eastAsia="Times New Roman" w:cs="Arial"/>
          <w:szCs w:val="20"/>
        </w:rPr>
        <w:t>to control funding and financing</w:t>
      </w:r>
      <w:r>
        <w:rPr>
          <w:rFonts w:eastAsia="Times New Roman" w:cs="Arial"/>
          <w:szCs w:val="20"/>
        </w:rPr>
        <w:t>.</w:t>
      </w:r>
    </w:p>
    <w:p w14:paraId="458A8E8B" w14:textId="77777777" w:rsidR="00462063" w:rsidRPr="00C11E00" w:rsidRDefault="00462063" w:rsidP="00462063">
      <w:pPr>
        <w:rPr>
          <w:rFonts w:eastAsia="Times New Roman" w:cs="Arial"/>
          <w:szCs w:val="20"/>
          <w:shd w:val="pct15" w:color="auto" w:fill="FFFFFF"/>
        </w:rPr>
      </w:pPr>
    </w:p>
    <w:p w14:paraId="6F8B5378" w14:textId="77777777" w:rsidR="001256EA" w:rsidRDefault="00462063" w:rsidP="00462063">
      <w:pPr>
        <w:rPr>
          <w:rFonts w:eastAsia="Times New Roman" w:cs="Arial"/>
          <w:szCs w:val="20"/>
        </w:rPr>
      </w:pPr>
      <w:r w:rsidRPr="00C11E00">
        <w:rPr>
          <w:rFonts w:eastAsia="Times New Roman" w:cs="Arial"/>
          <w:szCs w:val="20"/>
        </w:rPr>
        <w:t xml:space="preserve">The </w:t>
      </w:r>
      <w:r w:rsidR="001256EA">
        <w:rPr>
          <w:rFonts w:eastAsia="Times New Roman" w:cs="Arial"/>
          <w:szCs w:val="20"/>
        </w:rPr>
        <w:t>HYDC</w:t>
      </w:r>
      <w:r w:rsidRPr="00C11E00">
        <w:rPr>
          <w:rFonts w:eastAsia="Times New Roman" w:cs="Arial"/>
          <w:szCs w:val="20"/>
        </w:rPr>
        <w:t xml:space="preserve"> </w:t>
      </w:r>
      <w:r w:rsidR="001256EA">
        <w:rPr>
          <w:rFonts w:eastAsia="Times New Roman" w:cs="Arial"/>
          <w:szCs w:val="20"/>
        </w:rPr>
        <w:t>manage</w:t>
      </w:r>
      <w:r w:rsidR="004C6D22">
        <w:rPr>
          <w:rFonts w:eastAsia="Times New Roman" w:cs="Arial"/>
          <w:szCs w:val="20"/>
        </w:rPr>
        <w:t>s</w:t>
      </w:r>
      <w:r w:rsidRPr="00C11E00">
        <w:rPr>
          <w:rFonts w:eastAsia="Times New Roman" w:cs="Arial"/>
          <w:szCs w:val="20"/>
        </w:rPr>
        <w:t xml:space="preserve"> the planning, design, and development of the project area. Its role d</w:t>
      </w:r>
      <w:r w:rsidR="004C6D22">
        <w:rPr>
          <w:rFonts w:eastAsia="Times New Roman" w:cs="Arial"/>
          <w:szCs w:val="20"/>
        </w:rPr>
        <w:t>oes</w:t>
      </w:r>
      <w:r w:rsidRPr="00C11E00">
        <w:rPr>
          <w:rFonts w:eastAsia="Times New Roman" w:cs="Arial"/>
          <w:szCs w:val="20"/>
        </w:rPr>
        <w:t xml:space="preserve"> not include the 7-Line Subway Extension, which </w:t>
      </w:r>
      <w:r w:rsidR="004C6D22">
        <w:rPr>
          <w:rFonts w:eastAsia="Times New Roman" w:cs="Arial"/>
          <w:szCs w:val="20"/>
        </w:rPr>
        <w:t>is to</w:t>
      </w:r>
      <w:r w:rsidRPr="00C11E00">
        <w:rPr>
          <w:rFonts w:eastAsia="Times New Roman" w:cs="Arial"/>
          <w:szCs w:val="20"/>
        </w:rPr>
        <w:t xml:space="preserve"> be built and managed by the MTA. </w:t>
      </w:r>
    </w:p>
    <w:p w14:paraId="4F0E0ECA" w14:textId="77777777" w:rsidR="001256EA" w:rsidRDefault="001256EA" w:rsidP="00462063">
      <w:pPr>
        <w:rPr>
          <w:rFonts w:eastAsia="Times New Roman" w:cs="Arial"/>
          <w:szCs w:val="20"/>
        </w:rPr>
      </w:pPr>
    </w:p>
    <w:p w14:paraId="695A404F" w14:textId="77777777" w:rsidR="001256EA" w:rsidRDefault="001256EA" w:rsidP="00462063">
      <w:pPr>
        <w:rPr>
          <w:rFonts w:eastAsia="Times New Roman" w:cs="Arial"/>
          <w:szCs w:val="20"/>
        </w:rPr>
      </w:pPr>
      <w:r>
        <w:rPr>
          <w:rFonts w:eastAsia="Times New Roman" w:cs="Arial"/>
          <w:szCs w:val="20"/>
        </w:rPr>
        <w:t xml:space="preserve">The </w:t>
      </w:r>
      <w:r w:rsidR="00462063" w:rsidRPr="00C11E00">
        <w:rPr>
          <w:rFonts w:eastAsia="Times New Roman" w:cs="Arial"/>
          <w:szCs w:val="20"/>
        </w:rPr>
        <w:t xml:space="preserve">HYIC </w:t>
      </w:r>
      <w:r w:rsidR="004C6D22">
        <w:rPr>
          <w:rFonts w:eastAsia="Times New Roman" w:cs="Arial"/>
          <w:szCs w:val="20"/>
        </w:rPr>
        <w:t xml:space="preserve">is </w:t>
      </w:r>
      <w:r w:rsidR="00462063" w:rsidRPr="00C11E00">
        <w:rPr>
          <w:rFonts w:eastAsia="Times New Roman" w:cs="Arial"/>
          <w:szCs w:val="20"/>
        </w:rPr>
        <w:t>financ</w:t>
      </w:r>
      <w:r w:rsidR="004C6D22">
        <w:rPr>
          <w:rFonts w:eastAsia="Times New Roman" w:cs="Arial"/>
          <w:szCs w:val="20"/>
        </w:rPr>
        <w:t>ing</w:t>
      </w:r>
      <w:r>
        <w:rPr>
          <w:rFonts w:eastAsia="Times New Roman" w:cs="Arial"/>
          <w:szCs w:val="20"/>
        </w:rPr>
        <w:t xml:space="preserve"> the</w:t>
      </w:r>
      <w:r w:rsidR="00462063" w:rsidRPr="00C11E00">
        <w:rPr>
          <w:rFonts w:eastAsia="Times New Roman" w:cs="Arial"/>
          <w:szCs w:val="20"/>
        </w:rPr>
        <w:t xml:space="preserve"> capital improvements required to stimulate redevelopment. Since 2007, the HYIC has raised $3 billion from 2 bond issues. </w:t>
      </w:r>
    </w:p>
    <w:p w14:paraId="46620A3D" w14:textId="77777777" w:rsidR="001256EA" w:rsidRDefault="001256EA" w:rsidP="00462063">
      <w:pPr>
        <w:rPr>
          <w:rFonts w:eastAsia="Times New Roman" w:cs="Arial"/>
          <w:szCs w:val="20"/>
        </w:rPr>
      </w:pPr>
    </w:p>
    <w:p w14:paraId="3A2FA372" w14:textId="77777777" w:rsidR="00254FD6" w:rsidRDefault="00462063" w:rsidP="00462063">
      <w:pPr>
        <w:rPr>
          <w:rFonts w:eastAsia="Times New Roman" w:cs="Arial"/>
          <w:szCs w:val="20"/>
        </w:rPr>
      </w:pPr>
      <w:r w:rsidRPr="00C11E00">
        <w:rPr>
          <w:rFonts w:eastAsia="Times New Roman" w:cs="Arial"/>
          <w:szCs w:val="20"/>
        </w:rPr>
        <w:t>In order to secure investors for the</w:t>
      </w:r>
      <w:r w:rsidR="00946DEB">
        <w:rPr>
          <w:rFonts w:eastAsia="Times New Roman" w:cs="Arial"/>
          <w:szCs w:val="20"/>
        </w:rPr>
        <w:t>se</w:t>
      </w:r>
      <w:r w:rsidRPr="00C11E00">
        <w:rPr>
          <w:rFonts w:eastAsia="Times New Roman" w:cs="Arial"/>
          <w:szCs w:val="20"/>
        </w:rPr>
        <w:t xml:space="preserve"> bonds, the HYIC and HYDC </w:t>
      </w:r>
      <w:r w:rsidR="00946DEB">
        <w:rPr>
          <w:rFonts w:eastAsia="Times New Roman" w:cs="Arial"/>
          <w:szCs w:val="20"/>
        </w:rPr>
        <w:t xml:space="preserve">have </w:t>
      </w:r>
      <w:r w:rsidRPr="00C11E00">
        <w:rPr>
          <w:rFonts w:eastAsia="Times New Roman" w:cs="Arial"/>
          <w:szCs w:val="20"/>
        </w:rPr>
        <w:t xml:space="preserve">mobilised value capture in the form of </w:t>
      </w:r>
      <w:r>
        <w:rPr>
          <w:rFonts w:eastAsia="Times New Roman" w:cs="Arial"/>
          <w:szCs w:val="20"/>
        </w:rPr>
        <w:t xml:space="preserve">upfront </w:t>
      </w:r>
      <w:r w:rsidRPr="00C11E00">
        <w:rPr>
          <w:rFonts w:eastAsia="Times New Roman" w:cs="Arial"/>
          <w:szCs w:val="20"/>
        </w:rPr>
        <w:t>commercial payments</w:t>
      </w:r>
      <w:r w:rsidR="004C6D22">
        <w:rPr>
          <w:rFonts w:eastAsia="Times New Roman" w:cs="Arial"/>
          <w:szCs w:val="20"/>
        </w:rPr>
        <w:t xml:space="preserve"> from developers</w:t>
      </w:r>
      <w:r w:rsidRPr="00C11E00">
        <w:rPr>
          <w:rFonts w:eastAsia="Times New Roman" w:cs="Arial"/>
          <w:szCs w:val="20"/>
        </w:rPr>
        <w:t xml:space="preserve"> </w:t>
      </w:r>
      <w:r w:rsidRPr="00254FD6">
        <w:rPr>
          <w:rFonts w:eastAsia="Times New Roman" w:cs="Arial"/>
          <w:szCs w:val="20"/>
          <w:u w:val="single"/>
        </w:rPr>
        <w:t>in lieu of taxes</w:t>
      </w:r>
      <w:r w:rsidRPr="00C11E00">
        <w:rPr>
          <w:rFonts w:eastAsia="Times New Roman" w:cs="Arial"/>
          <w:szCs w:val="20"/>
        </w:rPr>
        <w:t xml:space="preserve">. </w:t>
      </w:r>
    </w:p>
    <w:p w14:paraId="509E2BB9" w14:textId="77777777" w:rsidR="00254FD6" w:rsidRDefault="00254FD6" w:rsidP="00462063">
      <w:pPr>
        <w:rPr>
          <w:rFonts w:eastAsia="Times New Roman" w:cs="Arial"/>
          <w:szCs w:val="20"/>
        </w:rPr>
      </w:pPr>
    </w:p>
    <w:p w14:paraId="5F0033D8" w14:textId="77777777" w:rsidR="00946DEB" w:rsidRDefault="00462063" w:rsidP="00462063">
      <w:pPr>
        <w:rPr>
          <w:rFonts w:eastAsia="Times New Roman" w:cs="Arial"/>
          <w:szCs w:val="20"/>
        </w:rPr>
      </w:pPr>
      <w:r>
        <w:rPr>
          <w:rFonts w:eastAsia="Times New Roman" w:cs="Arial"/>
          <w:szCs w:val="20"/>
        </w:rPr>
        <w:t xml:space="preserve">The mechanism </w:t>
      </w:r>
      <w:r w:rsidR="00946DEB">
        <w:rPr>
          <w:rFonts w:eastAsia="Times New Roman" w:cs="Arial"/>
          <w:szCs w:val="20"/>
        </w:rPr>
        <w:t>works as follows:</w:t>
      </w:r>
    </w:p>
    <w:p w14:paraId="25D1C4EE" w14:textId="77777777" w:rsidR="00946DEB" w:rsidRDefault="00946DEB" w:rsidP="00462063">
      <w:pPr>
        <w:rPr>
          <w:rFonts w:eastAsia="Times New Roman" w:cs="Arial"/>
          <w:szCs w:val="20"/>
        </w:rPr>
      </w:pPr>
    </w:p>
    <w:p w14:paraId="7B7CA1AB" w14:textId="77777777" w:rsidR="00946DEB" w:rsidRDefault="00462063" w:rsidP="00791C11">
      <w:pPr>
        <w:pStyle w:val="ListParagraph"/>
        <w:numPr>
          <w:ilvl w:val="0"/>
          <w:numId w:val="17"/>
        </w:numPr>
        <w:rPr>
          <w:rFonts w:eastAsia="Times New Roman" w:cs="Arial"/>
          <w:szCs w:val="20"/>
        </w:rPr>
      </w:pPr>
      <w:r w:rsidRPr="00946DEB">
        <w:rPr>
          <w:rFonts w:eastAsia="Times New Roman" w:cs="Arial"/>
          <w:szCs w:val="20"/>
        </w:rPr>
        <w:lastRenderedPageBreak/>
        <w:t>New York City Industrial Development Agency (NYCIDA) purchase</w:t>
      </w:r>
      <w:r w:rsidR="00946DEB">
        <w:rPr>
          <w:rFonts w:eastAsia="Times New Roman" w:cs="Arial"/>
          <w:szCs w:val="20"/>
        </w:rPr>
        <w:t>s</w:t>
      </w:r>
      <w:r w:rsidRPr="00946DEB">
        <w:rPr>
          <w:rFonts w:eastAsia="Times New Roman" w:cs="Arial"/>
          <w:szCs w:val="20"/>
        </w:rPr>
        <w:t xml:space="preserve"> land from developer</w:t>
      </w:r>
      <w:r w:rsidR="00946DEB">
        <w:rPr>
          <w:rFonts w:eastAsia="Times New Roman" w:cs="Arial"/>
          <w:szCs w:val="20"/>
        </w:rPr>
        <w:t>s</w:t>
      </w:r>
      <w:r w:rsidRPr="00946DEB">
        <w:rPr>
          <w:rFonts w:eastAsia="Times New Roman" w:cs="Arial"/>
          <w:szCs w:val="20"/>
        </w:rPr>
        <w:t xml:space="preserve"> for a nominal amount, which relieve</w:t>
      </w:r>
      <w:r w:rsidR="00946DEB">
        <w:rPr>
          <w:rFonts w:eastAsia="Times New Roman" w:cs="Arial"/>
          <w:szCs w:val="20"/>
        </w:rPr>
        <w:t>s</w:t>
      </w:r>
      <w:r w:rsidRPr="00946DEB">
        <w:rPr>
          <w:rFonts w:eastAsia="Times New Roman" w:cs="Arial"/>
          <w:szCs w:val="20"/>
        </w:rPr>
        <w:t xml:space="preserve"> the developer from paying property taxes. </w:t>
      </w:r>
    </w:p>
    <w:p w14:paraId="77531AB3" w14:textId="77777777" w:rsidR="00946DEB" w:rsidRDefault="00462063" w:rsidP="00791C11">
      <w:pPr>
        <w:pStyle w:val="ListParagraph"/>
        <w:numPr>
          <w:ilvl w:val="0"/>
          <w:numId w:val="17"/>
        </w:numPr>
        <w:rPr>
          <w:rFonts w:eastAsia="Times New Roman" w:cs="Arial"/>
          <w:szCs w:val="20"/>
        </w:rPr>
      </w:pPr>
      <w:r w:rsidRPr="00946DEB">
        <w:rPr>
          <w:rFonts w:eastAsia="Times New Roman" w:cs="Arial"/>
          <w:szCs w:val="20"/>
        </w:rPr>
        <w:t>Instead, developer</w:t>
      </w:r>
      <w:r w:rsidR="00946DEB">
        <w:rPr>
          <w:rFonts w:eastAsia="Times New Roman" w:cs="Arial"/>
          <w:szCs w:val="20"/>
        </w:rPr>
        <w:t>s are</w:t>
      </w:r>
      <w:r w:rsidR="00186198" w:rsidRPr="00946DEB">
        <w:rPr>
          <w:rFonts w:eastAsia="Times New Roman" w:cs="Arial"/>
          <w:szCs w:val="20"/>
        </w:rPr>
        <w:t xml:space="preserve"> required to </w:t>
      </w:r>
      <w:r w:rsidRPr="00946DEB">
        <w:rPr>
          <w:rFonts w:eastAsia="Times New Roman" w:cs="Arial"/>
          <w:szCs w:val="20"/>
        </w:rPr>
        <w:t xml:space="preserve">pay a pre-determined price per square foot to the NYCIDA over the next 30 years. </w:t>
      </w:r>
    </w:p>
    <w:p w14:paraId="4A342F5A" w14:textId="77777777" w:rsidR="00946DEB" w:rsidRDefault="00462063" w:rsidP="00791C11">
      <w:pPr>
        <w:pStyle w:val="ListParagraph"/>
        <w:numPr>
          <w:ilvl w:val="0"/>
          <w:numId w:val="17"/>
        </w:numPr>
        <w:rPr>
          <w:rFonts w:eastAsia="Times New Roman" w:cs="Arial"/>
          <w:szCs w:val="20"/>
        </w:rPr>
      </w:pPr>
      <w:r w:rsidRPr="00946DEB">
        <w:rPr>
          <w:rFonts w:eastAsia="Times New Roman" w:cs="Arial"/>
          <w:szCs w:val="20"/>
        </w:rPr>
        <w:t>NYCIDA transfer</w:t>
      </w:r>
      <w:r w:rsidR="00946DEB">
        <w:rPr>
          <w:rFonts w:eastAsia="Times New Roman" w:cs="Arial"/>
          <w:szCs w:val="20"/>
        </w:rPr>
        <w:t>s</w:t>
      </w:r>
      <w:r w:rsidRPr="00946DEB">
        <w:rPr>
          <w:rFonts w:eastAsia="Times New Roman" w:cs="Arial"/>
          <w:szCs w:val="20"/>
        </w:rPr>
        <w:t xml:space="preserve"> these funds to the HYIC to repay the bonds</w:t>
      </w:r>
      <w:r w:rsidR="00946DEB">
        <w:rPr>
          <w:rFonts w:eastAsia="Times New Roman" w:cs="Arial"/>
          <w:szCs w:val="20"/>
        </w:rPr>
        <w:t xml:space="preserve"> (principal and interest)</w:t>
      </w:r>
      <w:r w:rsidRPr="00946DEB">
        <w:rPr>
          <w:rFonts w:eastAsia="Times New Roman" w:cs="Arial"/>
          <w:szCs w:val="20"/>
        </w:rPr>
        <w:t xml:space="preserve">. </w:t>
      </w:r>
    </w:p>
    <w:p w14:paraId="4F095FF1" w14:textId="77777777" w:rsidR="00946DEB" w:rsidRDefault="00462063" w:rsidP="00791C11">
      <w:pPr>
        <w:pStyle w:val="ListParagraph"/>
        <w:numPr>
          <w:ilvl w:val="0"/>
          <w:numId w:val="17"/>
        </w:numPr>
        <w:rPr>
          <w:rFonts w:eastAsia="Times New Roman" w:cs="Arial"/>
          <w:szCs w:val="20"/>
        </w:rPr>
      </w:pPr>
      <w:r w:rsidRPr="00946DEB">
        <w:rPr>
          <w:rFonts w:eastAsia="Times New Roman" w:cs="Arial"/>
          <w:szCs w:val="20"/>
        </w:rPr>
        <w:t xml:space="preserve">At the end of 30 years, the property </w:t>
      </w:r>
      <w:r w:rsidR="00946DEB">
        <w:rPr>
          <w:rFonts w:eastAsia="Times New Roman" w:cs="Arial"/>
          <w:szCs w:val="20"/>
        </w:rPr>
        <w:t>is</w:t>
      </w:r>
      <w:r w:rsidRPr="00946DEB">
        <w:rPr>
          <w:rFonts w:eastAsia="Times New Roman" w:cs="Arial"/>
          <w:szCs w:val="20"/>
        </w:rPr>
        <w:t xml:space="preserve"> sold back to the developer </w:t>
      </w:r>
      <w:r w:rsidR="003E3B87">
        <w:rPr>
          <w:rFonts w:eastAsia="Times New Roman" w:cs="Arial"/>
          <w:szCs w:val="20"/>
        </w:rPr>
        <w:t xml:space="preserve">at an equivalent rate </w:t>
      </w:r>
      <w:r w:rsidRPr="00946DEB">
        <w:rPr>
          <w:rFonts w:eastAsia="Times New Roman" w:cs="Arial"/>
          <w:szCs w:val="20"/>
        </w:rPr>
        <w:t xml:space="preserve">and the developer will start to pay normal property taxes. </w:t>
      </w:r>
    </w:p>
    <w:p w14:paraId="35B28EFF" w14:textId="77777777" w:rsidR="00462063" w:rsidRPr="00946DEB" w:rsidRDefault="00462063" w:rsidP="00791C11">
      <w:pPr>
        <w:pStyle w:val="ListParagraph"/>
        <w:numPr>
          <w:ilvl w:val="0"/>
          <w:numId w:val="17"/>
        </w:numPr>
        <w:rPr>
          <w:rFonts w:eastAsia="Times New Roman" w:cs="Arial"/>
          <w:szCs w:val="20"/>
        </w:rPr>
      </w:pPr>
      <w:r w:rsidRPr="00946DEB">
        <w:rPr>
          <w:rFonts w:eastAsia="Times New Roman" w:cs="Arial"/>
          <w:szCs w:val="20"/>
        </w:rPr>
        <w:t xml:space="preserve">In order to fast-track </w:t>
      </w:r>
      <w:r w:rsidR="00946DEB">
        <w:rPr>
          <w:rFonts w:eastAsia="Times New Roman" w:cs="Arial"/>
          <w:szCs w:val="20"/>
        </w:rPr>
        <w:t>Hudson Yards</w:t>
      </w:r>
      <w:r w:rsidRPr="00946DEB">
        <w:rPr>
          <w:rFonts w:eastAsia="Times New Roman" w:cs="Arial"/>
          <w:szCs w:val="20"/>
        </w:rPr>
        <w:t>, the NY</w:t>
      </w:r>
      <w:r w:rsidR="009B2332">
        <w:rPr>
          <w:rFonts w:eastAsia="Times New Roman" w:cs="Arial"/>
          <w:szCs w:val="20"/>
        </w:rPr>
        <w:t>C</w:t>
      </w:r>
      <w:r w:rsidRPr="00946DEB">
        <w:rPr>
          <w:rFonts w:eastAsia="Times New Roman" w:cs="Arial"/>
          <w:szCs w:val="20"/>
        </w:rPr>
        <w:t xml:space="preserve">IDA was </w:t>
      </w:r>
      <w:r w:rsidR="009B2332">
        <w:rPr>
          <w:rFonts w:eastAsia="Times New Roman" w:cs="Arial"/>
          <w:szCs w:val="20"/>
        </w:rPr>
        <w:t xml:space="preserve">also </w:t>
      </w:r>
      <w:r w:rsidRPr="00946DEB">
        <w:rPr>
          <w:rFonts w:eastAsia="Times New Roman" w:cs="Arial"/>
          <w:szCs w:val="20"/>
        </w:rPr>
        <w:t xml:space="preserve">given the power to discount normal property tax rates </w:t>
      </w:r>
      <w:r w:rsidR="00946DEB">
        <w:rPr>
          <w:rFonts w:eastAsia="Times New Roman" w:cs="Arial"/>
          <w:szCs w:val="20"/>
        </w:rPr>
        <w:t xml:space="preserve">to attract developers </w:t>
      </w:r>
      <w:r w:rsidRPr="00946DEB">
        <w:rPr>
          <w:rFonts w:eastAsia="Times New Roman" w:cs="Arial"/>
          <w:szCs w:val="20"/>
        </w:rPr>
        <w:t xml:space="preserve">depending on location and </w:t>
      </w:r>
      <w:r w:rsidR="009B2332">
        <w:rPr>
          <w:rFonts w:eastAsia="Times New Roman" w:cs="Arial"/>
          <w:szCs w:val="20"/>
        </w:rPr>
        <w:t xml:space="preserve">the </w:t>
      </w:r>
      <w:r w:rsidRPr="00946DEB">
        <w:rPr>
          <w:rFonts w:eastAsia="Times New Roman" w:cs="Arial"/>
          <w:szCs w:val="20"/>
        </w:rPr>
        <w:t xml:space="preserve">completion date of a given development. </w:t>
      </w:r>
    </w:p>
    <w:p w14:paraId="1E249C70" w14:textId="77777777" w:rsidR="00462063" w:rsidRDefault="00462063" w:rsidP="00462063">
      <w:pPr>
        <w:rPr>
          <w:rFonts w:eastAsia="Times New Roman" w:cs="Arial"/>
          <w:szCs w:val="20"/>
        </w:rPr>
      </w:pPr>
    </w:p>
    <w:p w14:paraId="7D923952" w14:textId="77777777" w:rsidR="00362FA6" w:rsidRDefault="00462063" w:rsidP="00462063">
      <w:pPr>
        <w:rPr>
          <w:rFonts w:eastAsia="Times New Roman" w:cs="Arial"/>
          <w:szCs w:val="20"/>
        </w:rPr>
      </w:pPr>
      <w:r w:rsidRPr="00C11E00">
        <w:rPr>
          <w:rFonts w:eastAsia="Times New Roman" w:cs="Arial"/>
          <w:szCs w:val="20"/>
        </w:rPr>
        <w:t xml:space="preserve">Another source of </w:t>
      </w:r>
      <w:r w:rsidR="0086445E">
        <w:rPr>
          <w:rFonts w:eastAsia="Times New Roman" w:cs="Arial"/>
          <w:szCs w:val="20"/>
        </w:rPr>
        <w:t>funds</w:t>
      </w:r>
      <w:r w:rsidRPr="00C11E00">
        <w:rPr>
          <w:rFonts w:eastAsia="Times New Roman" w:cs="Arial"/>
          <w:szCs w:val="20"/>
        </w:rPr>
        <w:t xml:space="preserve"> for the HYIC will come from the sale of </w:t>
      </w:r>
      <w:r w:rsidR="00362FA6">
        <w:rPr>
          <w:rFonts w:eastAsia="Times New Roman" w:cs="Arial"/>
          <w:szCs w:val="20"/>
        </w:rPr>
        <w:t>T</w:t>
      </w:r>
      <w:r w:rsidRPr="00C11E00">
        <w:rPr>
          <w:rFonts w:eastAsia="Times New Roman" w:cs="Arial"/>
          <w:szCs w:val="20"/>
        </w:rPr>
        <w:t xml:space="preserve">ransferrable </w:t>
      </w:r>
      <w:r w:rsidR="00362FA6">
        <w:rPr>
          <w:rFonts w:eastAsia="Times New Roman" w:cs="Arial"/>
          <w:szCs w:val="20"/>
        </w:rPr>
        <w:t>D</w:t>
      </w:r>
      <w:r w:rsidRPr="00C11E00">
        <w:rPr>
          <w:rFonts w:eastAsia="Times New Roman" w:cs="Arial"/>
          <w:szCs w:val="20"/>
        </w:rPr>
        <w:t xml:space="preserve">evelopment </w:t>
      </w:r>
      <w:r w:rsidR="00362FA6">
        <w:rPr>
          <w:rFonts w:eastAsia="Times New Roman" w:cs="Arial"/>
          <w:szCs w:val="20"/>
        </w:rPr>
        <w:t>R</w:t>
      </w:r>
      <w:r w:rsidRPr="00C11E00">
        <w:rPr>
          <w:rFonts w:eastAsia="Times New Roman" w:cs="Arial"/>
          <w:szCs w:val="20"/>
        </w:rPr>
        <w:t>ights (“TDRs”) tied to the MTA’s West</w:t>
      </w:r>
      <w:r w:rsidR="0086445E">
        <w:rPr>
          <w:rFonts w:eastAsia="Times New Roman" w:cs="Arial"/>
          <w:szCs w:val="20"/>
        </w:rPr>
        <w:t>ern</w:t>
      </w:r>
      <w:r w:rsidRPr="00C11E00">
        <w:rPr>
          <w:rFonts w:eastAsia="Times New Roman" w:cs="Arial"/>
          <w:szCs w:val="20"/>
        </w:rPr>
        <w:t xml:space="preserve"> Yard. </w:t>
      </w:r>
      <w:r w:rsidR="00362FA6">
        <w:rPr>
          <w:rFonts w:eastAsia="Times New Roman" w:cs="Arial"/>
          <w:szCs w:val="20"/>
        </w:rPr>
        <w:t>The TDRs work as follows:</w:t>
      </w:r>
    </w:p>
    <w:p w14:paraId="6DADE750" w14:textId="77777777" w:rsidR="00362FA6" w:rsidRDefault="00362FA6" w:rsidP="00462063">
      <w:pPr>
        <w:rPr>
          <w:rFonts w:eastAsia="Times New Roman" w:cs="Arial"/>
          <w:szCs w:val="20"/>
        </w:rPr>
      </w:pPr>
    </w:p>
    <w:p w14:paraId="438FD0E3" w14:textId="77777777" w:rsidR="00362FA6" w:rsidRDefault="00462063" w:rsidP="00791C11">
      <w:pPr>
        <w:pStyle w:val="ListParagraph"/>
        <w:numPr>
          <w:ilvl w:val="0"/>
          <w:numId w:val="18"/>
        </w:numPr>
        <w:rPr>
          <w:rFonts w:eastAsia="Times New Roman" w:cs="Arial"/>
          <w:szCs w:val="20"/>
        </w:rPr>
      </w:pPr>
      <w:r w:rsidRPr="00362FA6">
        <w:rPr>
          <w:rFonts w:eastAsia="Times New Roman" w:cs="Arial"/>
          <w:szCs w:val="20"/>
        </w:rPr>
        <w:t xml:space="preserve">Developers wishing to increase </w:t>
      </w:r>
      <w:r w:rsidR="00F80828">
        <w:rPr>
          <w:rFonts w:eastAsia="Times New Roman" w:cs="Arial"/>
          <w:szCs w:val="20"/>
        </w:rPr>
        <w:t xml:space="preserve">the </w:t>
      </w:r>
      <w:r w:rsidRPr="00362FA6">
        <w:rPr>
          <w:rFonts w:eastAsia="Times New Roman" w:cs="Arial"/>
          <w:szCs w:val="20"/>
        </w:rPr>
        <w:t xml:space="preserve">gross floor area (GFA) of their project can purchase TDRs with the proceeds going to the HYIC until it recoups the $200 million cost of land acquisition plus interest. </w:t>
      </w:r>
    </w:p>
    <w:p w14:paraId="7F4D72CC" w14:textId="77777777" w:rsidR="00362FA6" w:rsidRDefault="00462063" w:rsidP="00791C11">
      <w:pPr>
        <w:pStyle w:val="ListParagraph"/>
        <w:numPr>
          <w:ilvl w:val="0"/>
          <w:numId w:val="18"/>
        </w:numPr>
        <w:rPr>
          <w:rFonts w:eastAsia="Times New Roman" w:cs="Arial"/>
          <w:szCs w:val="20"/>
        </w:rPr>
      </w:pPr>
      <w:r w:rsidRPr="00362FA6">
        <w:rPr>
          <w:rFonts w:eastAsia="Times New Roman" w:cs="Arial"/>
          <w:szCs w:val="20"/>
        </w:rPr>
        <w:t xml:space="preserve">From that point, all profits go to the MTA to refund the upfront capital costs of rail development. </w:t>
      </w:r>
    </w:p>
    <w:p w14:paraId="5939F03F" w14:textId="77777777" w:rsidR="00362FA6" w:rsidRPr="00362FA6" w:rsidRDefault="00362FA6" w:rsidP="00362FA6">
      <w:pPr>
        <w:rPr>
          <w:rFonts w:eastAsia="Times New Roman" w:cs="Arial"/>
          <w:szCs w:val="20"/>
        </w:rPr>
      </w:pPr>
    </w:p>
    <w:p w14:paraId="1EC28FB5" w14:textId="77777777" w:rsidR="00462063" w:rsidRPr="00362FA6" w:rsidRDefault="00462063" w:rsidP="00362FA6">
      <w:pPr>
        <w:rPr>
          <w:rFonts w:eastAsia="Times New Roman" w:cs="Arial"/>
          <w:szCs w:val="20"/>
        </w:rPr>
      </w:pPr>
      <w:r w:rsidRPr="00362FA6">
        <w:rPr>
          <w:rFonts w:eastAsia="Times New Roman" w:cs="Arial"/>
          <w:szCs w:val="20"/>
        </w:rPr>
        <w:t xml:space="preserve">Developers in other parts of the project area can also increase GFA through purchase of District Improvement Bonuses (“DIBs”) from the HYIC, which function in a similar manner to TDRs. </w:t>
      </w:r>
    </w:p>
    <w:p w14:paraId="290FDF08" w14:textId="77777777" w:rsidR="00462063" w:rsidRDefault="00462063" w:rsidP="00462063">
      <w:pPr>
        <w:rPr>
          <w:rFonts w:eastAsia="Times New Roman" w:cs="Arial"/>
          <w:szCs w:val="20"/>
        </w:rPr>
      </w:pPr>
    </w:p>
    <w:p w14:paraId="60EC0C4C" w14:textId="6253C69D" w:rsidR="00F80828" w:rsidRDefault="00F80828" w:rsidP="00F80828">
      <w:pPr>
        <w:rPr>
          <w:rFonts w:eastAsia="Times New Roman" w:cs="Arial"/>
          <w:szCs w:val="20"/>
        </w:rPr>
      </w:pPr>
      <w:r>
        <w:rPr>
          <w:rFonts w:eastAsia="Times New Roman" w:cs="Arial"/>
          <w:szCs w:val="20"/>
        </w:rPr>
        <w:t>The proposed build-out</w:t>
      </w:r>
      <w:r w:rsidR="00E82F86">
        <w:rPr>
          <w:rFonts w:eastAsia="Times New Roman" w:cs="Arial"/>
          <w:szCs w:val="20"/>
        </w:rPr>
        <w:t xml:space="preserve"> of Hudson Yards is shown below.</w:t>
      </w:r>
    </w:p>
    <w:p w14:paraId="608B1C6C" w14:textId="05169481" w:rsidR="00896C6F" w:rsidRDefault="00896C6F" w:rsidP="00896C6F">
      <w:pPr>
        <w:pStyle w:val="Caption"/>
        <w:rPr>
          <w:rFonts w:eastAsia="Times New Roman" w:cs="Arial"/>
          <w:szCs w:val="20"/>
        </w:rPr>
      </w:pPr>
      <w:bookmarkStart w:id="57" w:name="_Toc430896558"/>
      <w:r>
        <w:t xml:space="preserve">Figure </w:t>
      </w:r>
      <w:r>
        <w:fldChar w:fldCharType="begin"/>
      </w:r>
      <w:r>
        <w:instrText xml:space="preserve"> SEQ Figure \* ARABIC </w:instrText>
      </w:r>
      <w:r>
        <w:fldChar w:fldCharType="separate"/>
      </w:r>
      <w:r w:rsidR="00184C79">
        <w:rPr>
          <w:noProof/>
        </w:rPr>
        <w:t>6</w:t>
      </w:r>
      <w:r>
        <w:fldChar w:fldCharType="end"/>
      </w:r>
      <w:r>
        <w:t>.</w:t>
      </w:r>
      <w:r>
        <w:tab/>
        <w:t>build out of hudson yards</w:t>
      </w:r>
      <w:bookmarkEnd w:id="57"/>
    </w:p>
    <w:p w14:paraId="60A6E5DE" w14:textId="77777777" w:rsidR="00F80828" w:rsidRPr="00C11E00" w:rsidRDefault="00F80828" w:rsidP="00F80828">
      <w:pPr>
        <w:rPr>
          <w:rFonts w:eastAsia="Times New Roman" w:cs="Arial"/>
          <w:szCs w:val="20"/>
        </w:rPr>
      </w:pPr>
      <w:r w:rsidRPr="00670F47">
        <w:rPr>
          <w:noProof/>
          <w:lang w:val="en-US" w:eastAsia="en-US"/>
        </w:rPr>
        <w:drawing>
          <wp:inline distT="0" distB="0" distL="0" distR="0" wp14:anchorId="28FC97AC" wp14:editId="7D5365BE">
            <wp:extent cx="3804205" cy="28860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806261" cy="2887635"/>
                    </a:xfrm>
                    <a:prstGeom prst="rect">
                      <a:avLst/>
                    </a:prstGeom>
                  </pic:spPr>
                </pic:pic>
              </a:graphicData>
            </a:graphic>
          </wp:inline>
        </w:drawing>
      </w:r>
    </w:p>
    <w:p w14:paraId="7DCD5900" w14:textId="77777777" w:rsidR="00F80828" w:rsidRDefault="00F80828" w:rsidP="00F80828">
      <w:pPr>
        <w:rPr>
          <w:rFonts w:eastAsia="Times New Roman" w:cs="Arial"/>
          <w:szCs w:val="20"/>
        </w:rPr>
      </w:pPr>
    </w:p>
    <w:p w14:paraId="49DC4FA8" w14:textId="77777777" w:rsidR="002629DF" w:rsidRDefault="00462063" w:rsidP="00462063">
      <w:pPr>
        <w:rPr>
          <w:rFonts w:eastAsia="Times New Roman" w:cs="Arial"/>
          <w:szCs w:val="20"/>
        </w:rPr>
      </w:pPr>
      <w:r>
        <w:rPr>
          <w:rFonts w:eastAsia="Times New Roman" w:cs="Arial"/>
          <w:szCs w:val="20"/>
        </w:rPr>
        <w:t>To date</w:t>
      </w:r>
      <w:r w:rsidRPr="00C11E00">
        <w:rPr>
          <w:rFonts w:eastAsia="Times New Roman" w:cs="Arial"/>
          <w:szCs w:val="20"/>
        </w:rPr>
        <w:t>, the HYIC has spent nearly $2 billion on the 7-Line Subway Extension</w:t>
      </w:r>
      <w:r w:rsidR="00F63DD2" w:rsidRPr="00F63DD2">
        <w:rPr>
          <w:rFonts w:eastAsia="Times New Roman" w:cs="Arial"/>
          <w:szCs w:val="20"/>
        </w:rPr>
        <w:t xml:space="preserve"> </w:t>
      </w:r>
      <w:r w:rsidR="00F63DD2">
        <w:rPr>
          <w:rFonts w:eastAsia="Times New Roman" w:cs="Arial"/>
          <w:szCs w:val="20"/>
        </w:rPr>
        <w:t xml:space="preserve">and </w:t>
      </w:r>
      <w:r w:rsidR="00F63DD2" w:rsidRPr="00C11E00">
        <w:rPr>
          <w:rFonts w:eastAsia="Times New Roman" w:cs="Arial"/>
          <w:szCs w:val="20"/>
        </w:rPr>
        <w:t>over $400 million in land acquisition and public amenity construction</w:t>
      </w:r>
      <w:r w:rsidR="00F63DD2">
        <w:rPr>
          <w:rFonts w:eastAsia="Times New Roman" w:cs="Arial"/>
          <w:szCs w:val="20"/>
        </w:rPr>
        <w:t>. This</w:t>
      </w:r>
      <w:r w:rsidRPr="00C11E00">
        <w:rPr>
          <w:rFonts w:eastAsia="Times New Roman" w:cs="Arial"/>
          <w:szCs w:val="20"/>
        </w:rPr>
        <w:t xml:space="preserve"> has been funded chiefly by </w:t>
      </w:r>
      <w:r w:rsidR="002629DF">
        <w:rPr>
          <w:rFonts w:eastAsia="Times New Roman" w:cs="Arial"/>
          <w:szCs w:val="20"/>
        </w:rPr>
        <w:t>the</w:t>
      </w:r>
      <w:r w:rsidRPr="00C11E00">
        <w:rPr>
          <w:rFonts w:eastAsia="Times New Roman" w:cs="Arial"/>
          <w:szCs w:val="20"/>
        </w:rPr>
        <w:t xml:space="preserve"> two bond issuances.</w:t>
      </w:r>
      <w:r w:rsidR="00F63DD2">
        <w:rPr>
          <w:rFonts w:eastAsia="Times New Roman" w:cs="Arial"/>
          <w:szCs w:val="20"/>
        </w:rPr>
        <w:t xml:space="preserve"> </w:t>
      </w:r>
    </w:p>
    <w:p w14:paraId="23E8C736" w14:textId="77777777" w:rsidR="00F63DD2" w:rsidRDefault="00F63DD2" w:rsidP="00462063">
      <w:pPr>
        <w:rPr>
          <w:rFonts w:eastAsia="Times New Roman" w:cs="Arial"/>
          <w:szCs w:val="20"/>
        </w:rPr>
      </w:pPr>
    </w:p>
    <w:p w14:paraId="342F1AAA" w14:textId="77777777" w:rsidR="00F63DD2" w:rsidRDefault="00F63DD2" w:rsidP="00F63DD2">
      <w:pPr>
        <w:rPr>
          <w:rFonts w:eastAsia="Times New Roman" w:cs="Arial"/>
          <w:szCs w:val="20"/>
        </w:rPr>
      </w:pPr>
      <w:r w:rsidRPr="00C11E00">
        <w:rPr>
          <w:rFonts w:eastAsia="Times New Roman" w:cs="Arial"/>
          <w:szCs w:val="20"/>
        </w:rPr>
        <w:t>The HYIC has yet to fully capitalize its value capture mechanisms because most project completion dates and still in the future.</w:t>
      </w:r>
      <w:r>
        <w:rPr>
          <w:rFonts w:eastAsia="Times New Roman" w:cs="Arial"/>
          <w:szCs w:val="20"/>
        </w:rPr>
        <w:t xml:space="preserve"> </w:t>
      </w:r>
      <w:r w:rsidRPr="00C11E00">
        <w:rPr>
          <w:rFonts w:eastAsia="Times New Roman" w:cs="Arial"/>
          <w:szCs w:val="20"/>
        </w:rPr>
        <w:t>The HYIC has raised $200 million in TEP and DIB revenue since 2006 on developments completed during earl</w:t>
      </w:r>
      <w:r>
        <w:rPr>
          <w:rFonts w:eastAsia="Times New Roman" w:cs="Arial"/>
          <w:szCs w:val="20"/>
        </w:rPr>
        <w:t>y</w:t>
      </w:r>
      <w:r w:rsidRPr="00C11E00">
        <w:rPr>
          <w:rFonts w:eastAsia="Times New Roman" w:cs="Arial"/>
          <w:szCs w:val="20"/>
        </w:rPr>
        <w:t xml:space="preserve"> stages of the HYRP. </w:t>
      </w:r>
    </w:p>
    <w:p w14:paraId="0E1EC081" w14:textId="77777777" w:rsidR="00F63DD2" w:rsidRDefault="00F63DD2" w:rsidP="00462063">
      <w:pPr>
        <w:rPr>
          <w:rFonts w:eastAsia="Times New Roman" w:cs="Arial"/>
          <w:szCs w:val="20"/>
        </w:rPr>
      </w:pPr>
    </w:p>
    <w:p w14:paraId="4CCBD90C" w14:textId="77777777" w:rsidR="00F63DD2" w:rsidRDefault="00462063" w:rsidP="00462063">
      <w:pPr>
        <w:rPr>
          <w:rFonts w:eastAsia="Times New Roman" w:cs="Arial"/>
          <w:szCs w:val="20"/>
        </w:rPr>
      </w:pPr>
      <w:r w:rsidRPr="00C11E00">
        <w:rPr>
          <w:rFonts w:eastAsia="Times New Roman" w:cs="Arial"/>
          <w:szCs w:val="20"/>
        </w:rPr>
        <w:t>A</w:t>
      </w:r>
      <w:r>
        <w:rPr>
          <w:rFonts w:eastAsia="Times New Roman" w:cs="Arial"/>
          <w:szCs w:val="20"/>
        </w:rPr>
        <w:t>fter</w:t>
      </w:r>
      <w:r w:rsidRPr="00C11E00">
        <w:rPr>
          <w:rFonts w:eastAsia="Times New Roman" w:cs="Arial"/>
          <w:szCs w:val="20"/>
        </w:rPr>
        <w:t xml:space="preserve"> </w:t>
      </w:r>
      <w:r>
        <w:rPr>
          <w:rFonts w:eastAsia="Times New Roman" w:cs="Arial"/>
          <w:szCs w:val="20"/>
        </w:rPr>
        <w:t xml:space="preserve">rail </w:t>
      </w:r>
      <w:r w:rsidRPr="00C11E00">
        <w:rPr>
          <w:rFonts w:eastAsia="Times New Roman" w:cs="Arial"/>
          <w:szCs w:val="20"/>
        </w:rPr>
        <w:t xml:space="preserve">construction </w:t>
      </w:r>
      <w:r>
        <w:rPr>
          <w:rFonts w:eastAsia="Times New Roman" w:cs="Arial"/>
          <w:szCs w:val="20"/>
        </w:rPr>
        <w:t>is completed in</w:t>
      </w:r>
      <w:r w:rsidRPr="00C11E00">
        <w:rPr>
          <w:rFonts w:eastAsia="Times New Roman" w:cs="Arial"/>
          <w:szCs w:val="20"/>
        </w:rPr>
        <w:t xml:space="preserve"> 2015 and </w:t>
      </w:r>
      <w:r>
        <w:rPr>
          <w:rFonts w:eastAsia="Times New Roman" w:cs="Arial"/>
          <w:szCs w:val="20"/>
        </w:rPr>
        <w:t>new</w:t>
      </w:r>
      <w:r w:rsidRPr="00C11E00">
        <w:rPr>
          <w:rFonts w:eastAsia="Times New Roman" w:cs="Arial"/>
          <w:szCs w:val="20"/>
        </w:rPr>
        <w:t xml:space="preserve"> developments </w:t>
      </w:r>
      <w:r>
        <w:rPr>
          <w:rFonts w:eastAsia="Times New Roman" w:cs="Arial"/>
          <w:szCs w:val="20"/>
        </w:rPr>
        <w:t>are opened</w:t>
      </w:r>
      <w:r w:rsidRPr="00C11E00">
        <w:rPr>
          <w:rFonts w:eastAsia="Times New Roman" w:cs="Arial"/>
          <w:szCs w:val="20"/>
        </w:rPr>
        <w:t>, the HYIC will begin generating increasing revenues</w:t>
      </w:r>
      <w:r>
        <w:rPr>
          <w:rFonts w:eastAsia="Times New Roman" w:cs="Arial"/>
          <w:szCs w:val="20"/>
        </w:rPr>
        <w:t>. This</w:t>
      </w:r>
      <w:r w:rsidRPr="00C11E00">
        <w:rPr>
          <w:rFonts w:eastAsia="Times New Roman" w:cs="Arial"/>
          <w:szCs w:val="20"/>
        </w:rPr>
        <w:t xml:space="preserve"> will allow </w:t>
      </w:r>
      <w:r>
        <w:rPr>
          <w:rFonts w:eastAsia="Times New Roman" w:cs="Arial"/>
          <w:szCs w:val="20"/>
        </w:rPr>
        <w:t>the HYIC</w:t>
      </w:r>
      <w:r w:rsidRPr="00C11E00">
        <w:rPr>
          <w:rFonts w:eastAsia="Times New Roman" w:cs="Arial"/>
          <w:szCs w:val="20"/>
        </w:rPr>
        <w:t xml:space="preserve"> to repurchase the bonds. </w:t>
      </w:r>
    </w:p>
    <w:p w14:paraId="43528670" w14:textId="77777777" w:rsidR="00A42707" w:rsidRDefault="00A42707" w:rsidP="009861AC">
      <w:pPr>
        <w:pStyle w:val="Heading2"/>
      </w:pPr>
      <w:bookmarkStart w:id="58" w:name="_Toc430896842"/>
      <w:r>
        <w:lastRenderedPageBreak/>
        <w:t xml:space="preserve">Chicago </w:t>
      </w:r>
      <w:r w:rsidR="00F63DD2">
        <w:t>Rapid Transit Stations</w:t>
      </w:r>
      <w:r>
        <w:t xml:space="preserve"> </w:t>
      </w:r>
      <w:r w:rsidR="00F63DD2">
        <w:t>– Tax Increment Funding</w:t>
      </w:r>
      <w:bookmarkEnd w:id="58"/>
    </w:p>
    <w:p w14:paraId="4FFC51CD" w14:textId="77777777" w:rsidR="00A8384D" w:rsidRDefault="00A8384D" w:rsidP="00462063">
      <w:pPr>
        <w:rPr>
          <w:rFonts w:eastAsia="Times New Roman" w:cs="Arial"/>
          <w:szCs w:val="20"/>
        </w:rPr>
      </w:pPr>
      <w:r>
        <w:rPr>
          <w:rFonts w:eastAsia="Times New Roman" w:cs="Arial"/>
          <w:szCs w:val="20"/>
        </w:rPr>
        <w:t xml:space="preserve">Tax Increment Funding (TIF) is a well-established value capture mechanism in the US which is being introduced in other countries including the UK and Canada. </w:t>
      </w:r>
    </w:p>
    <w:p w14:paraId="1DDAFA85" w14:textId="77777777" w:rsidR="00A8384D" w:rsidRDefault="00A8384D" w:rsidP="00462063">
      <w:pPr>
        <w:rPr>
          <w:rFonts w:eastAsia="Times New Roman" w:cs="Arial"/>
          <w:szCs w:val="20"/>
        </w:rPr>
      </w:pPr>
    </w:p>
    <w:p w14:paraId="74C97A02" w14:textId="77777777" w:rsidR="00A8384D" w:rsidRDefault="00462063" w:rsidP="00462063">
      <w:pPr>
        <w:rPr>
          <w:rFonts w:eastAsia="Times New Roman" w:cs="Arial"/>
          <w:szCs w:val="20"/>
        </w:rPr>
      </w:pPr>
      <w:r>
        <w:rPr>
          <w:rFonts w:eastAsia="Times New Roman" w:cs="Arial"/>
          <w:szCs w:val="20"/>
        </w:rPr>
        <w:t xml:space="preserve">Chicago is using </w:t>
      </w:r>
      <w:r w:rsidR="00A8384D">
        <w:rPr>
          <w:rFonts w:eastAsia="Times New Roman" w:cs="Arial"/>
          <w:szCs w:val="20"/>
        </w:rPr>
        <w:t xml:space="preserve">TIF </w:t>
      </w:r>
      <w:r>
        <w:rPr>
          <w:rFonts w:eastAsia="Times New Roman" w:cs="Arial"/>
          <w:szCs w:val="20"/>
        </w:rPr>
        <w:t>to improve public transport infrastructure</w:t>
      </w:r>
      <w:r w:rsidRPr="008E6784">
        <w:rPr>
          <w:rFonts w:eastAsia="Times New Roman" w:cs="Arial"/>
          <w:szCs w:val="20"/>
        </w:rPr>
        <w:t xml:space="preserve"> </w:t>
      </w:r>
      <w:r>
        <w:rPr>
          <w:rFonts w:eastAsia="Times New Roman" w:cs="Arial"/>
          <w:szCs w:val="20"/>
        </w:rPr>
        <w:t xml:space="preserve">and promote investment in the city. </w:t>
      </w:r>
    </w:p>
    <w:p w14:paraId="705A99AE" w14:textId="77777777" w:rsidR="00A8384D" w:rsidRDefault="00A8384D" w:rsidP="00462063">
      <w:pPr>
        <w:rPr>
          <w:rFonts w:eastAsia="Times New Roman" w:cs="Arial"/>
          <w:szCs w:val="20"/>
        </w:rPr>
      </w:pPr>
    </w:p>
    <w:p w14:paraId="5EC6AB42" w14:textId="77777777" w:rsidR="00462063" w:rsidRDefault="00462063" w:rsidP="00462063">
      <w:pPr>
        <w:rPr>
          <w:rFonts w:eastAsia="Times New Roman" w:cs="Arial"/>
          <w:szCs w:val="20"/>
        </w:rPr>
      </w:pPr>
      <w:r>
        <w:rPr>
          <w:rFonts w:eastAsia="Times New Roman" w:cs="Arial"/>
          <w:szCs w:val="20"/>
        </w:rPr>
        <w:t>Chicago has established 153 TIF districts that are eligible for the TIF program. Funds are generated by growth in the Equalized Assessed Valuation (EAV) of properties in a designated district. The program has a 23 year time frame. Funds are used to construct and maintain infrastructure, remediate polluted land and re-deploy vacant properties for urban development.</w:t>
      </w:r>
    </w:p>
    <w:p w14:paraId="06A4F758" w14:textId="77777777" w:rsidR="00462063" w:rsidRDefault="00462063" w:rsidP="00462063">
      <w:pPr>
        <w:rPr>
          <w:rFonts w:eastAsia="Times New Roman" w:cs="Arial"/>
          <w:szCs w:val="20"/>
        </w:rPr>
      </w:pPr>
    </w:p>
    <w:p w14:paraId="01B1A1D2" w14:textId="77777777" w:rsidR="00462063" w:rsidRDefault="00462063" w:rsidP="00462063">
      <w:pPr>
        <w:rPr>
          <w:rFonts w:eastAsia="Times New Roman" w:cs="Arial"/>
          <w:szCs w:val="20"/>
        </w:rPr>
      </w:pPr>
      <w:r>
        <w:rPr>
          <w:rFonts w:eastAsia="Times New Roman" w:cs="Arial"/>
          <w:szCs w:val="20"/>
        </w:rPr>
        <w:t>A government taskforce estimated that Chicago had a transport infrastructure deficit of USD20 billion. TIF is now being used to fund 6 elevated rail stations.  More public transport projects are planned. Developers are supportive of the program.</w:t>
      </w:r>
    </w:p>
    <w:p w14:paraId="1699A745" w14:textId="77777777" w:rsidR="00462063" w:rsidRDefault="00462063" w:rsidP="00462063">
      <w:pPr>
        <w:rPr>
          <w:rFonts w:eastAsia="Times New Roman" w:cs="Arial"/>
          <w:szCs w:val="20"/>
        </w:rPr>
      </w:pPr>
    </w:p>
    <w:p w14:paraId="1FB2BB77" w14:textId="77777777" w:rsidR="00462063" w:rsidRDefault="00462063" w:rsidP="00462063">
      <w:pPr>
        <w:rPr>
          <w:rFonts w:eastAsia="Times New Roman" w:cs="Arial"/>
          <w:szCs w:val="20"/>
        </w:rPr>
      </w:pPr>
      <w:r>
        <w:rPr>
          <w:rFonts w:eastAsia="Times New Roman" w:cs="Arial"/>
          <w:szCs w:val="20"/>
        </w:rPr>
        <w:t>Zones must exhibit a range of stress factors to become eligible to be TIF districts. Chicago state law lists the following core stress factors:</w:t>
      </w:r>
    </w:p>
    <w:p w14:paraId="26CE93F5" w14:textId="77777777" w:rsidR="00462063" w:rsidRDefault="00462063" w:rsidP="00462063">
      <w:pPr>
        <w:rPr>
          <w:rFonts w:eastAsia="Times New Roman" w:cs="Arial"/>
          <w:szCs w:val="20"/>
        </w:rPr>
      </w:pPr>
    </w:p>
    <w:p w14:paraId="5E0EDBAB"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Age</w:t>
      </w:r>
    </w:p>
    <w:p w14:paraId="7B0E1BC4"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Obsolescence</w:t>
      </w:r>
    </w:p>
    <w:p w14:paraId="674C1693"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Code violations</w:t>
      </w:r>
    </w:p>
    <w:p w14:paraId="6D0B06A7"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Excessive vacancies</w:t>
      </w:r>
    </w:p>
    <w:p w14:paraId="5B0B1B2B"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Overcrowding</w:t>
      </w:r>
    </w:p>
    <w:p w14:paraId="541E2D0B"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Lack of ventilation, light and sanitary facilities</w:t>
      </w:r>
    </w:p>
    <w:p w14:paraId="24B2D278"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Excessive land coverage</w:t>
      </w:r>
    </w:p>
    <w:p w14:paraId="7B410667"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Inadequate utilities</w:t>
      </w:r>
    </w:p>
    <w:p w14:paraId="089FA232"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Poor land use or layout</w:t>
      </w:r>
    </w:p>
    <w:p w14:paraId="6F1E068B"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Lack pf physical maintenance</w:t>
      </w:r>
    </w:p>
    <w:p w14:paraId="6DEDED0B" w14:textId="77777777" w:rsidR="00462063" w:rsidRDefault="00462063" w:rsidP="003C2621">
      <w:pPr>
        <w:pStyle w:val="ListParagraph"/>
        <w:numPr>
          <w:ilvl w:val="0"/>
          <w:numId w:val="8"/>
        </w:numPr>
        <w:rPr>
          <w:rFonts w:eastAsia="Times New Roman" w:cs="Arial"/>
          <w:szCs w:val="20"/>
        </w:rPr>
      </w:pPr>
      <w:r>
        <w:rPr>
          <w:rFonts w:eastAsia="Times New Roman" w:cs="Arial"/>
          <w:szCs w:val="20"/>
        </w:rPr>
        <w:t>Lack of community plans and planning</w:t>
      </w:r>
    </w:p>
    <w:p w14:paraId="5BABA439" w14:textId="77777777" w:rsidR="00462063" w:rsidRPr="00DA3D6C" w:rsidRDefault="00462063" w:rsidP="003C2621">
      <w:pPr>
        <w:pStyle w:val="ListParagraph"/>
        <w:numPr>
          <w:ilvl w:val="0"/>
          <w:numId w:val="8"/>
        </w:numPr>
        <w:rPr>
          <w:rFonts w:eastAsia="Times New Roman" w:cs="Arial"/>
          <w:szCs w:val="20"/>
        </w:rPr>
      </w:pPr>
      <w:r>
        <w:rPr>
          <w:rFonts w:eastAsia="Times New Roman" w:cs="Arial"/>
          <w:szCs w:val="20"/>
        </w:rPr>
        <w:t>Dilapidation or deterioration.</w:t>
      </w:r>
    </w:p>
    <w:p w14:paraId="62C807D4" w14:textId="77777777" w:rsidR="00462063" w:rsidRDefault="00462063" w:rsidP="00462063">
      <w:pPr>
        <w:rPr>
          <w:rFonts w:eastAsia="Times New Roman" w:cs="Arial"/>
          <w:szCs w:val="20"/>
        </w:rPr>
      </w:pPr>
    </w:p>
    <w:p w14:paraId="2EE14A26" w14:textId="77777777" w:rsidR="00462063" w:rsidRDefault="00462063" w:rsidP="00462063">
      <w:pPr>
        <w:rPr>
          <w:rFonts w:eastAsia="Times New Roman" w:cs="Arial"/>
          <w:szCs w:val="20"/>
        </w:rPr>
      </w:pPr>
      <w:r>
        <w:rPr>
          <w:rFonts w:eastAsia="Times New Roman" w:cs="Arial"/>
          <w:szCs w:val="20"/>
        </w:rPr>
        <w:t>The structure for Chicago TIFs is straightforward:</w:t>
      </w:r>
    </w:p>
    <w:p w14:paraId="13E6707E" w14:textId="77777777" w:rsidR="00462063" w:rsidRDefault="00462063" w:rsidP="00462063">
      <w:pPr>
        <w:rPr>
          <w:rFonts w:eastAsia="Times New Roman" w:cs="Arial"/>
          <w:szCs w:val="20"/>
        </w:rPr>
      </w:pPr>
    </w:p>
    <w:p w14:paraId="0A765FB4" w14:textId="77777777" w:rsidR="00462063" w:rsidRDefault="00462063" w:rsidP="00791C11">
      <w:pPr>
        <w:pStyle w:val="ListParagraph"/>
        <w:numPr>
          <w:ilvl w:val="0"/>
          <w:numId w:val="20"/>
        </w:numPr>
        <w:rPr>
          <w:rFonts w:eastAsia="Times New Roman" w:cs="Arial"/>
          <w:szCs w:val="20"/>
        </w:rPr>
      </w:pPr>
      <w:r>
        <w:rPr>
          <w:rFonts w:eastAsia="Times New Roman" w:cs="Arial"/>
          <w:szCs w:val="20"/>
        </w:rPr>
        <w:t xml:space="preserve">When an area is declared </w:t>
      </w:r>
      <w:r w:rsidR="00AB6002">
        <w:rPr>
          <w:rFonts w:eastAsia="Times New Roman" w:cs="Arial"/>
          <w:szCs w:val="20"/>
        </w:rPr>
        <w:t>to be</w:t>
      </w:r>
      <w:r>
        <w:rPr>
          <w:rFonts w:eastAsia="Times New Roman" w:cs="Arial"/>
          <w:szCs w:val="20"/>
        </w:rPr>
        <w:t xml:space="preserve"> a TIF district, project development plans are prepared and </w:t>
      </w:r>
      <w:r w:rsidR="008C0339">
        <w:rPr>
          <w:rFonts w:eastAsia="Times New Roman" w:cs="Arial"/>
          <w:szCs w:val="20"/>
        </w:rPr>
        <w:t>required</w:t>
      </w:r>
      <w:r>
        <w:rPr>
          <w:rFonts w:eastAsia="Times New Roman" w:cs="Arial"/>
          <w:szCs w:val="20"/>
        </w:rPr>
        <w:t xml:space="preserve"> funding levels </w:t>
      </w:r>
      <w:r w:rsidR="008C0339">
        <w:rPr>
          <w:rFonts w:eastAsia="Times New Roman" w:cs="Arial"/>
          <w:szCs w:val="20"/>
        </w:rPr>
        <w:t xml:space="preserve">for new projects </w:t>
      </w:r>
      <w:r>
        <w:rPr>
          <w:rFonts w:eastAsia="Times New Roman" w:cs="Arial"/>
          <w:szCs w:val="20"/>
        </w:rPr>
        <w:t>are calculated</w:t>
      </w:r>
    </w:p>
    <w:p w14:paraId="7A422C44" w14:textId="77777777" w:rsidR="00462063" w:rsidRDefault="00462063" w:rsidP="00791C11">
      <w:pPr>
        <w:pStyle w:val="ListParagraph"/>
        <w:numPr>
          <w:ilvl w:val="0"/>
          <w:numId w:val="20"/>
        </w:numPr>
        <w:rPr>
          <w:rFonts w:eastAsia="Times New Roman" w:cs="Arial"/>
          <w:szCs w:val="20"/>
        </w:rPr>
      </w:pPr>
      <w:r>
        <w:rPr>
          <w:rFonts w:eastAsia="Times New Roman" w:cs="Arial"/>
          <w:szCs w:val="20"/>
        </w:rPr>
        <w:t xml:space="preserve">The amount of property tax </w:t>
      </w:r>
      <w:r w:rsidR="00667B22">
        <w:rPr>
          <w:rFonts w:eastAsia="Times New Roman" w:cs="Arial"/>
          <w:szCs w:val="20"/>
        </w:rPr>
        <w:t xml:space="preserve">that is generated from the TIF district </w:t>
      </w:r>
      <w:r>
        <w:rPr>
          <w:rFonts w:eastAsia="Times New Roman" w:cs="Arial"/>
          <w:szCs w:val="20"/>
        </w:rPr>
        <w:t>is set as a base Equivalent Assessed Valuation</w:t>
      </w:r>
    </w:p>
    <w:p w14:paraId="57A92F87" w14:textId="77777777" w:rsidR="006E7DC9" w:rsidRDefault="00462063" w:rsidP="00791C11">
      <w:pPr>
        <w:pStyle w:val="ListParagraph"/>
        <w:numPr>
          <w:ilvl w:val="0"/>
          <w:numId w:val="20"/>
        </w:numPr>
        <w:rPr>
          <w:rFonts w:eastAsia="Times New Roman" w:cs="Arial"/>
          <w:szCs w:val="20"/>
        </w:rPr>
      </w:pPr>
      <w:r w:rsidRPr="006E7DC9">
        <w:rPr>
          <w:rFonts w:eastAsia="Times New Roman" w:cs="Arial"/>
          <w:szCs w:val="20"/>
        </w:rPr>
        <w:t>As property values increase, all tax growth above the base is used to fund redevelopment projects inside the TIF district</w:t>
      </w:r>
    </w:p>
    <w:p w14:paraId="10912D94" w14:textId="77777777" w:rsidR="00462063" w:rsidRPr="006E7DC9" w:rsidRDefault="00462063" w:rsidP="00791C11">
      <w:pPr>
        <w:pStyle w:val="ListParagraph"/>
        <w:numPr>
          <w:ilvl w:val="0"/>
          <w:numId w:val="20"/>
        </w:numPr>
        <w:rPr>
          <w:rFonts w:eastAsia="Times New Roman" w:cs="Arial"/>
          <w:szCs w:val="20"/>
        </w:rPr>
      </w:pPr>
      <w:r w:rsidRPr="006E7DC9">
        <w:rPr>
          <w:rFonts w:eastAsia="Times New Roman" w:cs="Arial"/>
          <w:szCs w:val="20"/>
        </w:rPr>
        <w:t>Th</w:t>
      </w:r>
      <w:r w:rsidR="006E7DC9">
        <w:rPr>
          <w:rFonts w:eastAsia="Times New Roman" w:cs="Arial"/>
          <w:szCs w:val="20"/>
        </w:rPr>
        <w:t>is</w:t>
      </w:r>
      <w:r w:rsidRPr="006E7DC9">
        <w:rPr>
          <w:rFonts w:eastAsia="Times New Roman" w:cs="Arial"/>
          <w:szCs w:val="20"/>
        </w:rPr>
        <w:t xml:space="preserve"> additional tax revenue is used to pay back </w:t>
      </w:r>
      <w:r w:rsidR="006E7DC9">
        <w:rPr>
          <w:rFonts w:eastAsia="Times New Roman" w:cs="Arial"/>
          <w:szCs w:val="20"/>
        </w:rPr>
        <w:t xml:space="preserve">any </w:t>
      </w:r>
      <w:r w:rsidRPr="006E7DC9">
        <w:rPr>
          <w:rFonts w:eastAsia="Times New Roman" w:cs="Arial"/>
          <w:szCs w:val="20"/>
        </w:rPr>
        <w:t>bonds issued to pay upfront costs</w:t>
      </w:r>
      <w:r w:rsidR="006E7DC9">
        <w:rPr>
          <w:rFonts w:eastAsia="Times New Roman" w:cs="Arial"/>
          <w:szCs w:val="20"/>
        </w:rPr>
        <w:t xml:space="preserve"> as well </w:t>
      </w:r>
      <w:r w:rsidR="00F02784">
        <w:rPr>
          <w:rFonts w:eastAsia="Times New Roman" w:cs="Arial"/>
          <w:szCs w:val="20"/>
        </w:rPr>
        <w:t>a</w:t>
      </w:r>
      <w:r w:rsidR="006E7DC9">
        <w:rPr>
          <w:rFonts w:eastAsia="Times New Roman" w:cs="Arial"/>
          <w:szCs w:val="20"/>
        </w:rPr>
        <w:t>s to finance</w:t>
      </w:r>
      <w:r w:rsidRPr="006E7DC9">
        <w:rPr>
          <w:rFonts w:eastAsia="Times New Roman" w:cs="Arial"/>
          <w:szCs w:val="20"/>
        </w:rPr>
        <w:t xml:space="preserve"> individual projects</w:t>
      </w:r>
    </w:p>
    <w:p w14:paraId="2C8E50F2" w14:textId="77777777" w:rsidR="00462063" w:rsidRDefault="00462063" w:rsidP="00791C11">
      <w:pPr>
        <w:pStyle w:val="ListParagraph"/>
        <w:numPr>
          <w:ilvl w:val="0"/>
          <w:numId w:val="20"/>
        </w:numPr>
        <w:rPr>
          <w:rFonts w:eastAsia="Times New Roman" w:cs="Arial"/>
          <w:szCs w:val="20"/>
        </w:rPr>
      </w:pPr>
      <w:r>
        <w:rPr>
          <w:rFonts w:eastAsia="Times New Roman" w:cs="Arial"/>
          <w:szCs w:val="20"/>
        </w:rPr>
        <w:t>At the conclusion of the 23 year TIF period, the increased tax revenue (based on current property values) above the base amount will be distributed to the regional government authorities administering Chicago.</w:t>
      </w:r>
    </w:p>
    <w:p w14:paraId="6AC42702" w14:textId="77777777" w:rsidR="00462063" w:rsidRDefault="00462063" w:rsidP="00462063">
      <w:pPr>
        <w:rPr>
          <w:rFonts w:eastAsia="Times New Roman" w:cs="Arial"/>
          <w:szCs w:val="20"/>
        </w:rPr>
      </w:pPr>
    </w:p>
    <w:p w14:paraId="0219626E" w14:textId="2832B84B" w:rsidR="00462063" w:rsidRDefault="00462063" w:rsidP="00462063">
      <w:pPr>
        <w:rPr>
          <w:rFonts w:eastAsia="Times New Roman" w:cs="Arial"/>
          <w:szCs w:val="20"/>
        </w:rPr>
      </w:pPr>
      <w:r>
        <w:rPr>
          <w:rFonts w:eastAsia="Times New Roman" w:cs="Arial"/>
          <w:szCs w:val="20"/>
        </w:rPr>
        <w:t>The City of Chicago maintains a web portal that enables residents to view progres</w:t>
      </w:r>
      <w:r w:rsidR="00896C6F">
        <w:rPr>
          <w:rFonts w:eastAsia="Times New Roman" w:cs="Arial"/>
          <w:szCs w:val="20"/>
        </w:rPr>
        <w:t xml:space="preserve">s in TIF districts (see </w:t>
      </w:r>
      <w:r w:rsidR="00896C6F">
        <w:rPr>
          <w:rFonts w:eastAsia="Times New Roman" w:cs="Arial"/>
          <w:szCs w:val="20"/>
        </w:rPr>
        <w:fldChar w:fldCharType="begin"/>
      </w:r>
      <w:r w:rsidR="00896C6F">
        <w:rPr>
          <w:rFonts w:eastAsia="Times New Roman" w:cs="Arial"/>
          <w:szCs w:val="20"/>
        </w:rPr>
        <w:instrText xml:space="preserve"> REF _Ref430858812 \h </w:instrText>
      </w:r>
      <w:r w:rsidR="00896C6F">
        <w:rPr>
          <w:rFonts w:eastAsia="Times New Roman" w:cs="Arial"/>
          <w:szCs w:val="20"/>
        </w:rPr>
      </w:r>
      <w:r w:rsidR="00896C6F">
        <w:rPr>
          <w:rFonts w:eastAsia="Times New Roman" w:cs="Arial"/>
          <w:szCs w:val="20"/>
        </w:rPr>
        <w:fldChar w:fldCharType="separate"/>
      </w:r>
      <w:r w:rsidR="00184C79">
        <w:t xml:space="preserve">Figure </w:t>
      </w:r>
      <w:r w:rsidR="00184C79">
        <w:rPr>
          <w:noProof/>
        </w:rPr>
        <w:t>7</w:t>
      </w:r>
      <w:r w:rsidR="00896C6F">
        <w:rPr>
          <w:rFonts w:eastAsia="Times New Roman" w:cs="Arial"/>
          <w:szCs w:val="20"/>
        </w:rPr>
        <w:fldChar w:fldCharType="end"/>
      </w:r>
      <w:r>
        <w:rPr>
          <w:rFonts w:eastAsia="Times New Roman" w:cs="Arial"/>
          <w:szCs w:val="20"/>
        </w:rPr>
        <w:t xml:space="preserve"> - </w:t>
      </w:r>
      <w:hyperlink r:id="rId26" w:history="1">
        <w:r w:rsidRPr="00C407AF">
          <w:rPr>
            <w:rStyle w:val="Hyperlink"/>
            <w:rFonts w:eastAsia="Times New Roman" w:cs="Arial"/>
            <w:sz w:val="20"/>
            <w:szCs w:val="20"/>
          </w:rPr>
          <w:t>http://webapps.cityofchicago.org/ChicagoTif/</w:t>
        </w:r>
      </w:hyperlink>
      <w:r>
        <w:rPr>
          <w:rFonts w:eastAsia="Times New Roman" w:cs="Arial"/>
          <w:szCs w:val="20"/>
        </w:rPr>
        <w:t>). Tan areas show TIF districts. Red circles are redevelopment projects. Yellow squares identify infrastructure projects. It is possible to drill down through these icons to detailed project information.</w:t>
      </w:r>
    </w:p>
    <w:p w14:paraId="4E4BC692" w14:textId="77777777" w:rsidR="00896C6F" w:rsidRDefault="00896C6F" w:rsidP="00462063">
      <w:pPr>
        <w:rPr>
          <w:rFonts w:eastAsia="Times New Roman" w:cs="Arial"/>
          <w:szCs w:val="20"/>
        </w:rPr>
      </w:pPr>
    </w:p>
    <w:p w14:paraId="42F76AF9" w14:textId="77777777" w:rsidR="00E82F86" w:rsidRDefault="00E82F86" w:rsidP="00462063">
      <w:pPr>
        <w:rPr>
          <w:rFonts w:eastAsia="Times New Roman" w:cs="Arial"/>
          <w:szCs w:val="20"/>
        </w:rPr>
      </w:pPr>
    </w:p>
    <w:p w14:paraId="28CFA88D" w14:textId="77777777" w:rsidR="00E82F86" w:rsidRDefault="00E82F86" w:rsidP="00462063">
      <w:pPr>
        <w:rPr>
          <w:rFonts w:eastAsia="Times New Roman" w:cs="Arial"/>
          <w:szCs w:val="20"/>
        </w:rPr>
      </w:pPr>
    </w:p>
    <w:p w14:paraId="4181F7BF" w14:textId="77777777" w:rsidR="00E82F86" w:rsidRDefault="00E82F86" w:rsidP="00462063">
      <w:pPr>
        <w:rPr>
          <w:rFonts w:eastAsia="Times New Roman" w:cs="Arial"/>
          <w:szCs w:val="20"/>
        </w:rPr>
      </w:pPr>
    </w:p>
    <w:p w14:paraId="320A4204" w14:textId="77777777" w:rsidR="00E82F86" w:rsidRDefault="00E82F86" w:rsidP="00462063">
      <w:pPr>
        <w:rPr>
          <w:rFonts w:eastAsia="Times New Roman" w:cs="Arial"/>
          <w:szCs w:val="20"/>
        </w:rPr>
      </w:pPr>
    </w:p>
    <w:p w14:paraId="4E934EF2" w14:textId="77777777" w:rsidR="00E82F86" w:rsidRDefault="00E82F86" w:rsidP="00462063">
      <w:pPr>
        <w:rPr>
          <w:rFonts w:eastAsia="Times New Roman" w:cs="Arial"/>
          <w:szCs w:val="20"/>
        </w:rPr>
      </w:pPr>
    </w:p>
    <w:p w14:paraId="22E1BC40" w14:textId="33ADB8AA" w:rsidR="00462063" w:rsidRDefault="00896C6F" w:rsidP="00896C6F">
      <w:pPr>
        <w:pStyle w:val="Caption"/>
        <w:rPr>
          <w:rFonts w:eastAsia="Times New Roman" w:cs="Arial"/>
          <w:szCs w:val="20"/>
        </w:rPr>
      </w:pPr>
      <w:bookmarkStart w:id="59" w:name="_Ref430858812"/>
      <w:bookmarkStart w:id="60" w:name="_Toc430896559"/>
      <w:r>
        <w:lastRenderedPageBreak/>
        <w:t xml:space="preserve">Figure </w:t>
      </w:r>
      <w:r>
        <w:fldChar w:fldCharType="begin"/>
      </w:r>
      <w:r>
        <w:instrText xml:space="preserve"> SEQ Figure \* ARABIC </w:instrText>
      </w:r>
      <w:r>
        <w:fldChar w:fldCharType="separate"/>
      </w:r>
      <w:r w:rsidR="00184C79">
        <w:rPr>
          <w:noProof/>
        </w:rPr>
        <w:t>7</w:t>
      </w:r>
      <w:r>
        <w:fldChar w:fldCharType="end"/>
      </w:r>
      <w:bookmarkEnd w:id="59"/>
      <w:r>
        <w:t>.</w:t>
      </w:r>
      <w:r>
        <w:tab/>
        <w:t>progress in tif districts chicago</w:t>
      </w:r>
      <w:bookmarkEnd w:id="60"/>
    </w:p>
    <w:p w14:paraId="20AC7D70" w14:textId="77777777" w:rsidR="00896C6F" w:rsidRDefault="00896C6F" w:rsidP="00462063">
      <w:pPr>
        <w:rPr>
          <w:noProof/>
          <w:lang w:val="en-AU" w:eastAsia="en-AU"/>
        </w:rPr>
      </w:pPr>
    </w:p>
    <w:p w14:paraId="48FFB61F" w14:textId="77777777" w:rsidR="00462063" w:rsidRPr="0073517A" w:rsidRDefault="00462063" w:rsidP="00462063">
      <w:pPr>
        <w:rPr>
          <w:rFonts w:eastAsia="Times New Roman" w:cs="Arial"/>
          <w:szCs w:val="20"/>
        </w:rPr>
      </w:pPr>
      <w:r w:rsidRPr="00892A1C">
        <w:rPr>
          <w:noProof/>
          <w:lang w:val="en-US" w:eastAsia="en-US"/>
        </w:rPr>
        <w:drawing>
          <wp:inline distT="0" distB="0" distL="0" distR="0" wp14:anchorId="03731613" wp14:editId="6B185CC9">
            <wp:extent cx="5730875" cy="26479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731510" cy="2648243"/>
                    </a:xfrm>
                    <a:prstGeom prst="rect">
                      <a:avLst/>
                    </a:prstGeom>
                    <a:ln>
                      <a:noFill/>
                    </a:ln>
                    <a:extLst>
                      <a:ext uri="{53640926-AAD7-44d8-BBD7-CCE9431645EC}">
                        <a14:shadowObscured xmlns:a14="http://schemas.microsoft.com/office/drawing/2010/main"/>
                      </a:ext>
                    </a:extLst>
                  </pic:spPr>
                </pic:pic>
              </a:graphicData>
            </a:graphic>
          </wp:inline>
        </w:drawing>
      </w:r>
    </w:p>
    <w:p w14:paraId="14FAB010" w14:textId="77777777" w:rsidR="00462063" w:rsidRDefault="00462063" w:rsidP="00462063">
      <w:pPr>
        <w:rPr>
          <w:rFonts w:ascii="Arial" w:eastAsia="Times New Roman" w:hAnsi="Arial" w:cs="Arial"/>
          <w:color w:val="222222"/>
          <w:sz w:val="26"/>
          <w:szCs w:val="26"/>
          <w:shd w:val="clear" w:color="auto" w:fill="D6DFEB"/>
        </w:rPr>
      </w:pPr>
    </w:p>
    <w:p w14:paraId="7040FF65" w14:textId="77777777" w:rsidR="00DB22B1" w:rsidRDefault="00DB22B1" w:rsidP="009861AC">
      <w:pPr>
        <w:pStyle w:val="Heading2"/>
      </w:pPr>
      <w:bookmarkStart w:id="61" w:name="_Toc430896843"/>
      <w:r>
        <w:t>Hong Kong</w:t>
      </w:r>
      <w:r w:rsidR="007E30D9">
        <w:t xml:space="preserve"> – “Rail + Property” Development</w:t>
      </w:r>
      <w:bookmarkEnd w:id="61"/>
      <w:r>
        <w:t xml:space="preserve"> </w:t>
      </w:r>
    </w:p>
    <w:p w14:paraId="0892BEA1" w14:textId="77777777" w:rsidR="00332451" w:rsidRDefault="00F814B5" w:rsidP="008D0DC5">
      <w:pPr>
        <w:pStyle w:val="NormalWeb"/>
        <w:shd w:val="clear" w:color="auto" w:fill="FFFFFF"/>
        <w:spacing w:before="0" w:beforeAutospacing="0" w:after="0" w:afterAutospacing="0"/>
        <w:rPr>
          <w:rFonts w:asciiTheme="minorHAnsi" w:hAnsiTheme="minorHAnsi" w:cs="Arial"/>
          <w:sz w:val="20"/>
          <w:szCs w:val="20"/>
        </w:rPr>
      </w:pPr>
      <w:r w:rsidRPr="00D80CF5">
        <w:rPr>
          <w:rFonts w:asciiTheme="minorHAnsi" w:hAnsiTheme="minorHAnsi" w:cs="Arial"/>
          <w:sz w:val="20"/>
          <w:szCs w:val="20"/>
        </w:rPr>
        <w:t>The</w:t>
      </w:r>
      <w:r w:rsidRPr="00D80CF5">
        <w:rPr>
          <w:rStyle w:val="apple-converted-space"/>
          <w:rFonts w:asciiTheme="minorHAnsi" w:eastAsiaTheme="majorEastAsia" w:hAnsiTheme="minorHAnsi" w:cs="Arial"/>
          <w:sz w:val="20"/>
          <w:szCs w:val="20"/>
        </w:rPr>
        <w:t> </w:t>
      </w:r>
      <w:r w:rsidRPr="00D80CF5">
        <w:rPr>
          <w:rFonts w:asciiTheme="minorHAnsi" w:hAnsiTheme="minorHAnsi" w:cs="Arial"/>
          <w:bCs/>
          <w:sz w:val="20"/>
          <w:szCs w:val="20"/>
        </w:rPr>
        <w:t>Mass Transit Railway</w:t>
      </w:r>
      <w:r w:rsidRPr="00D80CF5">
        <w:rPr>
          <w:rStyle w:val="apple-converted-space"/>
          <w:rFonts w:asciiTheme="minorHAnsi" w:eastAsiaTheme="majorEastAsia" w:hAnsiTheme="minorHAnsi" w:cs="Arial"/>
          <w:sz w:val="20"/>
          <w:szCs w:val="20"/>
        </w:rPr>
        <w:t> </w:t>
      </w:r>
      <w:r w:rsidRPr="00D80CF5">
        <w:rPr>
          <w:rFonts w:asciiTheme="minorHAnsi" w:hAnsiTheme="minorHAnsi" w:cs="Arial"/>
          <w:sz w:val="20"/>
          <w:szCs w:val="20"/>
        </w:rPr>
        <w:t>(</w:t>
      </w:r>
      <w:r w:rsidRPr="00D80CF5">
        <w:rPr>
          <w:rFonts w:asciiTheme="minorHAnsi" w:hAnsiTheme="minorHAnsi" w:cs="Arial"/>
          <w:bCs/>
          <w:sz w:val="20"/>
          <w:szCs w:val="20"/>
        </w:rPr>
        <w:t>MTR</w:t>
      </w:r>
      <w:r w:rsidRPr="00D80CF5">
        <w:rPr>
          <w:rFonts w:asciiTheme="minorHAnsi" w:hAnsiTheme="minorHAnsi" w:cs="Arial"/>
          <w:sz w:val="20"/>
          <w:szCs w:val="20"/>
        </w:rPr>
        <w:t>) is the</w:t>
      </w:r>
      <w:r w:rsidRPr="00D80CF5">
        <w:rPr>
          <w:rStyle w:val="apple-converted-space"/>
          <w:rFonts w:asciiTheme="minorHAnsi" w:eastAsiaTheme="majorEastAsia" w:hAnsiTheme="minorHAnsi" w:cs="Arial"/>
          <w:sz w:val="20"/>
          <w:szCs w:val="20"/>
        </w:rPr>
        <w:t> </w:t>
      </w:r>
      <w:hyperlink r:id="rId28" w:tooltip="Rapid transit" w:history="1">
        <w:r w:rsidRPr="00D80CF5">
          <w:rPr>
            <w:rStyle w:val="Hyperlink"/>
            <w:rFonts w:eastAsiaTheme="majorEastAsia" w:cs="Arial"/>
            <w:color w:val="auto"/>
            <w:sz w:val="20"/>
            <w:szCs w:val="20"/>
          </w:rPr>
          <w:t>rapid transit</w:t>
        </w:r>
      </w:hyperlink>
      <w:r w:rsidRPr="00DB22B1">
        <w:rPr>
          <w:rStyle w:val="apple-converted-space"/>
          <w:rFonts w:asciiTheme="minorHAnsi" w:eastAsiaTheme="majorEastAsia" w:hAnsiTheme="minorHAnsi" w:cs="Arial"/>
          <w:sz w:val="20"/>
          <w:szCs w:val="20"/>
        </w:rPr>
        <w:t> </w:t>
      </w:r>
      <w:r w:rsidRPr="00DB22B1">
        <w:rPr>
          <w:rFonts w:asciiTheme="minorHAnsi" w:hAnsiTheme="minorHAnsi" w:cs="Arial"/>
          <w:sz w:val="20"/>
          <w:szCs w:val="20"/>
        </w:rPr>
        <w:t>railway system in</w:t>
      </w:r>
      <w:r w:rsidRPr="00DB22B1">
        <w:rPr>
          <w:rStyle w:val="apple-converted-space"/>
          <w:rFonts w:asciiTheme="minorHAnsi" w:eastAsiaTheme="majorEastAsia" w:hAnsiTheme="minorHAnsi" w:cs="Arial"/>
          <w:sz w:val="20"/>
          <w:szCs w:val="20"/>
        </w:rPr>
        <w:t> </w:t>
      </w:r>
      <w:hyperlink r:id="rId29" w:tooltip="Hong Kong" w:history="1">
        <w:r w:rsidRPr="00DB22B1">
          <w:rPr>
            <w:rStyle w:val="Hyperlink"/>
            <w:rFonts w:eastAsiaTheme="majorEastAsia" w:cs="Arial"/>
            <w:color w:val="auto"/>
            <w:sz w:val="20"/>
            <w:szCs w:val="20"/>
          </w:rPr>
          <w:t>Hong Kong</w:t>
        </w:r>
      </w:hyperlink>
      <w:r w:rsidRPr="00DB22B1">
        <w:rPr>
          <w:rFonts w:asciiTheme="minorHAnsi" w:hAnsiTheme="minorHAnsi" w:cs="Arial"/>
          <w:sz w:val="20"/>
          <w:szCs w:val="20"/>
        </w:rPr>
        <w:t xml:space="preserve">. Opened in 1979, the system </w:t>
      </w:r>
      <w:r w:rsidR="006E29C5">
        <w:rPr>
          <w:rFonts w:asciiTheme="minorHAnsi" w:hAnsiTheme="minorHAnsi" w:cs="Arial"/>
          <w:sz w:val="20"/>
          <w:szCs w:val="20"/>
        </w:rPr>
        <w:t>covers</w:t>
      </w:r>
      <w:r w:rsidRPr="00DB22B1">
        <w:rPr>
          <w:rFonts w:asciiTheme="minorHAnsi" w:hAnsiTheme="minorHAnsi" w:cs="Arial"/>
          <w:sz w:val="20"/>
          <w:szCs w:val="20"/>
        </w:rPr>
        <w:t xml:space="preserve"> 218.2 km (135.6 mi) of rail</w:t>
      </w:r>
      <w:r w:rsidR="00DB22B1">
        <w:rPr>
          <w:rFonts w:asciiTheme="minorHAnsi" w:hAnsiTheme="minorHAnsi" w:cs="Arial"/>
          <w:sz w:val="20"/>
          <w:szCs w:val="20"/>
        </w:rPr>
        <w:t xml:space="preserve"> </w:t>
      </w:r>
      <w:r w:rsidRPr="00DB22B1">
        <w:rPr>
          <w:rFonts w:asciiTheme="minorHAnsi" w:hAnsiTheme="minorHAnsi" w:cs="Arial"/>
          <w:sz w:val="20"/>
          <w:szCs w:val="20"/>
        </w:rPr>
        <w:t>with 155 stations, including 87 railway stations and 68</w:t>
      </w:r>
      <w:r w:rsidRPr="00DB22B1">
        <w:rPr>
          <w:rStyle w:val="apple-converted-space"/>
          <w:rFonts w:asciiTheme="minorHAnsi" w:eastAsiaTheme="majorEastAsia" w:hAnsiTheme="minorHAnsi" w:cs="Arial"/>
          <w:sz w:val="20"/>
          <w:szCs w:val="20"/>
        </w:rPr>
        <w:t> </w:t>
      </w:r>
      <w:hyperlink r:id="rId30" w:tooltip="Light Rail (MTR)" w:history="1">
        <w:r w:rsidRPr="00DB22B1">
          <w:rPr>
            <w:rStyle w:val="Hyperlink"/>
            <w:rFonts w:eastAsiaTheme="majorEastAsia" w:cs="Arial"/>
            <w:color w:val="auto"/>
            <w:sz w:val="20"/>
            <w:szCs w:val="20"/>
          </w:rPr>
          <w:t>light rail</w:t>
        </w:r>
      </w:hyperlink>
      <w:r w:rsidRPr="00DB22B1">
        <w:rPr>
          <w:rStyle w:val="apple-converted-space"/>
          <w:rFonts w:asciiTheme="minorHAnsi" w:eastAsiaTheme="majorEastAsia" w:hAnsiTheme="minorHAnsi" w:cs="Arial"/>
          <w:sz w:val="20"/>
          <w:szCs w:val="20"/>
        </w:rPr>
        <w:t> </w:t>
      </w:r>
      <w:r w:rsidRPr="00DB22B1">
        <w:rPr>
          <w:rFonts w:asciiTheme="minorHAnsi" w:hAnsiTheme="minorHAnsi" w:cs="Arial"/>
          <w:sz w:val="20"/>
          <w:szCs w:val="20"/>
        </w:rPr>
        <w:t>stops.</w:t>
      </w:r>
      <w:r w:rsidRPr="00DB22B1">
        <w:rPr>
          <w:rStyle w:val="apple-converted-space"/>
          <w:rFonts w:asciiTheme="minorHAnsi" w:eastAsiaTheme="majorEastAsia" w:hAnsiTheme="minorHAnsi" w:cs="Arial"/>
          <w:sz w:val="20"/>
          <w:szCs w:val="20"/>
        </w:rPr>
        <w:t> </w:t>
      </w:r>
      <w:r w:rsidR="008D0DC5">
        <w:rPr>
          <w:rFonts w:asciiTheme="minorHAnsi" w:hAnsiTheme="minorHAnsi" w:cs="Arial"/>
          <w:sz w:val="20"/>
          <w:szCs w:val="20"/>
        </w:rPr>
        <w:t>The</w:t>
      </w:r>
      <w:r w:rsidR="008D0DC5" w:rsidRPr="00DB22B1">
        <w:rPr>
          <w:rFonts w:asciiTheme="minorHAnsi" w:hAnsiTheme="minorHAnsi" w:cs="Arial"/>
          <w:sz w:val="20"/>
          <w:szCs w:val="20"/>
        </w:rPr>
        <w:t xml:space="preserve"> MTR system </w:t>
      </w:r>
      <w:r w:rsidR="008D0DC5">
        <w:rPr>
          <w:rFonts w:asciiTheme="minorHAnsi" w:hAnsiTheme="minorHAnsi" w:cs="Arial"/>
          <w:sz w:val="20"/>
          <w:szCs w:val="20"/>
        </w:rPr>
        <w:t>generates</w:t>
      </w:r>
      <w:r w:rsidR="008D0DC5" w:rsidRPr="00DB22B1">
        <w:rPr>
          <w:rFonts w:asciiTheme="minorHAnsi" w:hAnsiTheme="minorHAnsi" w:cs="Arial"/>
          <w:sz w:val="20"/>
          <w:szCs w:val="20"/>
        </w:rPr>
        <w:t xml:space="preserve"> over </w:t>
      </w:r>
      <w:r w:rsidR="008D0DC5">
        <w:rPr>
          <w:rFonts w:asciiTheme="minorHAnsi" w:hAnsiTheme="minorHAnsi" w:cs="Arial"/>
          <w:sz w:val="20"/>
          <w:szCs w:val="20"/>
        </w:rPr>
        <w:t>5</w:t>
      </w:r>
      <w:r w:rsidR="008D0DC5" w:rsidRPr="00DB22B1">
        <w:rPr>
          <w:rFonts w:asciiTheme="minorHAnsi" w:hAnsiTheme="minorHAnsi" w:cs="Arial"/>
          <w:sz w:val="20"/>
          <w:szCs w:val="20"/>
        </w:rPr>
        <w:t xml:space="preserve"> million trips made in an average weekday. As of 2012, the MTR has a 46.4% share of the public transport market</w:t>
      </w:r>
      <w:r w:rsidR="008D0DC5">
        <w:rPr>
          <w:rFonts w:asciiTheme="minorHAnsi" w:hAnsiTheme="minorHAnsi" w:cs="Arial"/>
          <w:sz w:val="20"/>
          <w:szCs w:val="20"/>
        </w:rPr>
        <w:t xml:space="preserve">. </w:t>
      </w:r>
      <w:r w:rsidRPr="00DB22B1">
        <w:rPr>
          <w:rFonts w:asciiTheme="minorHAnsi" w:hAnsiTheme="minorHAnsi" w:cs="Arial"/>
          <w:sz w:val="20"/>
          <w:szCs w:val="20"/>
        </w:rPr>
        <w:t>The MTR system is operated by</w:t>
      </w:r>
      <w:r w:rsidRPr="00DB22B1">
        <w:rPr>
          <w:rStyle w:val="apple-converted-space"/>
          <w:rFonts w:asciiTheme="minorHAnsi" w:eastAsiaTheme="majorEastAsia" w:hAnsiTheme="minorHAnsi" w:cs="Arial"/>
          <w:sz w:val="20"/>
          <w:szCs w:val="20"/>
        </w:rPr>
        <w:t> </w:t>
      </w:r>
      <w:hyperlink r:id="rId31" w:tooltip="MTR Corporation Limited" w:history="1">
        <w:r w:rsidRPr="00DB22B1">
          <w:rPr>
            <w:rStyle w:val="Hyperlink"/>
            <w:rFonts w:eastAsiaTheme="majorEastAsia" w:cs="Arial"/>
            <w:color w:val="auto"/>
            <w:sz w:val="20"/>
            <w:szCs w:val="20"/>
          </w:rPr>
          <w:t>MTR Corporation Limited</w:t>
        </w:r>
      </w:hyperlink>
      <w:r w:rsidRPr="00DB22B1">
        <w:rPr>
          <w:rStyle w:val="apple-converted-space"/>
          <w:rFonts w:asciiTheme="minorHAnsi" w:eastAsiaTheme="majorEastAsia" w:hAnsiTheme="minorHAnsi" w:cs="Arial"/>
          <w:sz w:val="20"/>
          <w:szCs w:val="20"/>
        </w:rPr>
        <w:t> </w:t>
      </w:r>
      <w:r w:rsidRPr="00DB22B1">
        <w:rPr>
          <w:rFonts w:asciiTheme="minorHAnsi" w:hAnsiTheme="minorHAnsi" w:cs="Arial"/>
          <w:sz w:val="20"/>
          <w:szCs w:val="20"/>
        </w:rPr>
        <w:t xml:space="preserve">(MTRC). It is the most profitable </w:t>
      </w:r>
      <w:r w:rsidR="00332451">
        <w:rPr>
          <w:rFonts w:asciiTheme="minorHAnsi" w:hAnsiTheme="minorHAnsi" w:cs="Arial"/>
          <w:sz w:val="20"/>
          <w:szCs w:val="20"/>
        </w:rPr>
        <w:t xml:space="preserve">public transport </w:t>
      </w:r>
      <w:r w:rsidR="00D80CF5">
        <w:rPr>
          <w:rFonts w:asciiTheme="minorHAnsi" w:hAnsiTheme="minorHAnsi" w:cs="Arial"/>
          <w:sz w:val="20"/>
          <w:szCs w:val="20"/>
        </w:rPr>
        <w:t xml:space="preserve">operating </w:t>
      </w:r>
      <w:r w:rsidRPr="00DB22B1">
        <w:rPr>
          <w:rFonts w:asciiTheme="minorHAnsi" w:hAnsiTheme="minorHAnsi" w:cs="Arial"/>
          <w:sz w:val="20"/>
          <w:szCs w:val="20"/>
        </w:rPr>
        <w:t xml:space="preserve">system in the world with a </w:t>
      </w:r>
      <w:hyperlink r:id="rId32" w:tooltip="Farebox recovery ratio" w:history="1">
        <w:r w:rsidRPr="00DB22B1">
          <w:rPr>
            <w:rStyle w:val="Hyperlink"/>
            <w:rFonts w:eastAsiaTheme="majorEastAsia" w:cs="Arial"/>
            <w:color w:val="auto"/>
            <w:sz w:val="20"/>
            <w:szCs w:val="20"/>
          </w:rPr>
          <w:t>farebox recovery ratio</w:t>
        </w:r>
      </w:hyperlink>
      <w:r w:rsidRPr="00DB22B1">
        <w:rPr>
          <w:rStyle w:val="apple-converted-space"/>
          <w:rFonts w:asciiTheme="minorHAnsi" w:eastAsiaTheme="majorEastAsia" w:hAnsiTheme="minorHAnsi" w:cs="Arial"/>
          <w:sz w:val="20"/>
          <w:szCs w:val="20"/>
        </w:rPr>
        <w:t> </w:t>
      </w:r>
      <w:r w:rsidRPr="00DB22B1">
        <w:rPr>
          <w:rFonts w:asciiTheme="minorHAnsi" w:hAnsiTheme="minorHAnsi" w:cs="Arial"/>
          <w:sz w:val="20"/>
          <w:szCs w:val="20"/>
        </w:rPr>
        <w:t>of 18</w:t>
      </w:r>
      <w:r w:rsidR="00332451">
        <w:rPr>
          <w:rFonts w:asciiTheme="minorHAnsi" w:hAnsiTheme="minorHAnsi" w:cs="Arial"/>
          <w:sz w:val="20"/>
          <w:szCs w:val="20"/>
        </w:rPr>
        <w:t>5</w:t>
      </w:r>
      <w:r w:rsidRPr="00DB22B1">
        <w:rPr>
          <w:rFonts w:asciiTheme="minorHAnsi" w:hAnsiTheme="minorHAnsi" w:cs="Arial"/>
          <w:sz w:val="20"/>
          <w:szCs w:val="20"/>
        </w:rPr>
        <w:t>%.</w:t>
      </w:r>
      <w:r w:rsidR="00D80CF5">
        <w:rPr>
          <w:rFonts w:asciiTheme="minorHAnsi" w:hAnsiTheme="minorHAnsi" w:cs="Arial"/>
          <w:sz w:val="20"/>
          <w:szCs w:val="20"/>
        </w:rPr>
        <w:t xml:space="preserve"> </w:t>
      </w:r>
      <w:r w:rsidR="00332451">
        <w:rPr>
          <w:rFonts w:asciiTheme="minorHAnsi" w:hAnsiTheme="minorHAnsi" w:cs="Arial"/>
          <w:sz w:val="20"/>
          <w:szCs w:val="20"/>
        </w:rPr>
        <w:t>This enables it to maintain high quality rail operations and provide generous fare concessions.</w:t>
      </w:r>
    </w:p>
    <w:p w14:paraId="00A7E090" w14:textId="77777777" w:rsidR="00332451" w:rsidRDefault="00332451" w:rsidP="008D0DC5">
      <w:pPr>
        <w:pStyle w:val="NormalWeb"/>
        <w:shd w:val="clear" w:color="auto" w:fill="FFFFFF"/>
        <w:spacing w:before="0" w:beforeAutospacing="0" w:after="0" w:afterAutospacing="0"/>
        <w:rPr>
          <w:rFonts w:asciiTheme="minorHAnsi" w:hAnsiTheme="minorHAnsi" w:cs="Arial"/>
          <w:sz w:val="20"/>
          <w:szCs w:val="20"/>
        </w:rPr>
      </w:pPr>
    </w:p>
    <w:p w14:paraId="435E9F06" w14:textId="77777777" w:rsidR="008D0DC5" w:rsidRPr="008D0DC5" w:rsidRDefault="008D0DC5" w:rsidP="008D0DC5">
      <w:pPr>
        <w:pStyle w:val="NormalWeb"/>
        <w:shd w:val="clear" w:color="auto" w:fill="FFFFFF"/>
        <w:spacing w:before="0" w:beforeAutospacing="0" w:after="0" w:afterAutospacing="0"/>
        <w:rPr>
          <w:rFonts w:asciiTheme="majorHAnsi" w:hAnsiTheme="majorHAnsi"/>
          <w:sz w:val="20"/>
          <w:szCs w:val="20"/>
        </w:rPr>
      </w:pPr>
      <w:r>
        <w:rPr>
          <w:rFonts w:asciiTheme="minorHAnsi" w:hAnsiTheme="minorHAnsi" w:cs="Arial"/>
          <w:sz w:val="20"/>
          <w:szCs w:val="20"/>
        </w:rPr>
        <w:t>MTRC</w:t>
      </w:r>
      <w:r w:rsidR="00965C03">
        <w:rPr>
          <w:rFonts w:asciiTheme="minorHAnsi" w:hAnsiTheme="minorHAnsi" w:cs="Arial"/>
          <w:sz w:val="20"/>
          <w:szCs w:val="20"/>
        </w:rPr>
        <w:t xml:space="preserve"> also owns overseas rail </w:t>
      </w:r>
      <w:r w:rsidR="00965C03" w:rsidRPr="008D0DC5">
        <w:rPr>
          <w:rFonts w:asciiTheme="minorHAnsi" w:hAnsiTheme="minorHAnsi" w:cs="Arial"/>
          <w:sz w:val="20"/>
          <w:szCs w:val="20"/>
        </w:rPr>
        <w:t xml:space="preserve">concessions including </w:t>
      </w:r>
      <w:r w:rsidRPr="008D0DC5">
        <w:rPr>
          <w:rFonts w:asciiTheme="minorHAnsi" w:hAnsiTheme="minorHAnsi"/>
          <w:sz w:val="20"/>
          <w:szCs w:val="20"/>
        </w:rPr>
        <w:t>individual subway lines in Beijing, Hangzhou, and Shenzhen in China, two lines of the London Underground, and the entire Melbourne and Stockholm systems.</w:t>
      </w:r>
      <w:r>
        <w:rPr>
          <w:rFonts w:asciiTheme="minorHAnsi" w:hAnsiTheme="minorHAnsi"/>
          <w:sz w:val="20"/>
          <w:szCs w:val="20"/>
        </w:rPr>
        <w:t xml:space="preserve"> </w:t>
      </w:r>
      <w:r w:rsidRPr="008D0DC5">
        <w:rPr>
          <w:rFonts w:asciiTheme="minorHAnsi" w:hAnsiTheme="minorHAnsi"/>
          <w:sz w:val="20"/>
          <w:szCs w:val="20"/>
        </w:rPr>
        <w:t xml:space="preserve">In 2012, the MTR produced revenue of 36 billion Hong Kong Dollars (about U.S $5 billion) </w:t>
      </w:r>
      <w:r w:rsidRPr="008D0DC5">
        <w:rPr>
          <w:rFonts w:asciiTheme="majorHAnsi" w:hAnsiTheme="majorHAnsi"/>
          <w:sz w:val="20"/>
          <w:szCs w:val="20"/>
        </w:rPr>
        <w:t xml:space="preserve">with profits of $2 billion. </w:t>
      </w:r>
    </w:p>
    <w:p w14:paraId="20077130" w14:textId="77777777" w:rsidR="00965C03" w:rsidRPr="008D0DC5" w:rsidRDefault="00965C03" w:rsidP="00DB22B1">
      <w:pPr>
        <w:pStyle w:val="NormalWeb"/>
        <w:shd w:val="clear" w:color="auto" w:fill="FFFFFF"/>
        <w:spacing w:before="0" w:beforeAutospacing="0" w:after="0" w:afterAutospacing="0"/>
        <w:rPr>
          <w:rFonts w:asciiTheme="majorHAnsi" w:hAnsiTheme="majorHAnsi" w:cs="Arial"/>
          <w:sz w:val="20"/>
          <w:szCs w:val="20"/>
          <w:lang w:val="en-GB"/>
        </w:rPr>
      </w:pPr>
    </w:p>
    <w:p w14:paraId="588E12BB" w14:textId="77777777" w:rsidR="00A04CBE" w:rsidRPr="00DB22B1" w:rsidRDefault="00A04CBE" w:rsidP="00DB22B1">
      <w:pPr>
        <w:pStyle w:val="NormalWeb"/>
        <w:shd w:val="clear" w:color="auto" w:fill="FFFFFF"/>
        <w:spacing w:before="0" w:beforeAutospacing="0" w:after="0" w:afterAutospacing="0"/>
        <w:rPr>
          <w:rStyle w:val="Hyperlink"/>
          <w:rFonts w:eastAsiaTheme="majorEastAsia" w:cs="Arial"/>
          <w:color w:val="auto"/>
          <w:sz w:val="20"/>
          <w:szCs w:val="20"/>
          <w:vertAlign w:val="superscript"/>
        </w:rPr>
      </w:pPr>
      <w:r w:rsidRPr="008D0DC5">
        <w:rPr>
          <w:rFonts w:asciiTheme="majorHAnsi" w:hAnsiTheme="majorHAnsi" w:cs="Arial"/>
          <w:sz w:val="20"/>
          <w:szCs w:val="20"/>
        </w:rPr>
        <w:t xml:space="preserve">For the purposes of this report, the focus will be on </w:t>
      </w:r>
      <w:r w:rsidR="00D80CF5" w:rsidRPr="008D0DC5">
        <w:rPr>
          <w:rFonts w:asciiTheme="majorHAnsi" w:hAnsiTheme="majorHAnsi" w:cs="Arial"/>
          <w:sz w:val="20"/>
          <w:szCs w:val="20"/>
        </w:rPr>
        <w:t xml:space="preserve">the MTR’s use of value capture mechanisms, </w:t>
      </w:r>
      <w:r w:rsidRPr="008D0DC5">
        <w:rPr>
          <w:rFonts w:asciiTheme="majorHAnsi" w:hAnsiTheme="majorHAnsi" w:cs="Arial"/>
          <w:sz w:val="20"/>
          <w:szCs w:val="20"/>
        </w:rPr>
        <w:t>not</w:t>
      </w:r>
      <w:r w:rsidR="00D80CF5">
        <w:rPr>
          <w:rFonts w:asciiTheme="minorHAnsi" w:hAnsiTheme="minorHAnsi" w:cs="Arial"/>
          <w:sz w:val="20"/>
          <w:szCs w:val="20"/>
        </w:rPr>
        <w:t xml:space="preserve"> farebox revenue</w:t>
      </w:r>
      <w:r>
        <w:rPr>
          <w:rFonts w:asciiTheme="minorHAnsi" w:hAnsiTheme="minorHAnsi" w:cs="Arial"/>
          <w:sz w:val="20"/>
          <w:szCs w:val="20"/>
        </w:rPr>
        <w:t>.</w:t>
      </w:r>
    </w:p>
    <w:p w14:paraId="5D717709" w14:textId="77777777" w:rsidR="00DB22B1" w:rsidRPr="00DB22B1" w:rsidRDefault="00DB22B1" w:rsidP="00DB22B1">
      <w:pPr>
        <w:pStyle w:val="NormalWeb"/>
        <w:shd w:val="clear" w:color="auto" w:fill="FFFFFF"/>
        <w:spacing w:before="0" w:beforeAutospacing="0" w:after="0" w:afterAutospacing="0"/>
        <w:rPr>
          <w:rFonts w:asciiTheme="minorHAnsi" w:hAnsiTheme="minorHAnsi" w:cs="Arial"/>
          <w:sz w:val="20"/>
          <w:szCs w:val="20"/>
        </w:rPr>
      </w:pPr>
    </w:p>
    <w:p w14:paraId="64F06BB5" w14:textId="77777777" w:rsidR="00FF42B5" w:rsidRPr="003C2D97" w:rsidRDefault="003C2D97" w:rsidP="007E30D9">
      <w:pPr>
        <w:rPr>
          <w:rFonts w:asciiTheme="majorHAnsi" w:hAnsiTheme="majorHAnsi"/>
        </w:rPr>
      </w:pPr>
      <w:r>
        <w:t xml:space="preserve">The MTRC </w:t>
      </w:r>
      <w:r w:rsidR="007E30D9">
        <w:t>is</w:t>
      </w:r>
      <w:r>
        <w:t xml:space="preserve"> a vertically integrated business that undertakes property development to generate revenue to finance railway development and operations. </w:t>
      </w:r>
      <w:r w:rsidR="00B0156F">
        <w:rPr>
          <w:spacing w:val="-3"/>
        </w:rPr>
        <w:t xml:space="preserve">The MRTC </w:t>
      </w:r>
      <w:r w:rsidR="00423DBE" w:rsidRPr="00466725">
        <w:t xml:space="preserve">model is known as “Rail + Property” </w:t>
      </w:r>
      <w:r w:rsidR="00B0156F">
        <w:t>meaning that</w:t>
      </w:r>
      <w:r w:rsidR="00423DBE" w:rsidRPr="00466725">
        <w:t xml:space="preserve"> the corporation concurrently develops property </w:t>
      </w:r>
      <w:r w:rsidR="00B0156F">
        <w:t>with</w:t>
      </w:r>
      <w:r w:rsidR="00423DBE" w:rsidRPr="00466725">
        <w:t xml:space="preserve"> the </w:t>
      </w:r>
      <w:r w:rsidR="00667439">
        <w:t xml:space="preserve">growth of the </w:t>
      </w:r>
      <w:r w:rsidR="00423DBE" w:rsidRPr="00466725">
        <w:t xml:space="preserve">MTR system. </w:t>
      </w:r>
      <w:r w:rsidR="00423DBE" w:rsidRPr="00466725">
        <w:rPr>
          <w:spacing w:val="-14"/>
        </w:rPr>
        <w:t xml:space="preserve">To </w:t>
      </w:r>
      <w:r w:rsidR="00423DBE" w:rsidRPr="00466725">
        <w:t>enable this</w:t>
      </w:r>
      <w:r w:rsidR="00B0156F">
        <w:t xml:space="preserve"> integration</w:t>
      </w:r>
      <w:r w:rsidR="00423DBE" w:rsidRPr="00466725">
        <w:t xml:space="preserve">, the </w:t>
      </w:r>
      <w:r w:rsidR="00423DBE" w:rsidRPr="00466725">
        <w:rPr>
          <w:spacing w:val="-3"/>
        </w:rPr>
        <w:t xml:space="preserve">Hong </w:t>
      </w:r>
      <w:r w:rsidR="00423DBE" w:rsidRPr="00466725">
        <w:t>Kong government provides a large indirect subsidy to the MTRC in the form of land provision at</w:t>
      </w:r>
      <w:r w:rsidR="00423DBE" w:rsidRPr="00466725">
        <w:rPr>
          <w:spacing w:val="-27"/>
        </w:rPr>
        <w:t xml:space="preserve"> </w:t>
      </w:r>
      <w:r w:rsidR="00423DBE" w:rsidRPr="00466725">
        <w:t xml:space="preserve">pre-MTR rates. The </w:t>
      </w:r>
      <w:r w:rsidR="00FF42B5">
        <w:t>MRTC</w:t>
      </w:r>
      <w:r w:rsidR="00423DBE" w:rsidRPr="00466725">
        <w:t xml:space="preserve"> then sells</w:t>
      </w:r>
      <w:r w:rsidR="005347BB">
        <w:t xml:space="preserve"> or leases </w:t>
      </w:r>
      <w:r w:rsidR="00FF42B5">
        <w:t>land</w:t>
      </w:r>
      <w:r w:rsidR="005347BB">
        <w:t xml:space="preserve"> at post-</w:t>
      </w:r>
      <w:r w:rsidR="00423DBE" w:rsidRPr="00466725">
        <w:t xml:space="preserve">MTR rates, using the difference in value to pay for the transit </w:t>
      </w:r>
      <w:r w:rsidR="00423DBE" w:rsidRPr="003C2D97">
        <w:rPr>
          <w:rFonts w:asciiTheme="majorHAnsi" w:hAnsiTheme="majorHAnsi"/>
        </w:rPr>
        <w:t>infrastructure</w:t>
      </w:r>
      <w:r w:rsidR="00FF42B5" w:rsidRPr="003C2D97">
        <w:rPr>
          <w:rFonts w:asciiTheme="majorHAnsi" w:hAnsiTheme="majorHAnsi"/>
        </w:rPr>
        <w:t>.</w:t>
      </w:r>
      <w:r w:rsidRPr="003C2D97">
        <w:rPr>
          <w:rFonts w:asciiTheme="majorHAnsi" w:hAnsiTheme="majorHAnsi"/>
        </w:rPr>
        <w:t xml:space="preserve"> Rail + Property projects are </w:t>
      </w:r>
      <w:r>
        <w:rPr>
          <w:rFonts w:asciiTheme="majorHAnsi" w:hAnsiTheme="majorHAnsi"/>
        </w:rPr>
        <w:t>designed to integrate</w:t>
      </w:r>
      <w:r w:rsidRPr="003C2D97">
        <w:rPr>
          <w:rFonts w:asciiTheme="majorHAnsi" w:hAnsiTheme="majorHAnsi"/>
        </w:rPr>
        <w:t xml:space="preserve"> </w:t>
      </w:r>
      <w:r w:rsidR="007E30D9" w:rsidRPr="003C2D97">
        <w:rPr>
          <w:rFonts w:asciiTheme="majorHAnsi" w:hAnsiTheme="majorHAnsi"/>
        </w:rPr>
        <w:t xml:space="preserve">rail user patterns </w:t>
      </w:r>
      <w:r w:rsidR="007E30D9">
        <w:rPr>
          <w:rFonts w:asciiTheme="majorHAnsi" w:hAnsiTheme="majorHAnsi"/>
        </w:rPr>
        <w:t xml:space="preserve">with the </w:t>
      </w:r>
      <w:r w:rsidRPr="003C2D97">
        <w:rPr>
          <w:rFonts w:asciiTheme="majorHAnsi" w:hAnsiTheme="majorHAnsi"/>
        </w:rPr>
        <w:t>built environment</w:t>
      </w:r>
      <w:r w:rsidR="007E30D9">
        <w:rPr>
          <w:rFonts w:asciiTheme="majorHAnsi" w:hAnsiTheme="majorHAnsi"/>
        </w:rPr>
        <w:t xml:space="preserve"> offering</w:t>
      </w:r>
      <w:r w:rsidRPr="003C2D97">
        <w:rPr>
          <w:rFonts w:asciiTheme="majorHAnsi" w:hAnsiTheme="majorHAnsi"/>
        </w:rPr>
        <w:t xml:space="preserve"> housing </w:t>
      </w:r>
      <w:r w:rsidR="007E30D9">
        <w:rPr>
          <w:rFonts w:asciiTheme="majorHAnsi" w:hAnsiTheme="majorHAnsi"/>
        </w:rPr>
        <w:t>options</w:t>
      </w:r>
      <w:r w:rsidRPr="003C2D97">
        <w:rPr>
          <w:rFonts w:asciiTheme="majorHAnsi" w:hAnsiTheme="majorHAnsi"/>
        </w:rPr>
        <w:t xml:space="preserve"> </w:t>
      </w:r>
      <w:r w:rsidR="007E30D9">
        <w:rPr>
          <w:rFonts w:asciiTheme="majorHAnsi" w:hAnsiTheme="majorHAnsi"/>
        </w:rPr>
        <w:t>at specific price points to attract buyer demand</w:t>
      </w:r>
      <w:r w:rsidRPr="003C2D97">
        <w:rPr>
          <w:rFonts w:asciiTheme="majorHAnsi" w:hAnsiTheme="majorHAnsi"/>
        </w:rPr>
        <w:t>.</w:t>
      </w:r>
    </w:p>
    <w:p w14:paraId="7660FDFB" w14:textId="77777777" w:rsidR="00EC035C" w:rsidRDefault="007E30D9" w:rsidP="007E30D9">
      <w:pPr>
        <w:spacing w:before="100" w:beforeAutospacing="1" w:after="100" w:afterAutospacing="1"/>
        <w:rPr>
          <w:rFonts w:eastAsia="Times New Roman" w:cs="Times New Roman"/>
          <w:szCs w:val="20"/>
        </w:rPr>
      </w:pPr>
      <w:r>
        <w:rPr>
          <w:rFonts w:eastAsia="Times New Roman" w:cs="Times New Roman"/>
          <w:szCs w:val="20"/>
        </w:rPr>
        <w:t xml:space="preserve">The MRTC </w:t>
      </w:r>
      <w:r w:rsidR="00EC035C">
        <w:rPr>
          <w:rFonts w:eastAsia="Times New Roman" w:cs="Times New Roman"/>
          <w:szCs w:val="20"/>
        </w:rPr>
        <w:t>uses the following real estate models:</w:t>
      </w:r>
    </w:p>
    <w:p w14:paraId="01FC705C" w14:textId="77777777" w:rsidR="00EC035C" w:rsidRDefault="00EC035C" w:rsidP="00791C11">
      <w:pPr>
        <w:pStyle w:val="ListParagraph"/>
        <w:numPr>
          <w:ilvl w:val="0"/>
          <w:numId w:val="23"/>
        </w:numPr>
        <w:spacing w:before="100" w:beforeAutospacing="1" w:after="100" w:afterAutospacing="1"/>
        <w:rPr>
          <w:rFonts w:eastAsia="Times New Roman" w:cs="Times New Roman"/>
          <w:szCs w:val="20"/>
        </w:rPr>
      </w:pPr>
      <w:r>
        <w:rPr>
          <w:rFonts w:eastAsia="Times New Roman" w:cs="Times New Roman"/>
          <w:szCs w:val="20"/>
        </w:rPr>
        <w:t xml:space="preserve">Retains </w:t>
      </w:r>
      <w:r w:rsidRPr="00EC035C">
        <w:rPr>
          <w:rFonts w:eastAsia="Times New Roman" w:cs="Times New Roman"/>
          <w:szCs w:val="20"/>
        </w:rPr>
        <w:t>full ownership of new developments</w:t>
      </w:r>
      <w:r>
        <w:rPr>
          <w:rFonts w:eastAsia="Times New Roman" w:cs="Times New Roman"/>
          <w:szCs w:val="20"/>
        </w:rPr>
        <w:t xml:space="preserve"> leasing properties</w:t>
      </w:r>
    </w:p>
    <w:p w14:paraId="4C6F3BBC" w14:textId="77777777" w:rsidR="00EC035C" w:rsidRDefault="00EC035C" w:rsidP="00791C11">
      <w:pPr>
        <w:pStyle w:val="ListParagraph"/>
        <w:numPr>
          <w:ilvl w:val="0"/>
          <w:numId w:val="23"/>
        </w:numPr>
        <w:spacing w:before="100" w:beforeAutospacing="1" w:after="100" w:afterAutospacing="1"/>
        <w:rPr>
          <w:rFonts w:eastAsia="Times New Roman" w:cs="Times New Roman"/>
          <w:szCs w:val="20"/>
        </w:rPr>
      </w:pPr>
      <w:r>
        <w:rPr>
          <w:rFonts w:eastAsia="Times New Roman" w:cs="Times New Roman"/>
          <w:szCs w:val="20"/>
        </w:rPr>
        <w:t xml:space="preserve">Takes </w:t>
      </w:r>
      <w:r w:rsidRPr="00EC035C">
        <w:rPr>
          <w:rFonts w:eastAsia="Times New Roman" w:cs="Times New Roman"/>
          <w:szCs w:val="20"/>
        </w:rPr>
        <w:t>co-ownership of new developments</w:t>
      </w:r>
      <w:r>
        <w:rPr>
          <w:rFonts w:eastAsia="Times New Roman" w:cs="Times New Roman"/>
          <w:szCs w:val="20"/>
        </w:rPr>
        <w:t xml:space="preserve"> splitting profits</w:t>
      </w:r>
    </w:p>
    <w:p w14:paraId="62536B9F" w14:textId="77777777" w:rsidR="00EC035C" w:rsidRPr="00EC035C" w:rsidRDefault="00EC035C" w:rsidP="00791C11">
      <w:pPr>
        <w:pStyle w:val="ListParagraph"/>
        <w:numPr>
          <w:ilvl w:val="0"/>
          <w:numId w:val="23"/>
        </w:numPr>
        <w:spacing w:before="100" w:beforeAutospacing="1" w:after="100" w:afterAutospacing="1"/>
        <w:rPr>
          <w:rFonts w:eastAsia="Times New Roman" w:cs="Times New Roman"/>
          <w:szCs w:val="20"/>
        </w:rPr>
      </w:pPr>
      <w:r>
        <w:rPr>
          <w:rFonts w:eastAsia="Times New Roman" w:cs="Times New Roman"/>
          <w:szCs w:val="20"/>
        </w:rPr>
        <w:t>Receives a proportion of property development proceeds.</w:t>
      </w:r>
    </w:p>
    <w:p w14:paraId="355498D1" w14:textId="15B956EB" w:rsidR="00EC035C" w:rsidRDefault="00EC035C" w:rsidP="007E30D9">
      <w:pPr>
        <w:spacing w:before="100" w:beforeAutospacing="1" w:after="100" w:afterAutospacing="1"/>
        <w:rPr>
          <w:rFonts w:eastAsia="Times New Roman" w:cs="Times New Roman"/>
          <w:szCs w:val="20"/>
        </w:rPr>
      </w:pPr>
      <w:r>
        <w:rPr>
          <w:rFonts w:eastAsia="Times New Roman" w:cs="Times New Roman"/>
          <w:szCs w:val="20"/>
        </w:rPr>
        <w:t>It is worth noting that 2</w:t>
      </w:r>
      <w:r w:rsidR="007E30D9" w:rsidRPr="00942EB7">
        <w:rPr>
          <w:rFonts w:eastAsia="Times New Roman" w:cs="Times New Roman"/>
          <w:szCs w:val="20"/>
        </w:rPr>
        <w:t xml:space="preserve"> </w:t>
      </w:r>
      <w:r>
        <w:rPr>
          <w:rFonts w:eastAsia="Times New Roman" w:cs="Times New Roman"/>
          <w:szCs w:val="20"/>
        </w:rPr>
        <w:t xml:space="preserve">major </w:t>
      </w:r>
      <w:r w:rsidR="007E30D9" w:rsidRPr="00942EB7">
        <w:rPr>
          <w:rFonts w:eastAsia="Times New Roman" w:cs="Times New Roman"/>
          <w:szCs w:val="20"/>
        </w:rPr>
        <w:t>skyscrapers in Hong Kong are MTR</w:t>
      </w:r>
      <w:r>
        <w:rPr>
          <w:rFonts w:eastAsia="Times New Roman" w:cs="Times New Roman"/>
          <w:szCs w:val="20"/>
        </w:rPr>
        <w:t>C</w:t>
      </w:r>
      <w:r w:rsidR="007E30D9" w:rsidRPr="00942EB7">
        <w:rPr>
          <w:rFonts w:eastAsia="Times New Roman" w:cs="Times New Roman"/>
          <w:szCs w:val="20"/>
        </w:rPr>
        <w:t xml:space="preserve"> properties</w:t>
      </w:r>
      <w:r>
        <w:rPr>
          <w:rFonts w:eastAsia="Times New Roman" w:cs="Times New Roman"/>
          <w:szCs w:val="20"/>
        </w:rPr>
        <w:t xml:space="preserve">. It also retains commercial, retail and residential properties adjacent to every station. All </w:t>
      </w:r>
      <w:r w:rsidR="00383916">
        <w:rPr>
          <w:rFonts w:eastAsia="Times New Roman" w:cs="Times New Roman"/>
          <w:szCs w:val="20"/>
        </w:rPr>
        <w:t>rail</w:t>
      </w:r>
      <w:r>
        <w:rPr>
          <w:rFonts w:eastAsia="Times New Roman" w:cs="Times New Roman"/>
          <w:szCs w:val="20"/>
        </w:rPr>
        <w:t xml:space="preserve"> inside stations is leased from MTRC.</w:t>
      </w:r>
    </w:p>
    <w:p w14:paraId="09774C8A" w14:textId="77777777" w:rsidR="00332451" w:rsidRDefault="00423DBE" w:rsidP="00DB22B1">
      <w:pPr>
        <w:pStyle w:val="BodyText"/>
        <w:ind w:left="0" w:right="191"/>
        <w:rPr>
          <w:rFonts w:asciiTheme="minorHAnsi" w:hAnsiTheme="minorHAnsi"/>
        </w:rPr>
      </w:pPr>
      <w:r w:rsidRPr="00466725">
        <w:rPr>
          <w:rFonts w:asciiTheme="minorHAnsi" w:hAnsiTheme="minorHAnsi"/>
        </w:rPr>
        <w:lastRenderedPageBreak/>
        <w:t xml:space="preserve">While this model of value capture is clearly successful, it is perhaps impossible to implement </w:t>
      </w:r>
      <w:r w:rsidR="00332451">
        <w:rPr>
          <w:rFonts w:asciiTheme="minorHAnsi" w:hAnsiTheme="minorHAnsi"/>
        </w:rPr>
        <w:t>retrospectively in a developed nation due to the following factors:</w:t>
      </w:r>
    </w:p>
    <w:p w14:paraId="40C00FF7" w14:textId="77777777" w:rsidR="00332451" w:rsidRPr="000E3DEC" w:rsidRDefault="00332451" w:rsidP="00791C11">
      <w:pPr>
        <w:pStyle w:val="ListParagraph"/>
        <w:numPr>
          <w:ilvl w:val="0"/>
          <w:numId w:val="24"/>
        </w:numPr>
        <w:spacing w:before="100" w:beforeAutospacing="1" w:after="100" w:afterAutospacing="1"/>
        <w:rPr>
          <w:rFonts w:eastAsia="Times New Roman" w:cs="Times New Roman"/>
          <w:szCs w:val="20"/>
        </w:rPr>
      </w:pPr>
      <w:r w:rsidRPr="000E3DEC">
        <w:rPr>
          <w:rFonts w:eastAsia="Times New Roman" w:cs="Times New Roman"/>
          <w:szCs w:val="20"/>
        </w:rPr>
        <w:t xml:space="preserve">Hong Kong </w:t>
      </w:r>
      <w:r w:rsidR="0094122E" w:rsidRPr="000E3DEC">
        <w:rPr>
          <w:rFonts w:eastAsia="Times New Roman" w:cs="Times New Roman"/>
          <w:szCs w:val="20"/>
        </w:rPr>
        <w:t>has</w:t>
      </w:r>
      <w:r w:rsidRPr="000E3DEC">
        <w:rPr>
          <w:rFonts w:eastAsia="Times New Roman" w:cs="Times New Roman"/>
          <w:szCs w:val="20"/>
        </w:rPr>
        <w:t xml:space="preserve"> a </w:t>
      </w:r>
      <w:r w:rsidR="0094122E" w:rsidRPr="000E3DEC">
        <w:rPr>
          <w:rFonts w:eastAsia="Times New Roman" w:cs="Times New Roman"/>
          <w:szCs w:val="20"/>
        </w:rPr>
        <w:t xml:space="preserve">very </w:t>
      </w:r>
      <w:r w:rsidRPr="000E3DEC">
        <w:rPr>
          <w:rFonts w:eastAsia="Times New Roman" w:cs="Times New Roman"/>
          <w:szCs w:val="20"/>
        </w:rPr>
        <w:t>high density urban population</w:t>
      </w:r>
    </w:p>
    <w:p w14:paraId="23315BA9" w14:textId="77777777" w:rsidR="0094122E" w:rsidRPr="000E3DEC" w:rsidRDefault="0094122E" w:rsidP="00791C11">
      <w:pPr>
        <w:pStyle w:val="ListParagraph"/>
        <w:numPr>
          <w:ilvl w:val="0"/>
          <w:numId w:val="24"/>
        </w:numPr>
        <w:spacing w:before="100" w:beforeAutospacing="1" w:after="100" w:afterAutospacing="1"/>
        <w:rPr>
          <w:rFonts w:eastAsia="Times New Roman" w:cs="Times New Roman"/>
          <w:szCs w:val="20"/>
        </w:rPr>
      </w:pPr>
      <w:r w:rsidRPr="000E3DEC">
        <w:rPr>
          <w:rFonts w:eastAsia="Times New Roman" w:cs="Times New Roman"/>
          <w:szCs w:val="20"/>
        </w:rPr>
        <w:t>Car ownership is extremely low at 6% of the population</w:t>
      </w:r>
    </w:p>
    <w:p w14:paraId="37962F92" w14:textId="77777777" w:rsidR="0094122E" w:rsidRPr="000E3DEC" w:rsidRDefault="0094122E" w:rsidP="00791C11">
      <w:pPr>
        <w:pStyle w:val="ListParagraph"/>
        <w:numPr>
          <w:ilvl w:val="0"/>
          <w:numId w:val="24"/>
        </w:numPr>
        <w:spacing w:before="100" w:beforeAutospacing="1" w:after="100" w:afterAutospacing="1"/>
        <w:rPr>
          <w:rFonts w:eastAsia="Times New Roman" w:cs="Times New Roman"/>
          <w:szCs w:val="20"/>
        </w:rPr>
      </w:pPr>
      <w:r w:rsidRPr="000E3DEC">
        <w:rPr>
          <w:rFonts w:eastAsia="Times New Roman" w:cs="Times New Roman"/>
          <w:szCs w:val="20"/>
        </w:rPr>
        <w:t>It is a new rail system which does not bear the historic costs of under-investment in maintenance</w:t>
      </w:r>
    </w:p>
    <w:p w14:paraId="17ABD154" w14:textId="77777777" w:rsidR="0094122E" w:rsidRPr="000E3DEC" w:rsidRDefault="0094122E" w:rsidP="00791C11">
      <w:pPr>
        <w:pStyle w:val="ListParagraph"/>
        <w:numPr>
          <w:ilvl w:val="0"/>
          <w:numId w:val="24"/>
        </w:numPr>
        <w:spacing w:before="100" w:beforeAutospacing="1" w:after="100" w:afterAutospacing="1"/>
        <w:rPr>
          <w:rFonts w:eastAsia="Times New Roman" w:cs="Times New Roman"/>
          <w:szCs w:val="20"/>
        </w:rPr>
      </w:pPr>
      <w:r w:rsidRPr="000E3DEC">
        <w:rPr>
          <w:rFonts w:eastAsia="Times New Roman" w:cs="Times New Roman"/>
          <w:szCs w:val="20"/>
        </w:rPr>
        <w:t xml:space="preserve">Valuable land parcels are not readily available in older, developed rail systems </w:t>
      </w:r>
    </w:p>
    <w:p w14:paraId="358A3C76" w14:textId="77777777" w:rsidR="00710C2B" w:rsidRPr="000E3DEC" w:rsidRDefault="00332451" w:rsidP="00791C11">
      <w:pPr>
        <w:pStyle w:val="ListParagraph"/>
        <w:numPr>
          <w:ilvl w:val="0"/>
          <w:numId w:val="24"/>
        </w:numPr>
        <w:spacing w:before="100" w:beforeAutospacing="1" w:after="100" w:afterAutospacing="1"/>
        <w:rPr>
          <w:rFonts w:eastAsia="Times New Roman" w:cs="Times New Roman"/>
          <w:szCs w:val="20"/>
        </w:rPr>
      </w:pPr>
      <w:r w:rsidRPr="000E3DEC">
        <w:rPr>
          <w:rFonts w:eastAsia="Times New Roman" w:cs="Times New Roman"/>
          <w:szCs w:val="20"/>
        </w:rPr>
        <w:t xml:space="preserve">Government is extremely powerful </w:t>
      </w:r>
      <w:r w:rsidR="001F144E" w:rsidRPr="000E3DEC">
        <w:rPr>
          <w:rFonts w:eastAsia="Times New Roman" w:cs="Times New Roman"/>
          <w:szCs w:val="20"/>
        </w:rPr>
        <w:t xml:space="preserve">and does not have to contend </w:t>
      </w:r>
      <w:r w:rsidR="0094122E" w:rsidRPr="000E3DEC">
        <w:rPr>
          <w:rFonts w:eastAsia="Times New Roman" w:cs="Times New Roman"/>
          <w:szCs w:val="20"/>
        </w:rPr>
        <w:t xml:space="preserve">with a modern </w:t>
      </w:r>
      <w:r w:rsidR="001F144E" w:rsidRPr="000E3DEC">
        <w:rPr>
          <w:rFonts w:eastAsia="Times New Roman" w:cs="Times New Roman"/>
          <w:szCs w:val="20"/>
        </w:rPr>
        <w:t>wages and industrial relations system</w:t>
      </w:r>
    </w:p>
    <w:p w14:paraId="133E5682" w14:textId="77777777" w:rsidR="00332451" w:rsidRPr="000E3DEC" w:rsidRDefault="00710C2B" w:rsidP="00791C11">
      <w:pPr>
        <w:pStyle w:val="ListParagraph"/>
        <w:numPr>
          <w:ilvl w:val="0"/>
          <w:numId w:val="24"/>
        </w:numPr>
        <w:spacing w:before="100" w:beforeAutospacing="1" w:after="100" w:afterAutospacing="1"/>
        <w:rPr>
          <w:rFonts w:eastAsia="Times New Roman" w:cs="Times New Roman"/>
          <w:szCs w:val="20"/>
        </w:rPr>
      </w:pPr>
      <w:r w:rsidRPr="000E3DEC">
        <w:rPr>
          <w:rFonts w:eastAsia="Times New Roman" w:cs="Times New Roman"/>
          <w:szCs w:val="20"/>
        </w:rPr>
        <w:t xml:space="preserve">The </w:t>
      </w:r>
      <w:r w:rsidR="000E3DEC">
        <w:rPr>
          <w:rFonts w:eastAsia="Times New Roman" w:cs="Times New Roman"/>
          <w:szCs w:val="20"/>
        </w:rPr>
        <w:t xml:space="preserve">low </w:t>
      </w:r>
      <w:r w:rsidRPr="000E3DEC">
        <w:rPr>
          <w:rFonts w:eastAsia="Times New Roman" w:cs="Times New Roman"/>
          <w:szCs w:val="20"/>
        </w:rPr>
        <w:t xml:space="preserve">cost of construction </w:t>
      </w:r>
      <w:r w:rsidR="000E3DEC">
        <w:rPr>
          <w:rFonts w:eastAsia="Times New Roman" w:cs="Times New Roman"/>
          <w:szCs w:val="20"/>
        </w:rPr>
        <w:t xml:space="preserve">labour </w:t>
      </w:r>
      <w:r w:rsidRPr="000E3DEC">
        <w:rPr>
          <w:rFonts w:eastAsia="Times New Roman" w:cs="Times New Roman"/>
          <w:szCs w:val="20"/>
        </w:rPr>
        <w:t>and operations</w:t>
      </w:r>
      <w:r w:rsidR="000E3DEC">
        <w:rPr>
          <w:rFonts w:eastAsia="Times New Roman" w:cs="Times New Roman"/>
          <w:szCs w:val="20"/>
        </w:rPr>
        <w:t xml:space="preserve"> staff</w:t>
      </w:r>
      <w:r w:rsidR="0094122E" w:rsidRPr="000E3DEC">
        <w:rPr>
          <w:rFonts w:eastAsia="Times New Roman" w:cs="Times New Roman"/>
          <w:szCs w:val="20"/>
        </w:rPr>
        <w:t>.</w:t>
      </w:r>
    </w:p>
    <w:p w14:paraId="0B2EF127" w14:textId="77777777" w:rsidR="00FF2638" w:rsidRDefault="002419C8" w:rsidP="002419C8">
      <w:pPr>
        <w:spacing w:before="100" w:beforeAutospacing="1" w:after="100" w:afterAutospacing="1"/>
      </w:pPr>
      <w:r>
        <w:rPr>
          <w:rFonts w:eastAsia="Times New Roman" w:cs="Times New Roman"/>
          <w:szCs w:val="20"/>
        </w:rPr>
        <w:t xml:space="preserve">It is noted that some Australian governments are putting in place structures for urban renewal areas which create a governance framework </w:t>
      </w:r>
      <w:r w:rsidR="000E3DEC" w:rsidRPr="002419C8">
        <w:rPr>
          <w:rFonts w:eastAsia="Times New Roman" w:cs="Times New Roman"/>
          <w:szCs w:val="20"/>
        </w:rPr>
        <w:t xml:space="preserve"> </w:t>
      </w:r>
      <w:bookmarkStart w:id="62" w:name="_Toc332379634"/>
    </w:p>
    <w:p w14:paraId="22E62156" w14:textId="77777777" w:rsidR="00BB5BD7" w:rsidRDefault="00BB5BD7" w:rsidP="009861AC">
      <w:pPr>
        <w:pStyle w:val="Heading2"/>
      </w:pPr>
      <w:bookmarkStart w:id="63" w:name="_Toc430896844"/>
      <w:r>
        <w:t xml:space="preserve">Singapore </w:t>
      </w:r>
      <w:r w:rsidR="00EB3D04">
        <w:t>- SMRT</w:t>
      </w:r>
      <w:bookmarkEnd w:id="63"/>
    </w:p>
    <w:p w14:paraId="7199B49C" w14:textId="77777777" w:rsidR="00403397" w:rsidRDefault="00BB5BD7" w:rsidP="00BB5BD7">
      <w:r>
        <w:t xml:space="preserve">The example of Singapore is pertinent to an analysis of how an effective public transport system can be </w:t>
      </w:r>
      <w:r w:rsidR="00403397">
        <w:t xml:space="preserve">accelerated </w:t>
      </w:r>
      <w:r>
        <w:t xml:space="preserve">by </w:t>
      </w:r>
      <w:r w:rsidR="00816164">
        <w:t>inhibiting</w:t>
      </w:r>
      <w:r>
        <w:t xml:space="preserve"> car ownership</w:t>
      </w:r>
      <w:r w:rsidR="00816164">
        <w:t>.</w:t>
      </w:r>
      <w:r>
        <w:t xml:space="preserve"> </w:t>
      </w:r>
      <w:r w:rsidR="00403397">
        <w:t xml:space="preserve">This enabled Singapore to build an effective mass transit system very quickly – inside 20 years. Land sales were also instrumental in generating capital for new construction. </w:t>
      </w:r>
    </w:p>
    <w:p w14:paraId="30B2B2BE" w14:textId="77777777" w:rsidR="00403397" w:rsidRDefault="00403397" w:rsidP="00BB5BD7"/>
    <w:p w14:paraId="527FF66B" w14:textId="77777777" w:rsidR="00BB5BD7" w:rsidRDefault="00403397" w:rsidP="00BB5BD7">
      <w:r>
        <w:t xml:space="preserve">Singapore MRT </w:t>
      </w:r>
      <w:r w:rsidR="00AD5719">
        <w:t>also provides evidence of the problems that occur when affordability to users is put into conflict with profitability for operators.</w:t>
      </w:r>
    </w:p>
    <w:p w14:paraId="121D4715" w14:textId="77777777" w:rsidR="00A92E0F" w:rsidRDefault="00A92E0F" w:rsidP="00BB5BD7"/>
    <w:p w14:paraId="083CACCD" w14:textId="77777777" w:rsidR="00D402EC" w:rsidRDefault="00A92E0F" w:rsidP="00D402EC">
      <w:r>
        <w:t xml:space="preserve">Singapore </w:t>
      </w:r>
      <w:r w:rsidR="00364FCE">
        <w:t>Mass Rapid Transit (</w:t>
      </w:r>
      <w:r w:rsidR="00EB3D04">
        <w:t>S</w:t>
      </w:r>
      <w:r>
        <w:t>M</w:t>
      </w:r>
      <w:r w:rsidR="00816164">
        <w:t>RT</w:t>
      </w:r>
      <w:r w:rsidR="00364FCE">
        <w:t>)</w:t>
      </w:r>
      <w:r w:rsidR="00D1040B">
        <w:t xml:space="preserve"> </w:t>
      </w:r>
      <w:r w:rsidR="00BC4DAB">
        <w:t xml:space="preserve">started in 1987 with a single 6km line. Today, it </w:t>
      </w:r>
      <w:r w:rsidR="00D1040B">
        <w:t xml:space="preserve">operates a network of 153 kilometres with 113 stations. Infrastructure is built by the Land Transport Authority, a statutory board of the Government of Singapore. </w:t>
      </w:r>
      <w:r w:rsidR="00AD5719">
        <w:t xml:space="preserve"> When t</w:t>
      </w:r>
      <w:r w:rsidR="00D402EC">
        <w:t>he MRT system was announced in 1982</w:t>
      </w:r>
      <w:r w:rsidR="00AD5719">
        <w:t>,</w:t>
      </w:r>
      <w:r w:rsidR="00D402EC">
        <w:t xml:space="preserve"> construction costs were to be subsidised by selling 255 hectares of reclaimed land at Marina South. The proceeds would be used to pay for the cost of building and equipping the system. In practice, Singapore chose to fund construction from a national development fund</w:t>
      </w:r>
      <w:r w:rsidR="00AD5719">
        <w:t>. It</w:t>
      </w:r>
      <w:r w:rsidR="00D402EC">
        <w:t xml:space="preserve"> wait</w:t>
      </w:r>
      <w:r w:rsidR="00AD5719">
        <w:t>ed</w:t>
      </w:r>
      <w:r w:rsidR="00D402EC">
        <w:t xml:space="preserve"> until the MRT was built and </w:t>
      </w:r>
      <w:r w:rsidR="00AD5719">
        <w:t>sold government</w:t>
      </w:r>
      <w:r w:rsidR="00D402EC">
        <w:t xml:space="preserve"> land at enhanced values with zoning to allow higher density urban development. The property value uplift in Marina South </w:t>
      </w:r>
      <w:r w:rsidR="00D067C0">
        <w:t>increased</w:t>
      </w:r>
      <w:r w:rsidR="00D402EC">
        <w:t xml:space="preserve"> from $200 to $2000</w:t>
      </w:r>
      <w:r w:rsidR="00D402EC" w:rsidRPr="00F64C9B">
        <w:t xml:space="preserve"> </w:t>
      </w:r>
      <w:r w:rsidR="00D402EC">
        <w:t>per square metre. Eventually, revenue from total land sales over the 6 year construction period of the original MRT system exceeded $12 billion.</w:t>
      </w:r>
    </w:p>
    <w:p w14:paraId="1ABDE27B" w14:textId="77777777" w:rsidR="00BB5BD7" w:rsidRDefault="00BB5BD7" w:rsidP="00BB5BD7"/>
    <w:p w14:paraId="01A65065" w14:textId="77777777" w:rsidR="00816164" w:rsidRDefault="00816164" w:rsidP="00816164">
      <w:r>
        <w:t xml:space="preserve">Singapore has an active policy to inhibit the affordability of car ownership. As a result, only 15% of Singapore’s population of 54 million people own a car. Polices aimed at restraining car ownership and usage in Singapore began in the late 1960s with the introduction of an Additional Registration Fee (ARF) in 1968. Essentially an externality charge, the ARF was set at 15 percent of a vehicle’s open market value (OMV). It was raised to 25 percent in 1972, 55 percent in 1974, 100 percent in 1975, and 175 percent in 1983. As the ARF was based on a percentage of OMV, it induced people to buy smaller cars rather than give up buying cars altogether. Therefore, a Vehicle Quota System (VQS) was introduced in May 1990. Under the VQS, individuals who wished to purchase a car must first obtain a Certificate of Entitlement (COE) through a competitive bidding process. The number of COEs issued each month was decided by the government, while the price of the COE would be determined by the bid that secured the “last” permit for the month – this “marginal” bid set the market-clearing price for all the COEs available in that round of bidding. This was further complemented by congestion pricing which began with an Area Licensing Scheme (ALS) that restricted the entry of cars into a ‘restricted zone’ in the mid-1970s. The ALS was replaced with the automated Electronic Road Pricing (ERP) system in 1995. The latest set of ownership restraint measures was the financing restrictions on motor vehicle loans. These were announced in February 2013. These restrictions set a cap on the maximum motor vehicle loan amount with maximum loan-to-value ratios of 50-60 per cent and loan periods of a maximum of 5 years. </w:t>
      </w:r>
    </w:p>
    <w:p w14:paraId="6466DFA6" w14:textId="77777777" w:rsidR="00816164" w:rsidRDefault="00816164" w:rsidP="00BB5BD7"/>
    <w:p w14:paraId="599EBC8B" w14:textId="77777777" w:rsidR="00B93BAF" w:rsidRDefault="00B93BAF" w:rsidP="00B93BAF">
      <w:r>
        <w:t>Public transport is intended to serve the bulk of Singaporeans. In 1996, the Land Transport Plan set a target of 75% of all daily trips in Singapore would be made by public transport. This target has been ruthlessly pursued.</w:t>
      </w:r>
      <w:r w:rsidRPr="00487110">
        <w:t xml:space="preserve"> </w:t>
      </w:r>
      <w:r>
        <w:t xml:space="preserve">Affordability and quality are therefore key objectives in providing services to commuters. However, the corporate structure introduced for the SMRT established profitability as a key commercial </w:t>
      </w:r>
      <w:r>
        <w:lastRenderedPageBreak/>
        <w:t xml:space="preserve">objective. This resulted in a disjuncture which threatened the success of the SMRT system. Increasing congestion was followed by rail system breakdowns in 2011. </w:t>
      </w:r>
    </w:p>
    <w:p w14:paraId="39B4129D" w14:textId="77777777" w:rsidR="00403397" w:rsidRDefault="00403397" w:rsidP="00CE2351">
      <w:pPr>
        <w:rPr>
          <w:lang w:val="en-AU"/>
        </w:rPr>
      </w:pPr>
    </w:p>
    <w:p w14:paraId="4C3ADD03" w14:textId="77777777" w:rsidR="00403397" w:rsidRDefault="00403397" w:rsidP="00CE2351">
      <w:pPr>
        <w:rPr>
          <w:lang w:val="en-AU"/>
        </w:rPr>
      </w:pPr>
      <w:r>
        <w:rPr>
          <w:lang w:val="en-AU"/>
        </w:rPr>
        <w:t xml:space="preserve">Singapore MRT has also benefitted from extremely cheap foreign labour. </w:t>
      </w:r>
    </w:p>
    <w:p w14:paraId="093D9CFA" w14:textId="77777777" w:rsidR="00403397" w:rsidRDefault="00403397" w:rsidP="00CE2351">
      <w:pPr>
        <w:rPr>
          <w:lang w:val="en-AU"/>
        </w:rPr>
      </w:pPr>
    </w:p>
    <w:p w14:paraId="1BBBD0FB" w14:textId="77777777" w:rsidR="00ED3276" w:rsidRDefault="00CE2351" w:rsidP="00CE2351">
      <w:pPr>
        <w:rPr>
          <w:lang w:val="en-AU"/>
        </w:rPr>
      </w:pPr>
      <w:r>
        <w:rPr>
          <w:lang w:val="en-AU"/>
        </w:rPr>
        <w:t xml:space="preserve">The </w:t>
      </w:r>
      <w:r w:rsidR="00403397">
        <w:rPr>
          <w:lang w:val="en-AU"/>
        </w:rPr>
        <w:t xml:space="preserve">comparative </w:t>
      </w:r>
      <w:r>
        <w:rPr>
          <w:lang w:val="en-AU"/>
        </w:rPr>
        <w:t>cost of constructing public transport infrastructure</w:t>
      </w:r>
      <w:r w:rsidR="00403397">
        <w:rPr>
          <w:lang w:val="en-AU"/>
        </w:rPr>
        <w:t xml:space="preserve"> in</w:t>
      </w:r>
      <w:r>
        <w:rPr>
          <w:lang w:val="en-AU"/>
        </w:rPr>
        <w:t xml:space="preserve"> </w:t>
      </w:r>
      <w:r w:rsidR="00403397">
        <w:rPr>
          <w:lang w:val="en-AU"/>
        </w:rPr>
        <w:t xml:space="preserve">Australia </w:t>
      </w:r>
      <w:r>
        <w:rPr>
          <w:lang w:val="en-AU"/>
        </w:rPr>
        <w:t xml:space="preserve">is </w:t>
      </w:r>
      <w:r w:rsidR="00403397">
        <w:rPr>
          <w:lang w:val="en-AU"/>
        </w:rPr>
        <w:t xml:space="preserve">much </w:t>
      </w:r>
      <w:r>
        <w:rPr>
          <w:lang w:val="en-AU"/>
        </w:rPr>
        <w:t xml:space="preserve">higher than regional competitors such </w:t>
      </w:r>
      <w:r w:rsidR="00403397">
        <w:rPr>
          <w:lang w:val="en-AU"/>
        </w:rPr>
        <w:t>as Singapore,</w:t>
      </w:r>
      <w:r>
        <w:rPr>
          <w:lang w:val="en-AU"/>
        </w:rPr>
        <w:t xml:space="preserve"> Hong Kong and</w:t>
      </w:r>
      <w:r w:rsidR="00403397">
        <w:rPr>
          <w:lang w:val="en-AU"/>
        </w:rPr>
        <w:t xml:space="preserve"> China</w:t>
      </w:r>
      <w:r>
        <w:rPr>
          <w:lang w:val="en-AU"/>
        </w:rPr>
        <w:t xml:space="preserve">. </w:t>
      </w:r>
      <w:r w:rsidR="008A4046">
        <w:rPr>
          <w:lang w:val="en-AU"/>
        </w:rPr>
        <w:t>T</w:t>
      </w:r>
      <w:r>
        <w:rPr>
          <w:lang w:val="en-AU"/>
        </w:rPr>
        <w:t>his can be explained by the fact that Australia offers much higher salaries</w:t>
      </w:r>
      <w:r w:rsidR="00B5095E">
        <w:rPr>
          <w:lang w:val="en-AU"/>
        </w:rPr>
        <w:t xml:space="preserve"> and better</w:t>
      </w:r>
      <w:r>
        <w:rPr>
          <w:lang w:val="en-AU"/>
        </w:rPr>
        <w:t xml:space="preserve"> terms and conditions to workers</w:t>
      </w:r>
      <w:r w:rsidR="00B5095E" w:rsidRPr="00B5095E">
        <w:rPr>
          <w:lang w:val="en-AU"/>
        </w:rPr>
        <w:t xml:space="preserve"> </w:t>
      </w:r>
      <w:r w:rsidR="00B5095E">
        <w:rPr>
          <w:lang w:val="en-AU"/>
        </w:rPr>
        <w:t>in the construction industry</w:t>
      </w:r>
      <w:r>
        <w:rPr>
          <w:lang w:val="en-AU"/>
        </w:rPr>
        <w:t>.</w:t>
      </w:r>
      <w:r w:rsidR="00660926">
        <w:rPr>
          <w:lang w:val="en-AU"/>
        </w:rPr>
        <w:t xml:space="preserve"> Likewise, salaries for public transport </w:t>
      </w:r>
      <w:r w:rsidR="00ED3276">
        <w:rPr>
          <w:lang w:val="en-AU"/>
        </w:rPr>
        <w:t xml:space="preserve">operations </w:t>
      </w:r>
      <w:r w:rsidR="00660926">
        <w:rPr>
          <w:lang w:val="en-AU"/>
        </w:rPr>
        <w:t xml:space="preserve">staff are higher. </w:t>
      </w:r>
      <w:r>
        <w:rPr>
          <w:lang w:val="en-AU"/>
        </w:rPr>
        <w:t xml:space="preserve">This should be considered a positive feature of the Australian </w:t>
      </w:r>
      <w:r w:rsidR="00ED3276">
        <w:rPr>
          <w:lang w:val="en-AU"/>
        </w:rPr>
        <w:t xml:space="preserve">social </w:t>
      </w:r>
      <w:r>
        <w:rPr>
          <w:lang w:val="en-AU"/>
        </w:rPr>
        <w:t xml:space="preserve">system. It is also a positive feature </w:t>
      </w:r>
      <w:r w:rsidR="00660926">
        <w:rPr>
          <w:lang w:val="en-AU"/>
        </w:rPr>
        <w:t xml:space="preserve">for the economy </w:t>
      </w:r>
      <w:r>
        <w:rPr>
          <w:lang w:val="en-AU"/>
        </w:rPr>
        <w:t xml:space="preserve">as it stimulates broad based domestic demand. </w:t>
      </w:r>
    </w:p>
    <w:p w14:paraId="0F4CDC77" w14:textId="77777777" w:rsidR="00ED3276" w:rsidRDefault="00ED3276" w:rsidP="00CE2351">
      <w:pPr>
        <w:rPr>
          <w:lang w:val="en-AU"/>
        </w:rPr>
      </w:pPr>
    </w:p>
    <w:p w14:paraId="12B28C50" w14:textId="77777777" w:rsidR="00CE2351" w:rsidRDefault="00660926" w:rsidP="00CE2351">
      <w:pPr>
        <w:rPr>
          <w:lang w:val="en-AU"/>
        </w:rPr>
      </w:pPr>
      <w:r>
        <w:rPr>
          <w:lang w:val="en-AU"/>
        </w:rPr>
        <w:t xml:space="preserve">By way of comparison, </w:t>
      </w:r>
      <w:r w:rsidR="00CE2351">
        <w:rPr>
          <w:lang w:val="en-AU"/>
        </w:rPr>
        <w:t>Singapore</w:t>
      </w:r>
      <w:r w:rsidR="00ED3276">
        <w:rPr>
          <w:lang w:val="en-AU"/>
        </w:rPr>
        <w:t xml:space="preserve"> currently </w:t>
      </w:r>
      <w:r w:rsidR="00CE2351">
        <w:rPr>
          <w:lang w:val="en-AU"/>
        </w:rPr>
        <w:t>imports over 300,000 construction workers from countries such as China, India and Bangladesh</w:t>
      </w:r>
      <w:r w:rsidR="00ED3276">
        <w:rPr>
          <w:lang w:val="en-AU"/>
        </w:rPr>
        <w:t xml:space="preserve"> each year</w:t>
      </w:r>
      <w:r w:rsidR="00CE2351">
        <w:rPr>
          <w:lang w:val="en-AU"/>
        </w:rPr>
        <w:t xml:space="preserve">. This is extraordinary for a country of less than 6 million people. The </w:t>
      </w:r>
      <w:r w:rsidR="00CE2351" w:rsidRPr="003A761E">
        <w:rPr>
          <w:i/>
          <w:lang w:val="en-AU"/>
        </w:rPr>
        <w:t>Straits Times</w:t>
      </w:r>
      <w:r w:rsidR="00CE2351">
        <w:rPr>
          <w:lang w:val="en-AU"/>
        </w:rPr>
        <w:t xml:space="preserve"> reported in 2013 that Singapore paid foreign construction workers from India and Bangladesh “as low as S$700 per month” and S$1,200 per month</w:t>
      </w:r>
      <w:r w:rsidR="00CE2351" w:rsidRPr="00E35702">
        <w:rPr>
          <w:lang w:val="en-AU"/>
        </w:rPr>
        <w:t xml:space="preserve"> </w:t>
      </w:r>
      <w:r w:rsidR="00CE2351">
        <w:rPr>
          <w:lang w:val="en-AU"/>
        </w:rPr>
        <w:t>to those from China. These workers are employed 10-12 hours per day in a 6 day working week. Even qualified construction industry workers earn much less than in Australia. For example, civil engineers in Singapore earn an average of S$38,804 per year and project managers earn S$86,897 per year</w:t>
      </w:r>
      <w:r w:rsidR="003A761E">
        <w:rPr>
          <w:lang w:val="en-AU"/>
        </w:rPr>
        <w:t xml:space="preserve"> (</w:t>
      </w:r>
      <w:r w:rsidR="003A761E" w:rsidRPr="003A761E">
        <w:rPr>
          <w:i/>
          <w:lang w:val="en-AU"/>
        </w:rPr>
        <w:t>Payscale</w:t>
      </w:r>
      <w:r w:rsidR="003A761E">
        <w:rPr>
          <w:lang w:val="en-AU"/>
        </w:rPr>
        <w:t>)</w:t>
      </w:r>
      <w:r w:rsidR="00CE2351">
        <w:rPr>
          <w:lang w:val="en-AU"/>
        </w:rPr>
        <w:t>. By contrast, Seek’s annual Salary review found that the average salary across the construction industry was A$104,754 per year.</w:t>
      </w:r>
    </w:p>
    <w:p w14:paraId="66BD8CB0" w14:textId="77777777" w:rsidR="00814E35" w:rsidRPr="00443E59" w:rsidRDefault="00D80CF5" w:rsidP="009861AC">
      <w:pPr>
        <w:pStyle w:val="Heading2"/>
      </w:pPr>
      <w:bookmarkStart w:id="64" w:name="_Toc430896845"/>
      <w:r>
        <w:t>M</w:t>
      </w:r>
      <w:r w:rsidR="00814E35">
        <w:t xml:space="preserve">elbourne </w:t>
      </w:r>
      <w:r w:rsidR="00814E35" w:rsidRPr="00443E59">
        <w:t>City Loop</w:t>
      </w:r>
      <w:bookmarkEnd w:id="62"/>
      <w:r w:rsidR="001A505F">
        <w:t xml:space="preserve"> – Betterment Tax</w:t>
      </w:r>
      <w:bookmarkEnd w:id="64"/>
    </w:p>
    <w:p w14:paraId="10CB1B8D" w14:textId="77777777" w:rsidR="005E5142" w:rsidRDefault="00814E35" w:rsidP="00814E35">
      <w:pPr>
        <w:rPr>
          <w:lang w:val="en-US"/>
        </w:rPr>
      </w:pPr>
      <w:bookmarkStart w:id="65" w:name="_Toc332379635"/>
      <w:r>
        <w:rPr>
          <w:lang w:val="en-US"/>
        </w:rPr>
        <w:t xml:space="preserve">Melbourne City Loop is one of the few examples in Australia where </w:t>
      </w:r>
      <w:r w:rsidRPr="00DC5287">
        <w:rPr>
          <w:lang w:val="en-US"/>
        </w:rPr>
        <w:t xml:space="preserve">government </w:t>
      </w:r>
      <w:r>
        <w:rPr>
          <w:lang w:val="en-US"/>
        </w:rPr>
        <w:t xml:space="preserve">has </w:t>
      </w:r>
      <w:r w:rsidRPr="00DC5287">
        <w:rPr>
          <w:lang w:val="en-US"/>
        </w:rPr>
        <w:t xml:space="preserve">enacted </w:t>
      </w:r>
      <w:r w:rsidR="005E5142">
        <w:rPr>
          <w:lang w:val="en-US"/>
        </w:rPr>
        <w:t>a value capture levy</w:t>
      </w:r>
      <w:r w:rsidRPr="00DC5287">
        <w:rPr>
          <w:lang w:val="en-US"/>
        </w:rPr>
        <w:t xml:space="preserve"> to </w:t>
      </w:r>
      <w:r w:rsidR="005E5142">
        <w:rPr>
          <w:lang w:val="en-US"/>
        </w:rPr>
        <w:t>secure</w:t>
      </w:r>
      <w:r w:rsidRPr="00DC5287">
        <w:rPr>
          <w:lang w:val="en-US"/>
        </w:rPr>
        <w:t xml:space="preserve"> </w:t>
      </w:r>
      <w:r>
        <w:rPr>
          <w:lang w:val="en-US"/>
        </w:rPr>
        <w:t>a fair proportion</w:t>
      </w:r>
      <w:r w:rsidRPr="00DC5287">
        <w:rPr>
          <w:lang w:val="en-US"/>
        </w:rPr>
        <w:t xml:space="preserve"> of the uplift in land value</w:t>
      </w:r>
      <w:r w:rsidR="001B4D84">
        <w:rPr>
          <w:lang w:val="en-US"/>
        </w:rPr>
        <w:t>s</w:t>
      </w:r>
      <w:r w:rsidRPr="00DC5287">
        <w:rPr>
          <w:lang w:val="en-US"/>
        </w:rPr>
        <w:t xml:space="preserve"> which flow</w:t>
      </w:r>
      <w:r w:rsidR="005E5142">
        <w:rPr>
          <w:lang w:val="en-US"/>
        </w:rPr>
        <w:t>ed</w:t>
      </w:r>
      <w:r w:rsidRPr="00DC5287">
        <w:rPr>
          <w:lang w:val="en-US"/>
        </w:rPr>
        <w:t xml:space="preserve"> from</w:t>
      </w:r>
      <w:r w:rsidR="005E5142">
        <w:rPr>
          <w:lang w:val="en-US"/>
        </w:rPr>
        <w:t xml:space="preserve"> this new piece of</w:t>
      </w:r>
      <w:r w:rsidRPr="00DC5287">
        <w:rPr>
          <w:lang w:val="en-US"/>
        </w:rPr>
        <w:t xml:space="preserve"> </w:t>
      </w:r>
      <w:r w:rsidR="001B4D84">
        <w:rPr>
          <w:lang w:val="en-US"/>
        </w:rPr>
        <w:t>new public transport infrastructure</w:t>
      </w:r>
      <w:r w:rsidRPr="00DC5287">
        <w:rPr>
          <w:lang w:val="en-US"/>
        </w:rPr>
        <w:t xml:space="preserve"> to assist with </w:t>
      </w:r>
      <w:r w:rsidR="005E5142">
        <w:rPr>
          <w:lang w:val="en-US"/>
        </w:rPr>
        <w:t xml:space="preserve">its </w:t>
      </w:r>
      <w:r w:rsidRPr="00DC5287">
        <w:rPr>
          <w:lang w:val="en-US"/>
        </w:rPr>
        <w:t>funding.</w:t>
      </w:r>
    </w:p>
    <w:p w14:paraId="5AEC9B01" w14:textId="77777777" w:rsidR="005E5142" w:rsidRDefault="005E5142" w:rsidP="00814E35">
      <w:pPr>
        <w:rPr>
          <w:lang w:val="en-US"/>
        </w:rPr>
      </w:pPr>
    </w:p>
    <w:p w14:paraId="42036AB4" w14:textId="57AF753F" w:rsidR="00814E35" w:rsidRDefault="00814E35" w:rsidP="00814E35">
      <w:pPr>
        <w:rPr>
          <w:kern w:val="0"/>
        </w:rPr>
      </w:pPr>
      <w:r>
        <w:rPr>
          <w:kern w:val="0"/>
        </w:rPr>
        <w:t xml:space="preserve">Planning for an underground rail loop in Melbourne’s CBD began as early as 1929 by the Metropolitan Town Planning Commission. At the time, Flinders Street was one of the busiest </w:t>
      </w:r>
      <w:r w:rsidR="004428AE">
        <w:rPr>
          <w:kern w:val="0"/>
        </w:rPr>
        <w:t>streets</w:t>
      </w:r>
      <w:r>
        <w:rPr>
          <w:kern w:val="0"/>
        </w:rPr>
        <w:t xml:space="preserve"> in the world. </w:t>
      </w:r>
    </w:p>
    <w:p w14:paraId="12AE5D14" w14:textId="77777777" w:rsidR="00D82775" w:rsidRDefault="00D82775" w:rsidP="00814E35">
      <w:pPr>
        <w:rPr>
          <w:kern w:val="0"/>
        </w:rPr>
      </w:pPr>
    </w:p>
    <w:p w14:paraId="1821401A" w14:textId="77777777" w:rsidR="00814E35" w:rsidRDefault="00814E35" w:rsidP="00814E35">
      <w:r>
        <w:rPr>
          <w:kern w:val="0"/>
        </w:rPr>
        <w:t xml:space="preserve">An aspiration of constructing the loop was to relieve congestion at Flinders and Spencer Street stations, enhancing the capacity of the network and providing greater access to the northern areas of the central grid. In 1971, the Melbourne Underground Rail Loop Authority was established to oversee construction and operation of the loop. The </w:t>
      </w:r>
      <w:r>
        <w:t xml:space="preserve">City Loop was completed in stages, with Museum (now Melbourne Central) the first station opened in 1981, followed by Parliament (1983) and Flagstaff (1985). With the completion of the loop, a total of five stations around the CBD were accessible from metropolitan rail lines. The City Loop is now an integral part of Melbourne’s transport system and CBD. </w:t>
      </w:r>
    </w:p>
    <w:p w14:paraId="4EA4EE93" w14:textId="77777777" w:rsidR="00814E35" w:rsidRDefault="00814E35" w:rsidP="00814E35"/>
    <w:p w14:paraId="28616208" w14:textId="77777777" w:rsidR="001B4D84" w:rsidRDefault="001B4D84" w:rsidP="001B4D84">
      <w:pPr>
        <w:rPr>
          <w:kern w:val="0"/>
        </w:rPr>
      </w:pPr>
      <w:r>
        <w:t>Funding for the project was allocated to the State Government (60%) and the ratepayers of inner city Melbourne (40%).</w:t>
      </w:r>
      <w:r>
        <w:rPr>
          <w:kern w:val="0"/>
        </w:rPr>
        <w:t xml:space="preserve"> Later, this was amended with the Metropolitan Melbourne Board of Works (MMBW) assigned 25% of costs, the City of Melbourne assigned 25% of costs, and the State Government assigned the final 50% of costs. </w:t>
      </w:r>
    </w:p>
    <w:p w14:paraId="3AFAA493" w14:textId="77777777" w:rsidR="001B4D84" w:rsidRDefault="001B4D84" w:rsidP="001B4D84">
      <w:pPr>
        <w:rPr>
          <w:kern w:val="0"/>
        </w:rPr>
      </w:pPr>
    </w:p>
    <w:p w14:paraId="3C8862CF" w14:textId="77777777" w:rsidR="0098308C" w:rsidRDefault="00814E35" w:rsidP="0098308C">
      <w:r>
        <w:t xml:space="preserve">Funding was offset by a surcharge on ticket prices </w:t>
      </w:r>
      <w:r w:rsidR="005E5142">
        <w:t>as well as</w:t>
      </w:r>
      <w:r>
        <w:t xml:space="preserve"> value capture through a surcharge on ratepayers. </w:t>
      </w:r>
      <w:r w:rsidR="00132BE1">
        <w:rPr>
          <w:kern w:val="0"/>
        </w:rPr>
        <w:t>The 25% of project costs assigned to the City of Melbourne was collected via</w:t>
      </w:r>
      <w:r w:rsidR="001A505F">
        <w:rPr>
          <w:kern w:val="0"/>
        </w:rPr>
        <w:t xml:space="preserve"> a council rate levy</w:t>
      </w:r>
      <w:r w:rsidR="00132BE1">
        <w:rPr>
          <w:kern w:val="0"/>
        </w:rPr>
        <w:t xml:space="preserve"> over a 32 year period</w:t>
      </w:r>
      <w:r w:rsidR="001534FC">
        <w:rPr>
          <w:kern w:val="0"/>
        </w:rPr>
        <w:t xml:space="preserve"> which was introduced in 1963 and removed in 1995. </w:t>
      </w:r>
      <w:r w:rsidR="0098308C">
        <w:t>The</w:t>
      </w:r>
      <w:r w:rsidR="001534FC">
        <w:rPr>
          <w:kern w:val="0"/>
        </w:rPr>
        <w:t xml:space="preserve"> ticket surcharge applied </w:t>
      </w:r>
      <w:r w:rsidR="0098308C">
        <w:rPr>
          <w:kern w:val="0"/>
        </w:rPr>
        <w:t>during the 1970s and 1980s. Whilst specific figures are unclear, the surcharge was reportedly 2% of average ticket prices (Hale 2014, p11).</w:t>
      </w:r>
      <w:r w:rsidR="007C7870" w:rsidRPr="007C7870">
        <w:rPr>
          <w:kern w:val="0"/>
        </w:rPr>
        <w:t xml:space="preserve"> </w:t>
      </w:r>
    </w:p>
    <w:p w14:paraId="57437D02" w14:textId="77777777" w:rsidR="009B624A" w:rsidRDefault="009B624A" w:rsidP="009861AC">
      <w:pPr>
        <w:pStyle w:val="Heading2"/>
      </w:pPr>
      <w:bookmarkStart w:id="66" w:name="_Toc430896846"/>
      <w:bookmarkEnd w:id="65"/>
      <w:r>
        <w:t>Gold Coast Light Rail</w:t>
      </w:r>
      <w:r w:rsidR="00F734F8">
        <w:t xml:space="preserve"> – </w:t>
      </w:r>
      <w:r w:rsidR="00635F0A">
        <w:t>Broad-based Transport Levy</w:t>
      </w:r>
      <w:bookmarkEnd w:id="66"/>
    </w:p>
    <w:p w14:paraId="531F9F73" w14:textId="77777777" w:rsidR="009B624A" w:rsidRDefault="009B624A" w:rsidP="009B624A">
      <w:r w:rsidRPr="0033666B">
        <w:t>Stage 1 of the Gold Coast Light Rail network extends 13km and connects the Gold Coast Health and Knowledge Precinct at Parklands with Southport, Surfers Paradise and Broadbeach.</w:t>
      </w:r>
      <w:r w:rsidR="00A83A5C" w:rsidRPr="00A83A5C">
        <w:t xml:space="preserve"> </w:t>
      </w:r>
      <w:r w:rsidR="00A83A5C">
        <w:t>It was o</w:t>
      </w:r>
      <w:r w:rsidR="00A83A5C" w:rsidRPr="0033666B">
        <w:t>pen</w:t>
      </w:r>
      <w:r w:rsidR="00A83A5C">
        <w:t>ed</w:t>
      </w:r>
      <w:r w:rsidR="00A83A5C" w:rsidRPr="0033666B">
        <w:t xml:space="preserve"> in mid-2014</w:t>
      </w:r>
      <w:r w:rsidR="00A83A5C">
        <w:t>.</w:t>
      </w:r>
      <w:r>
        <w:t xml:space="preserve"> The funding for the project was delivered from </w:t>
      </w:r>
      <w:r w:rsidR="009776E7">
        <w:t xml:space="preserve">a partnership of </w:t>
      </w:r>
      <w:r>
        <w:t xml:space="preserve">the Queensland Government, City of Gold Coast, the Commonwealth of Australia and GoldLinQ </w:t>
      </w:r>
      <w:r w:rsidR="009776E7">
        <w:t>through</w:t>
      </w:r>
      <w:r>
        <w:t xml:space="preserve"> a</w:t>
      </w:r>
      <w:r w:rsidR="009776E7">
        <w:t xml:space="preserve"> P</w:t>
      </w:r>
      <w:r>
        <w:t>ublic</w:t>
      </w:r>
      <w:r w:rsidR="009776E7">
        <w:t xml:space="preserve"> P</w:t>
      </w:r>
      <w:r>
        <w:t xml:space="preserve">rivate </w:t>
      </w:r>
      <w:r w:rsidR="009776E7">
        <w:t>P</w:t>
      </w:r>
      <w:r>
        <w:t xml:space="preserve">artnership. </w:t>
      </w:r>
      <w:r w:rsidR="00CD1CD3">
        <w:t>The project cost was $1.3 billion.</w:t>
      </w:r>
    </w:p>
    <w:p w14:paraId="7F34E3ED" w14:textId="77777777" w:rsidR="009B624A" w:rsidRDefault="009B624A" w:rsidP="009B624A"/>
    <w:p w14:paraId="2B19038B" w14:textId="77777777" w:rsidR="009B624A" w:rsidRDefault="001C57CB" w:rsidP="009B624A">
      <w:r>
        <w:t>A broad-based T</w:t>
      </w:r>
      <w:r w:rsidR="009B624A">
        <w:t xml:space="preserve">ransport </w:t>
      </w:r>
      <w:r>
        <w:t>Improvement L</w:t>
      </w:r>
      <w:r w:rsidR="009B624A">
        <w:t xml:space="preserve">evy </w:t>
      </w:r>
      <w:r>
        <w:t xml:space="preserve">(TIL) </w:t>
      </w:r>
      <w:r w:rsidR="00CD1CD3">
        <w:t xml:space="preserve">of $111 </w:t>
      </w:r>
      <w:r>
        <w:t>per year for</w:t>
      </w:r>
      <w:r w:rsidR="009B624A">
        <w:t xml:space="preserve"> </w:t>
      </w:r>
      <w:r w:rsidR="00CD1CD3">
        <w:t xml:space="preserve">every </w:t>
      </w:r>
      <w:r w:rsidR="009B624A">
        <w:t>ratepayer</w:t>
      </w:r>
      <w:r w:rsidR="00CD1CD3">
        <w:t xml:space="preserve"> in the Gold</w:t>
      </w:r>
      <w:r>
        <w:t xml:space="preserve"> Coast City was introduced in 2012</w:t>
      </w:r>
      <w:r w:rsidR="009B624A">
        <w:t xml:space="preserve">. </w:t>
      </w:r>
      <w:r>
        <w:t>The TIL has been raised to $117 in recent years.</w:t>
      </w:r>
      <w:r w:rsidR="00340EB8">
        <w:t xml:space="preserve"> There is no ‘sunset’ on the TIL and therefore it can be considered to operate in perpetuity.</w:t>
      </w:r>
    </w:p>
    <w:p w14:paraId="79A9BC7E" w14:textId="77777777" w:rsidR="001C57CB" w:rsidRDefault="001C57CB" w:rsidP="009B624A"/>
    <w:p w14:paraId="7FB1152C" w14:textId="77777777" w:rsidR="001C57CB" w:rsidRDefault="001C57CB" w:rsidP="009B624A">
      <w:r>
        <w:t xml:space="preserve">There appears to be no </w:t>
      </w:r>
      <w:r w:rsidR="00D8345D">
        <w:t xml:space="preserve">definitive </w:t>
      </w:r>
      <w:r>
        <w:t xml:space="preserve">statement of the </w:t>
      </w:r>
      <w:r w:rsidR="00D8345D">
        <w:t>funds</w:t>
      </w:r>
      <w:r>
        <w:t xml:space="preserve"> gained from the TIL. SGS has therefore calculated the approximate revenue from the TIL. The Gold Coast City Annual Report 2013-14 stated that there were 245,687 rateable properties in the city. </w:t>
      </w:r>
      <w:r w:rsidR="00D8345D">
        <w:t xml:space="preserve">On this basis, </w:t>
      </w:r>
      <w:r>
        <w:t>the TIL would generate $28.75 million per year</w:t>
      </w:r>
      <w:r w:rsidR="00D8345D">
        <w:t xml:space="preserve"> if applied to ALL ratepayers</w:t>
      </w:r>
      <w:r>
        <w:t>.</w:t>
      </w:r>
      <w:r w:rsidR="00D8345D" w:rsidRPr="00D8345D">
        <w:t xml:space="preserve"> </w:t>
      </w:r>
      <w:r w:rsidR="00D8345D">
        <w:t>However, there would be numerous discounts and concessions for many ratepayers.</w:t>
      </w:r>
    </w:p>
    <w:p w14:paraId="47862C4D" w14:textId="77777777" w:rsidR="009B624A" w:rsidRDefault="009B624A" w:rsidP="009B624A"/>
    <w:p w14:paraId="015E4E6F" w14:textId="77777777" w:rsidR="001C57CB" w:rsidRDefault="009B624A" w:rsidP="008E6677">
      <w:r>
        <w:t>The success of the project has been widely hailed</w:t>
      </w:r>
      <w:r w:rsidR="001C57CB">
        <w:t>. The PPP operator, GoldLinQ,</w:t>
      </w:r>
      <w:r w:rsidR="001C57CB" w:rsidRPr="001C57CB">
        <w:t xml:space="preserve"> </w:t>
      </w:r>
      <w:r w:rsidR="001C57CB">
        <w:t>stated in May 2015 that the light rail was used by an average of 17, 800 commuters per day in the first 9 months of Year 1. This exceeded the forecast patronage of 16,000 commuters per day in Year 2.</w:t>
      </w:r>
    </w:p>
    <w:p w14:paraId="19F39E3E" w14:textId="77777777" w:rsidR="009B624A" w:rsidRDefault="009B624A" w:rsidP="009B624A"/>
    <w:p w14:paraId="320A608E" w14:textId="77777777" w:rsidR="00803C7A" w:rsidRDefault="00803C7A" w:rsidP="00803C7A">
      <w:r w:rsidRPr="00002090">
        <w:rPr>
          <w:color w:val="000000"/>
          <w:szCs w:val="20"/>
        </w:rPr>
        <w:t xml:space="preserve">The Queensland Government has commenced </w:t>
      </w:r>
      <w:r>
        <w:rPr>
          <w:color w:val="000000"/>
          <w:szCs w:val="20"/>
        </w:rPr>
        <w:t>Stage 2</w:t>
      </w:r>
      <w:r w:rsidRPr="00002090">
        <w:rPr>
          <w:color w:val="000000"/>
          <w:szCs w:val="20"/>
        </w:rPr>
        <w:t xml:space="preserve"> of the Gold Coast Light Rail.</w:t>
      </w:r>
      <w:r>
        <w:rPr>
          <w:color w:val="000000"/>
          <w:szCs w:val="20"/>
        </w:rPr>
        <w:t xml:space="preserve"> </w:t>
      </w:r>
      <w:r w:rsidRPr="00002090">
        <w:rPr>
          <w:color w:val="000000"/>
          <w:szCs w:val="20"/>
        </w:rPr>
        <w:t>The Department of Transport and Main Roads has identified a route for Stage 2 that would run from Helensvale heavy rail station adjacent to the Gold Coast Rail line, then adjacent to the Smith Street Motorway to connect with Stage 1 at the Gold Coast University Hospital Station.</w:t>
      </w:r>
      <w:r w:rsidRPr="00803C7A">
        <w:t xml:space="preserve"> </w:t>
      </w:r>
      <w:r>
        <w:t>Expressions of Interest were called in August 2015.</w:t>
      </w:r>
    </w:p>
    <w:p w14:paraId="1454F341" w14:textId="77777777" w:rsidR="00896C6F" w:rsidRDefault="00896C6F" w:rsidP="00803C7A"/>
    <w:p w14:paraId="1A04B59E" w14:textId="2D4B695D" w:rsidR="00896C6F" w:rsidRDefault="00896C6F" w:rsidP="00896C6F">
      <w:pPr>
        <w:pStyle w:val="Caption"/>
      </w:pPr>
      <w:bookmarkStart w:id="67" w:name="_Toc430896560"/>
      <w:r>
        <w:t xml:space="preserve">Figure </w:t>
      </w:r>
      <w:r>
        <w:fldChar w:fldCharType="begin"/>
      </w:r>
      <w:r>
        <w:instrText xml:space="preserve"> SEQ Figure \* ARABIC </w:instrText>
      </w:r>
      <w:r>
        <w:fldChar w:fldCharType="separate"/>
      </w:r>
      <w:r w:rsidR="00184C79">
        <w:rPr>
          <w:noProof/>
        </w:rPr>
        <w:t>8</w:t>
      </w:r>
      <w:r>
        <w:fldChar w:fldCharType="end"/>
      </w:r>
      <w:r>
        <w:t>.</w:t>
      </w:r>
      <w:r>
        <w:tab/>
        <w:t>context map – gold coast light rail</w:t>
      </w:r>
      <w:bookmarkEnd w:id="67"/>
    </w:p>
    <w:p w14:paraId="18E3460E" w14:textId="77777777" w:rsidR="00803C7A" w:rsidRDefault="00803C7A" w:rsidP="00803C7A">
      <w:pPr>
        <w:rPr>
          <w:color w:val="000000"/>
          <w:szCs w:val="20"/>
        </w:rPr>
      </w:pPr>
      <w:r w:rsidRPr="00F734F8">
        <w:rPr>
          <w:noProof/>
          <w:lang w:val="en-US" w:eastAsia="en-US"/>
        </w:rPr>
        <w:drawing>
          <wp:inline distT="0" distB="0" distL="0" distR="0" wp14:anchorId="54BC0191" wp14:editId="4B94EC1F">
            <wp:extent cx="3238095" cy="2161905"/>
            <wp:effectExtent l="0" t="0" r="63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38095" cy="2161905"/>
                    </a:xfrm>
                    <a:prstGeom prst="rect">
                      <a:avLst/>
                    </a:prstGeom>
                  </pic:spPr>
                </pic:pic>
              </a:graphicData>
            </a:graphic>
          </wp:inline>
        </w:drawing>
      </w:r>
    </w:p>
    <w:p w14:paraId="62034486" w14:textId="77777777" w:rsidR="00803C7A" w:rsidRPr="00803C7A" w:rsidRDefault="00803C7A" w:rsidP="00803C7A">
      <w:pPr>
        <w:rPr>
          <w:lang w:val="en-AU"/>
        </w:rPr>
      </w:pPr>
    </w:p>
    <w:p w14:paraId="3268C6C9" w14:textId="77777777" w:rsidR="00340EB8" w:rsidRDefault="00A137A0" w:rsidP="00340EB8">
      <w:r w:rsidRPr="008A2965">
        <w:t xml:space="preserve">The opportunity for further value capture </w:t>
      </w:r>
      <w:r w:rsidR="008A2965">
        <w:t xml:space="preserve">from the TIL </w:t>
      </w:r>
      <w:r w:rsidRPr="008A2965">
        <w:t>for Gold Coast Light Rail Stage 2 is unclear.</w:t>
      </w:r>
      <w:r w:rsidR="001C57CB" w:rsidRPr="008A2965">
        <w:t xml:space="preserve"> </w:t>
      </w:r>
    </w:p>
    <w:p w14:paraId="789EDB64" w14:textId="77777777" w:rsidR="008A2965" w:rsidRDefault="008A2965" w:rsidP="00340EB8"/>
    <w:p w14:paraId="01538B62" w14:textId="77777777" w:rsidR="00340EB8" w:rsidRDefault="00340EB8" w:rsidP="00340EB8">
      <w:pPr>
        <w:rPr>
          <w:szCs w:val="20"/>
        </w:rPr>
      </w:pPr>
      <w:r>
        <w:rPr>
          <w:szCs w:val="20"/>
        </w:rPr>
        <w:t>The Gold Coast TIL is a blunt form of value capture that has the following flaws:</w:t>
      </w:r>
    </w:p>
    <w:p w14:paraId="7D16F269" w14:textId="77777777" w:rsidR="00340EB8" w:rsidRDefault="00340EB8" w:rsidP="00340EB8">
      <w:pPr>
        <w:rPr>
          <w:szCs w:val="20"/>
        </w:rPr>
      </w:pPr>
    </w:p>
    <w:p w14:paraId="745E8EBE" w14:textId="77777777" w:rsidR="00340EB8" w:rsidRDefault="00340EB8" w:rsidP="00791C11">
      <w:pPr>
        <w:pStyle w:val="ListParagraph"/>
        <w:numPr>
          <w:ilvl w:val="0"/>
          <w:numId w:val="21"/>
        </w:numPr>
        <w:rPr>
          <w:szCs w:val="20"/>
        </w:rPr>
      </w:pPr>
      <w:r w:rsidRPr="00340EB8">
        <w:rPr>
          <w:szCs w:val="20"/>
        </w:rPr>
        <w:t xml:space="preserve">It does not consider the difference in values </w:t>
      </w:r>
      <w:r>
        <w:rPr>
          <w:szCs w:val="20"/>
        </w:rPr>
        <w:t>between</w:t>
      </w:r>
      <w:r w:rsidRPr="00340EB8">
        <w:rPr>
          <w:szCs w:val="20"/>
        </w:rPr>
        <w:t xml:space="preserve"> </w:t>
      </w:r>
      <w:r w:rsidR="00DB4F55">
        <w:rPr>
          <w:szCs w:val="20"/>
        </w:rPr>
        <w:t xml:space="preserve">rateable </w:t>
      </w:r>
      <w:r w:rsidRPr="00340EB8">
        <w:rPr>
          <w:szCs w:val="20"/>
        </w:rPr>
        <w:t>properties</w:t>
      </w:r>
      <w:r w:rsidR="00DB4F55">
        <w:rPr>
          <w:szCs w:val="20"/>
        </w:rPr>
        <w:t xml:space="preserve"> on the Gold Coast</w:t>
      </w:r>
    </w:p>
    <w:p w14:paraId="6A970A47" w14:textId="77777777" w:rsidR="00340EB8" w:rsidRDefault="00340EB8" w:rsidP="00791C11">
      <w:pPr>
        <w:pStyle w:val="ListParagraph"/>
        <w:numPr>
          <w:ilvl w:val="0"/>
          <w:numId w:val="21"/>
        </w:numPr>
        <w:rPr>
          <w:szCs w:val="20"/>
        </w:rPr>
      </w:pPr>
      <w:r>
        <w:rPr>
          <w:szCs w:val="20"/>
        </w:rPr>
        <w:t>It does not consider the impact of distance from the light rail on the uplift in property values</w:t>
      </w:r>
    </w:p>
    <w:p w14:paraId="3F723E5A" w14:textId="77777777" w:rsidR="00DB4F55" w:rsidRDefault="00340EB8" w:rsidP="00791C11">
      <w:pPr>
        <w:pStyle w:val="ListParagraph"/>
        <w:numPr>
          <w:ilvl w:val="0"/>
          <w:numId w:val="21"/>
        </w:numPr>
        <w:rPr>
          <w:szCs w:val="20"/>
        </w:rPr>
      </w:pPr>
      <w:r>
        <w:rPr>
          <w:szCs w:val="20"/>
        </w:rPr>
        <w:t xml:space="preserve">It is not transparent in </w:t>
      </w:r>
      <w:r w:rsidR="00DB4F55">
        <w:rPr>
          <w:szCs w:val="20"/>
        </w:rPr>
        <w:t>the amount of funding that it generates</w:t>
      </w:r>
      <w:r>
        <w:rPr>
          <w:szCs w:val="20"/>
        </w:rPr>
        <w:t xml:space="preserve"> </w:t>
      </w:r>
      <w:r w:rsidR="00DB4F55">
        <w:rPr>
          <w:szCs w:val="20"/>
        </w:rPr>
        <w:t>or the exact use of funds</w:t>
      </w:r>
      <w:r w:rsidR="00DB4F55" w:rsidRPr="00340EB8">
        <w:rPr>
          <w:szCs w:val="20"/>
        </w:rPr>
        <w:t>.</w:t>
      </w:r>
    </w:p>
    <w:p w14:paraId="1CCEE681" w14:textId="77777777" w:rsidR="00340EB8" w:rsidRDefault="00DB4F55" w:rsidP="00791C11">
      <w:pPr>
        <w:pStyle w:val="ListParagraph"/>
        <w:numPr>
          <w:ilvl w:val="0"/>
          <w:numId w:val="21"/>
        </w:numPr>
        <w:rPr>
          <w:szCs w:val="20"/>
        </w:rPr>
      </w:pPr>
      <w:r>
        <w:rPr>
          <w:szCs w:val="20"/>
        </w:rPr>
        <w:t xml:space="preserve">There is no specific project link </w:t>
      </w:r>
    </w:p>
    <w:p w14:paraId="486D943E" w14:textId="77777777" w:rsidR="00340EB8" w:rsidRDefault="00340EB8" w:rsidP="00791C11">
      <w:pPr>
        <w:pStyle w:val="ListParagraph"/>
        <w:numPr>
          <w:ilvl w:val="0"/>
          <w:numId w:val="21"/>
        </w:numPr>
        <w:rPr>
          <w:szCs w:val="20"/>
        </w:rPr>
      </w:pPr>
      <w:r>
        <w:rPr>
          <w:szCs w:val="20"/>
        </w:rPr>
        <w:t>It has no ‘sunset clause.’</w:t>
      </w:r>
    </w:p>
    <w:p w14:paraId="2EDCDCE6" w14:textId="77777777" w:rsidR="00DB4F55" w:rsidRPr="00DB4F55" w:rsidRDefault="00DB4F55" w:rsidP="00DB4F55">
      <w:pPr>
        <w:rPr>
          <w:szCs w:val="20"/>
        </w:rPr>
      </w:pPr>
    </w:p>
    <w:p w14:paraId="6A133D3E" w14:textId="77777777" w:rsidR="00DB4F55" w:rsidRPr="00DB4F55" w:rsidRDefault="00DB4F55" w:rsidP="00DB4F55">
      <w:pPr>
        <w:rPr>
          <w:szCs w:val="20"/>
        </w:rPr>
      </w:pPr>
      <w:r>
        <w:rPr>
          <w:szCs w:val="20"/>
        </w:rPr>
        <w:t>These features should be considered in developing value capture systems for new public transport infrastructure in Australia.</w:t>
      </w:r>
    </w:p>
    <w:p w14:paraId="7F215D9E" w14:textId="77777777" w:rsidR="0082593E" w:rsidRPr="00443E59" w:rsidRDefault="0082593E" w:rsidP="009861AC">
      <w:pPr>
        <w:pStyle w:val="Heading2"/>
      </w:pPr>
      <w:bookmarkStart w:id="68" w:name="_Toc430896847"/>
      <w:r>
        <w:t>Conclusion</w:t>
      </w:r>
      <w:bookmarkEnd w:id="68"/>
    </w:p>
    <w:p w14:paraId="3E117E65" w14:textId="77777777" w:rsidR="0082593E" w:rsidRDefault="009B624A" w:rsidP="00814E35">
      <w:r w:rsidRPr="009B624A">
        <w:t>The case studies in this section offer excellent evidence of the opportunities for value capture to provide significant capital funding for new public transport infrastructure in Australia.</w:t>
      </w:r>
    </w:p>
    <w:p w14:paraId="3B7FFE5A" w14:textId="77777777" w:rsidR="008461A4" w:rsidRDefault="008461A4" w:rsidP="00814E35"/>
    <w:p w14:paraId="384DA1EE" w14:textId="77777777" w:rsidR="008461A4" w:rsidRPr="009B624A" w:rsidRDefault="008461A4" w:rsidP="00814E35"/>
    <w:p w14:paraId="20D58A09" w14:textId="77777777" w:rsidR="008461A4" w:rsidRDefault="008461A4" w:rsidP="008461A4">
      <w:pPr>
        <w:pStyle w:val="CommentText"/>
      </w:pPr>
      <w:r>
        <w:lastRenderedPageBreak/>
        <w:t xml:space="preserve">The specific urban attributes and histories of densely populated cities in Asia like Hong Kong are transferrable to major Australian cities. It could be argued that Government should be capturing a high percentage of the uplift from the value of their infrastructure investments, as this value would not be happening without them. In fact, these could be permanent fees as the network availability and amenity is permanent. There is no reason to discard them once debt is paid. They could then be used for ongoing improvements to service levels and further network enhancements. This, in turn, would generate new value capture opportunities as the network expanded – similar to Hong Kong and Singapore. Other relevant value capture models can be found in major cities such as London, New York and Chicago. These cities are all undertaking large scale transit oriented development in urban renewal areas to respond to changing economic and job patterns. They are all utilising value capture to fund public transport infrastructure improvements. </w:t>
      </w:r>
    </w:p>
    <w:p w14:paraId="402AB63E" w14:textId="7BB7AB9A" w:rsidR="009B624A" w:rsidRPr="009B624A" w:rsidRDefault="009B624A" w:rsidP="00814E35"/>
    <w:p w14:paraId="11B228A1" w14:textId="67B0CD7C" w:rsidR="00816135" w:rsidRPr="00C4286C" w:rsidRDefault="00816135" w:rsidP="008E6677">
      <w:r w:rsidRPr="00C4286C">
        <w:t>There are some key factors which influence the cost and utilisation of new public transport infrastructure including:</w:t>
      </w:r>
    </w:p>
    <w:p w14:paraId="78773095" w14:textId="77777777" w:rsidR="00816135" w:rsidRPr="00C4286C" w:rsidRDefault="00816135" w:rsidP="008E6677"/>
    <w:p w14:paraId="451672AD" w14:textId="432D6218" w:rsidR="00816135" w:rsidRPr="00C4286C" w:rsidRDefault="00816135" w:rsidP="00C4286C">
      <w:pPr>
        <w:pStyle w:val="ListParagraph"/>
        <w:numPr>
          <w:ilvl w:val="0"/>
          <w:numId w:val="61"/>
        </w:numPr>
        <w:rPr>
          <w:szCs w:val="20"/>
        </w:rPr>
      </w:pPr>
      <w:r w:rsidRPr="00C4286C">
        <w:rPr>
          <w:szCs w:val="20"/>
        </w:rPr>
        <w:t>Availability of government</w:t>
      </w:r>
      <w:r w:rsidR="00C4286C">
        <w:rPr>
          <w:szCs w:val="20"/>
        </w:rPr>
        <w:t xml:space="preserve"> </w:t>
      </w:r>
      <w:r w:rsidR="00C10475" w:rsidRPr="00C4286C">
        <w:rPr>
          <w:szCs w:val="20"/>
        </w:rPr>
        <w:t xml:space="preserve">land </w:t>
      </w:r>
      <w:r w:rsidRPr="00C4286C">
        <w:rPr>
          <w:szCs w:val="20"/>
        </w:rPr>
        <w:t xml:space="preserve">at a discounted rate </w:t>
      </w:r>
    </w:p>
    <w:p w14:paraId="6F61DB95" w14:textId="59EAC776" w:rsidR="008E6677" w:rsidRPr="00C4286C" w:rsidRDefault="00816135" w:rsidP="00C4286C">
      <w:pPr>
        <w:pStyle w:val="ListParagraph"/>
        <w:numPr>
          <w:ilvl w:val="0"/>
          <w:numId w:val="61"/>
        </w:numPr>
        <w:rPr>
          <w:szCs w:val="20"/>
        </w:rPr>
      </w:pPr>
      <w:r w:rsidRPr="00C4286C">
        <w:rPr>
          <w:szCs w:val="20"/>
        </w:rPr>
        <w:t xml:space="preserve">Capacity to impose </w:t>
      </w:r>
      <w:r w:rsidR="00C10475" w:rsidRPr="00C4286C">
        <w:rPr>
          <w:szCs w:val="20"/>
        </w:rPr>
        <w:t>development rights</w:t>
      </w:r>
    </w:p>
    <w:p w14:paraId="32694224" w14:textId="77777777" w:rsidR="00816135" w:rsidRPr="00C4286C" w:rsidRDefault="00816135" w:rsidP="00816135">
      <w:pPr>
        <w:pStyle w:val="ListParagraph"/>
        <w:numPr>
          <w:ilvl w:val="0"/>
          <w:numId w:val="61"/>
        </w:numPr>
        <w:rPr>
          <w:szCs w:val="20"/>
        </w:rPr>
      </w:pPr>
      <w:r w:rsidRPr="00C4286C">
        <w:rPr>
          <w:szCs w:val="20"/>
        </w:rPr>
        <w:t>High urban density</w:t>
      </w:r>
    </w:p>
    <w:p w14:paraId="1831E701" w14:textId="59DBE82F" w:rsidR="00C10475" w:rsidRPr="00C4286C" w:rsidRDefault="004428AE" w:rsidP="00C4286C">
      <w:pPr>
        <w:pStyle w:val="ListParagraph"/>
        <w:numPr>
          <w:ilvl w:val="0"/>
          <w:numId w:val="61"/>
        </w:numPr>
        <w:rPr>
          <w:szCs w:val="20"/>
        </w:rPr>
      </w:pPr>
      <w:r>
        <w:rPr>
          <w:szCs w:val="20"/>
        </w:rPr>
        <w:t xml:space="preserve">Labour force costs </w:t>
      </w:r>
    </w:p>
    <w:p w14:paraId="0ABB1042" w14:textId="77777777" w:rsidR="00C10475" w:rsidRPr="00C4286C" w:rsidRDefault="00C10475" w:rsidP="00C4286C">
      <w:pPr>
        <w:pStyle w:val="ListParagraph"/>
        <w:numPr>
          <w:ilvl w:val="0"/>
          <w:numId w:val="61"/>
        </w:numPr>
        <w:rPr>
          <w:szCs w:val="20"/>
        </w:rPr>
      </w:pPr>
      <w:r w:rsidRPr="00C4286C">
        <w:rPr>
          <w:szCs w:val="20"/>
        </w:rPr>
        <w:t>Absence of cars</w:t>
      </w:r>
    </w:p>
    <w:p w14:paraId="456B6E32" w14:textId="0B1B3F71" w:rsidR="00C10475" w:rsidRPr="00C4286C" w:rsidRDefault="00C10475" w:rsidP="00C4286C">
      <w:pPr>
        <w:pStyle w:val="ListParagraph"/>
        <w:numPr>
          <w:ilvl w:val="0"/>
          <w:numId w:val="61"/>
        </w:numPr>
        <w:rPr>
          <w:szCs w:val="20"/>
        </w:rPr>
      </w:pPr>
      <w:r w:rsidRPr="00C4286C">
        <w:rPr>
          <w:szCs w:val="20"/>
        </w:rPr>
        <w:t xml:space="preserve">Farebox </w:t>
      </w:r>
      <w:r w:rsidR="00816135" w:rsidRPr="00C4286C">
        <w:rPr>
          <w:szCs w:val="20"/>
        </w:rPr>
        <w:t>returns.</w:t>
      </w:r>
    </w:p>
    <w:p w14:paraId="456F532C" w14:textId="25D64CDB" w:rsidR="002419C8" w:rsidRPr="002C07AA" w:rsidRDefault="00816135" w:rsidP="002419C8">
      <w:pPr>
        <w:spacing w:before="100" w:beforeAutospacing="1" w:after="100" w:afterAutospacing="1"/>
        <w:rPr>
          <w:rFonts w:eastAsia="Times New Roman" w:cs="Times New Roman"/>
          <w:szCs w:val="20"/>
        </w:rPr>
      </w:pPr>
      <w:r w:rsidRPr="002C07AA">
        <w:rPr>
          <w:rFonts w:eastAsia="Times New Roman" w:cs="Times New Roman"/>
          <w:szCs w:val="20"/>
        </w:rPr>
        <w:t>The following lessons are</w:t>
      </w:r>
      <w:r w:rsidR="002419C8" w:rsidRPr="002C07AA">
        <w:rPr>
          <w:rFonts w:eastAsia="Times New Roman" w:cs="Times New Roman"/>
          <w:szCs w:val="20"/>
        </w:rPr>
        <w:t xml:space="preserve"> relevant to Australia:</w:t>
      </w:r>
    </w:p>
    <w:p w14:paraId="5AD6A51C" w14:textId="0F44974D" w:rsidR="002419C8" w:rsidRPr="002C07AA" w:rsidRDefault="002419C8" w:rsidP="00791C11">
      <w:pPr>
        <w:pStyle w:val="ListParagraph"/>
        <w:numPr>
          <w:ilvl w:val="0"/>
          <w:numId w:val="25"/>
        </w:numPr>
        <w:spacing w:before="100" w:beforeAutospacing="1" w:after="100" w:afterAutospacing="1"/>
        <w:rPr>
          <w:rFonts w:eastAsia="Times New Roman" w:cs="Times New Roman"/>
          <w:szCs w:val="20"/>
        </w:rPr>
      </w:pPr>
      <w:r w:rsidRPr="002C07AA">
        <w:rPr>
          <w:rFonts w:eastAsia="Times New Roman" w:cs="Times New Roman"/>
          <w:szCs w:val="20"/>
        </w:rPr>
        <w:t>Government</w:t>
      </w:r>
      <w:r w:rsidR="0023586C">
        <w:rPr>
          <w:rFonts w:eastAsia="Times New Roman" w:cs="Times New Roman"/>
          <w:szCs w:val="20"/>
        </w:rPr>
        <w:t>s</w:t>
      </w:r>
      <w:r w:rsidRPr="002C07AA">
        <w:rPr>
          <w:rFonts w:eastAsia="Times New Roman" w:cs="Times New Roman"/>
          <w:szCs w:val="20"/>
        </w:rPr>
        <w:t xml:space="preserve"> should not automatically act as a regulator and outsourcer of services because it result</w:t>
      </w:r>
      <w:r w:rsidR="00E80C40" w:rsidRPr="002C07AA">
        <w:rPr>
          <w:rFonts w:eastAsia="Times New Roman" w:cs="Times New Roman"/>
          <w:szCs w:val="20"/>
        </w:rPr>
        <w:t>s</w:t>
      </w:r>
      <w:r w:rsidRPr="002C07AA">
        <w:rPr>
          <w:rFonts w:eastAsia="Times New Roman" w:cs="Times New Roman"/>
          <w:szCs w:val="20"/>
        </w:rPr>
        <w:t xml:space="preserve"> in lost opportunities to generate funding for new public transport infrastructure</w:t>
      </w:r>
    </w:p>
    <w:p w14:paraId="7789131D" w14:textId="64674257" w:rsidR="002419C8" w:rsidRPr="002C07AA" w:rsidRDefault="002419C8" w:rsidP="00791C11">
      <w:pPr>
        <w:pStyle w:val="ListParagraph"/>
        <w:numPr>
          <w:ilvl w:val="0"/>
          <w:numId w:val="25"/>
        </w:numPr>
        <w:spacing w:before="100" w:beforeAutospacing="1" w:after="100" w:afterAutospacing="1"/>
        <w:rPr>
          <w:rFonts w:eastAsia="Times New Roman" w:cs="Times New Roman"/>
          <w:szCs w:val="20"/>
        </w:rPr>
      </w:pPr>
      <w:r w:rsidRPr="002C07AA">
        <w:rPr>
          <w:rFonts w:eastAsia="Times New Roman" w:cs="Times New Roman"/>
          <w:szCs w:val="20"/>
        </w:rPr>
        <w:t>Government</w:t>
      </w:r>
      <w:r w:rsidR="0023586C">
        <w:rPr>
          <w:rFonts w:eastAsia="Times New Roman" w:cs="Times New Roman"/>
          <w:szCs w:val="20"/>
        </w:rPr>
        <w:t>s</w:t>
      </w:r>
      <w:r w:rsidRPr="002C07AA">
        <w:rPr>
          <w:rFonts w:eastAsia="Times New Roman" w:cs="Times New Roman"/>
          <w:szCs w:val="20"/>
        </w:rPr>
        <w:t xml:space="preserve"> can create value at new rail stations by buying and assembling land for future sale and by tak</w:t>
      </w:r>
      <w:r w:rsidR="0023586C">
        <w:rPr>
          <w:rFonts w:eastAsia="Times New Roman" w:cs="Times New Roman"/>
          <w:szCs w:val="20"/>
        </w:rPr>
        <w:t>ing</w:t>
      </w:r>
      <w:r w:rsidRPr="002C07AA">
        <w:rPr>
          <w:rFonts w:eastAsia="Times New Roman" w:cs="Times New Roman"/>
          <w:szCs w:val="20"/>
        </w:rPr>
        <w:t xml:space="preserve"> a reasonable share of rezoning and/or development profits</w:t>
      </w:r>
    </w:p>
    <w:p w14:paraId="60AF279C" w14:textId="77777777" w:rsidR="002419C8" w:rsidRPr="002C07AA" w:rsidRDefault="002419C8" w:rsidP="00791C11">
      <w:pPr>
        <w:pStyle w:val="ListParagraph"/>
        <w:numPr>
          <w:ilvl w:val="0"/>
          <w:numId w:val="25"/>
        </w:numPr>
        <w:spacing w:before="100" w:beforeAutospacing="1" w:after="100" w:afterAutospacing="1"/>
        <w:rPr>
          <w:rFonts w:eastAsia="Times New Roman" w:cs="Times New Roman"/>
          <w:szCs w:val="20"/>
        </w:rPr>
      </w:pPr>
      <w:r w:rsidRPr="002C07AA">
        <w:rPr>
          <w:rFonts w:eastAsia="Times New Roman" w:cs="Times New Roman"/>
          <w:szCs w:val="20"/>
        </w:rPr>
        <w:t xml:space="preserve">Governance models can be created to optimise urban development around stations </w:t>
      </w:r>
    </w:p>
    <w:p w14:paraId="3A8F710D" w14:textId="77777777" w:rsidR="002419C8" w:rsidRPr="002C07AA" w:rsidRDefault="002419C8" w:rsidP="00791C11">
      <w:pPr>
        <w:pStyle w:val="ListParagraph"/>
        <w:numPr>
          <w:ilvl w:val="0"/>
          <w:numId w:val="25"/>
        </w:numPr>
        <w:spacing w:before="100" w:beforeAutospacing="1" w:after="100" w:afterAutospacing="1"/>
        <w:rPr>
          <w:rFonts w:eastAsia="Times New Roman" w:cs="Times New Roman"/>
          <w:szCs w:val="20"/>
        </w:rPr>
      </w:pPr>
      <w:r w:rsidRPr="002C07AA">
        <w:rPr>
          <w:rFonts w:eastAsia="Times New Roman" w:cs="Times New Roman"/>
          <w:szCs w:val="20"/>
        </w:rPr>
        <w:t>Vertical integration of rail and urban development can generate significant funds to offset the cost of new public transport infrastructure</w:t>
      </w:r>
    </w:p>
    <w:p w14:paraId="4D29CE62" w14:textId="6144E7CB" w:rsidR="00383916" w:rsidRDefault="002419C8" w:rsidP="00383916">
      <w:pPr>
        <w:pStyle w:val="ListParagraph"/>
        <w:numPr>
          <w:ilvl w:val="0"/>
          <w:numId w:val="25"/>
        </w:numPr>
        <w:rPr>
          <w:lang w:val="en-US"/>
        </w:rPr>
      </w:pPr>
      <w:r w:rsidRPr="002C07AA">
        <w:rPr>
          <w:rFonts w:eastAsia="Times New Roman" w:cs="Times New Roman"/>
          <w:szCs w:val="20"/>
        </w:rPr>
        <w:t>Changing urban forms in Australia are creating urban renewal areas where “rail + property” structures would be feasible.</w:t>
      </w:r>
      <w:r w:rsidR="00383916" w:rsidRPr="00C4286C">
        <w:rPr>
          <w:lang w:val="en-US"/>
        </w:rPr>
        <w:t>Government development policy and individual business case analysis should include project and network corridor preservation as well as property acquisition strategies that maximize value capture outcomes.</w:t>
      </w:r>
    </w:p>
    <w:p w14:paraId="14BCA167" w14:textId="77777777" w:rsidR="00E4454D" w:rsidRDefault="00E4454D" w:rsidP="00E4454D">
      <w:pPr>
        <w:rPr>
          <w:lang w:val="en-US"/>
        </w:rPr>
      </w:pPr>
    </w:p>
    <w:p w14:paraId="6A3678A7" w14:textId="4A7752FF" w:rsidR="00E4454D" w:rsidRPr="00E4454D" w:rsidRDefault="00E4454D" w:rsidP="00E4454D">
      <w:pPr>
        <w:rPr>
          <w:lang w:val="en-US"/>
        </w:rPr>
      </w:pPr>
      <w:r w:rsidRPr="00E4454D">
        <w:rPr>
          <w:lang w:val="en-US"/>
        </w:rPr>
        <w:t>The following sections of this report provide more detail on how value capture could be introduced into Australian jurisdictions to help fund new public transport infrastructure.</w:t>
      </w:r>
    </w:p>
    <w:p w14:paraId="5F067933" w14:textId="77777777" w:rsidR="006B7369" w:rsidRDefault="006B7369" w:rsidP="005537CA"/>
    <w:p w14:paraId="2731C8BE" w14:textId="77777777" w:rsidR="007D1926" w:rsidRDefault="007D1926" w:rsidP="005537CA"/>
    <w:p w14:paraId="59C1A5F7" w14:textId="77777777" w:rsidR="006842FF" w:rsidRDefault="006842FF" w:rsidP="005537CA"/>
    <w:p w14:paraId="7508DAC8" w14:textId="43B96713" w:rsidR="003A40F2" w:rsidRDefault="00F353B7" w:rsidP="009A5B2D">
      <w:pPr>
        <w:pStyle w:val="Heading1"/>
      </w:pPr>
      <w:bookmarkStart w:id="69" w:name="_Toc430896848"/>
      <w:r>
        <w:lastRenderedPageBreak/>
        <w:t>S</w:t>
      </w:r>
      <w:r w:rsidR="003A40F2">
        <w:t xml:space="preserve">ecuring </w:t>
      </w:r>
      <w:r w:rsidR="00776C55">
        <w:t>invest</w:t>
      </w:r>
      <w:r w:rsidR="00D7493F">
        <w:t>ment</w:t>
      </w:r>
      <w:bookmarkEnd w:id="69"/>
      <w:r w:rsidR="00082D9C">
        <w:t xml:space="preserve"> </w:t>
      </w:r>
    </w:p>
    <w:p w14:paraId="6FBE13A1" w14:textId="77777777" w:rsidR="002D76C7" w:rsidRDefault="003D5A1C" w:rsidP="00295454">
      <w:r>
        <w:t xml:space="preserve">Value capture </w:t>
      </w:r>
      <w:r w:rsidR="0004653A">
        <w:t xml:space="preserve">for public transport infrastructure </w:t>
      </w:r>
      <w:r>
        <w:t>creates the opportunity to introduce</w:t>
      </w:r>
      <w:r w:rsidR="00256370">
        <w:t xml:space="preserve"> new </w:t>
      </w:r>
      <w:r>
        <w:t xml:space="preserve">investment products into Australian </w:t>
      </w:r>
      <w:r w:rsidR="00A30338">
        <w:t xml:space="preserve">financial </w:t>
      </w:r>
      <w:r>
        <w:t>market</w:t>
      </w:r>
      <w:r w:rsidR="00A30338">
        <w:t>s</w:t>
      </w:r>
      <w:r>
        <w:t xml:space="preserve">. </w:t>
      </w:r>
    </w:p>
    <w:p w14:paraId="6A03F3C2" w14:textId="77777777" w:rsidR="002D76C7" w:rsidRDefault="002D76C7" w:rsidP="00295454"/>
    <w:p w14:paraId="34AB4573" w14:textId="77777777" w:rsidR="00082D9C" w:rsidRDefault="00A73303" w:rsidP="00295454">
      <w:r>
        <w:t xml:space="preserve">New domestic </w:t>
      </w:r>
      <w:r w:rsidR="002D76C7">
        <w:t xml:space="preserve">investment </w:t>
      </w:r>
      <w:r>
        <w:t>products are</w:t>
      </w:r>
      <w:r w:rsidR="003D5A1C">
        <w:t xml:space="preserve"> important </w:t>
      </w:r>
      <w:r w:rsidR="0004653A">
        <w:t xml:space="preserve">for the economic future of Australia </w:t>
      </w:r>
      <w:r w:rsidR="003D5A1C">
        <w:t xml:space="preserve">as the current weight of </w:t>
      </w:r>
      <w:r w:rsidR="00C14413">
        <w:t xml:space="preserve">domestic </w:t>
      </w:r>
      <w:r w:rsidR="003D5A1C">
        <w:t xml:space="preserve">capital </w:t>
      </w:r>
      <w:r w:rsidR="0004653A">
        <w:t xml:space="preserve">held by institutional investors - notably superannuation funds </w:t>
      </w:r>
      <w:r w:rsidR="00A234C5">
        <w:t>–</w:t>
      </w:r>
      <w:r w:rsidR="00907E24">
        <w:t xml:space="preserve">far </w:t>
      </w:r>
      <w:r w:rsidR="00A234C5">
        <w:t xml:space="preserve">outstrips </w:t>
      </w:r>
      <w:r w:rsidR="0004653A">
        <w:t>domestic supply</w:t>
      </w:r>
      <w:r w:rsidR="00E014B6">
        <w:t xml:space="preserve"> via the stock market, funds and individual assets.</w:t>
      </w:r>
      <w:r w:rsidR="0004653A">
        <w:t xml:space="preserve"> </w:t>
      </w:r>
      <w:r w:rsidR="003D7643">
        <w:t>While o</w:t>
      </w:r>
      <w:r w:rsidR="0004653A">
        <w:t>verseas investment</w:t>
      </w:r>
      <w:r w:rsidR="00571413">
        <w:t xml:space="preserve"> by Australian funds</w:t>
      </w:r>
      <w:r w:rsidR="0004653A">
        <w:t xml:space="preserve"> is critical to a balanced</w:t>
      </w:r>
      <w:r w:rsidR="00C14413">
        <w:t xml:space="preserve"> superannuation</w:t>
      </w:r>
      <w:r w:rsidR="0004653A">
        <w:t xml:space="preserve"> portfolio</w:t>
      </w:r>
      <w:r w:rsidR="003D7643">
        <w:t xml:space="preserve"> and the national interest, there are</w:t>
      </w:r>
      <w:r w:rsidR="0004653A">
        <w:t xml:space="preserve"> clear signal</w:t>
      </w:r>
      <w:r w:rsidR="003D7643">
        <w:t>s</w:t>
      </w:r>
      <w:r w:rsidR="0004653A">
        <w:t xml:space="preserve"> from domestic investors that they would welcome </w:t>
      </w:r>
      <w:r w:rsidR="003E5727">
        <w:t xml:space="preserve">new </w:t>
      </w:r>
      <w:r w:rsidR="001C60D5">
        <w:t xml:space="preserve">investment </w:t>
      </w:r>
      <w:r w:rsidR="003E5727">
        <w:t>products with solid yield</w:t>
      </w:r>
      <w:r w:rsidR="003D7643">
        <w:t>s</w:t>
      </w:r>
      <w:r w:rsidR="00E23C62">
        <w:t xml:space="preserve"> and</w:t>
      </w:r>
      <w:r w:rsidR="003E5727">
        <w:t xml:space="preserve"> low risk</w:t>
      </w:r>
      <w:r w:rsidR="003D7643">
        <w:t xml:space="preserve"> profiles</w:t>
      </w:r>
      <w:r w:rsidR="00E23C62">
        <w:t xml:space="preserve"> </w:t>
      </w:r>
      <w:r w:rsidR="00C14413">
        <w:t xml:space="preserve">that are located </w:t>
      </w:r>
      <w:r w:rsidR="001251A9">
        <w:t>in</w:t>
      </w:r>
      <w:r w:rsidR="00A257F4">
        <w:t xml:space="preserve"> Australia</w:t>
      </w:r>
      <w:r w:rsidR="005E788E">
        <w:t>n jurisdictions</w:t>
      </w:r>
      <w:r w:rsidR="003E5727">
        <w:t>.</w:t>
      </w:r>
      <w:r w:rsidR="003D7643">
        <w:t xml:space="preserve"> </w:t>
      </w:r>
      <w:r>
        <w:t>Foreign investors are also becoming increasingly active in the Australian market with Canadian groups like Brookfield and Ontario Teachers’ Pension Fund acting as ‘market makers’ and models</w:t>
      </w:r>
      <w:r w:rsidR="00453286">
        <w:t xml:space="preserve"> </w:t>
      </w:r>
      <w:r w:rsidR="003134CC">
        <w:t>for a new generation of businesses and funds</w:t>
      </w:r>
      <w:r>
        <w:t>.</w:t>
      </w:r>
      <w:r w:rsidR="00453286">
        <w:t xml:space="preserve"> </w:t>
      </w:r>
    </w:p>
    <w:p w14:paraId="29941CCD" w14:textId="77777777" w:rsidR="00571413" w:rsidRDefault="00571413" w:rsidP="00295454"/>
    <w:p w14:paraId="3221BE03" w14:textId="77777777" w:rsidR="003134CC" w:rsidRDefault="00263A20" w:rsidP="003134CC">
      <w:r>
        <w:t xml:space="preserve">Bond products that </w:t>
      </w:r>
      <w:r w:rsidR="003134CC">
        <w:t xml:space="preserve">can </w:t>
      </w:r>
      <w:r>
        <w:t xml:space="preserve">securitise future tax and levy revenues from value capture mechanisms </w:t>
      </w:r>
      <w:r w:rsidR="003134CC">
        <w:t>-</w:t>
      </w:r>
      <w:r w:rsidR="002D76C7">
        <w:t xml:space="preserve">such as Tax Increment Financing (TIF) </w:t>
      </w:r>
      <w:r w:rsidR="003134CC">
        <w:t xml:space="preserve">- </w:t>
      </w:r>
      <w:r>
        <w:t xml:space="preserve">represent an opportunity to create a </w:t>
      </w:r>
      <w:r w:rsidR="002D76C7">
        <w:t xml:space="preserve">substantial </w:t>
      </w:r>
      <w:r>
        <w:t xml:space="preserve">new investment class in Australia. </w:t>
      </w:r>
      <w:r w:rsidR="003134CC">
        <w:t xml:space="preserve">Such a bond product would not be considered innovative or high risk to global investors familiar with North America or Europe. </w:t>
      </w:r>
    </w:p>
    <w:p w14:paraId="53835540" w14:textId="77777777" w:rsidR="00236A67" w:rsidRDefault="00236A67" w:rsidP="003134CC"/>
    <w:p w14:paraId="706A621F" w14:textId="77777777" w:rsidR="003134CC" w:rsidRDefault="003134CC" w:rsidP="003134CC">
      <w:r>
        <w:t>A core objective of any new investment product based on value capture funds in Australia is that it should focus on generating upfront capital funding to offset the onerous costs to budgets of new public transport infrastructure. TIF with a bond issuance is ideal for this task.</w:t>
      </w:r>
    </w:p>
    <w:p w14:paraId="3C43325A" w14:textId="77777777" w:rsidR="003134CC" w:rsidRDefault="003134CC" w:rsidP="003134CC"/>
    <w:p w14:paraId="78EF8088" w14:textId="77777777" w:rsidR="00236A67" w:rsidRPr="00236A67" w:rsidRDefault="00236A67" w:rsidP="009861AC">
      <w:pPr>
        <w:pStyle w:val="Heading2"/>
      </w:pPr>
      <w:bookmarkStart w:id="70" w:name="_Toc430896849"/>
      <w:r w:rsidRPr="00236A67">
        <w:t>Government Debt Levels</w:t>
      </w:r>
      <w:r w:rsidR="009F1F9F">
        <w:t xml:space="preserve"> in Australia</w:t>
      </w:r>
      <w:bookmarkEnd w:id="70"/>
    </w:p>
    <w:p w14:paraId="2EFC9D97" w14:textId="510E9965" w:rsidR="00236A67" w:rsidRDefault="00236A67" w:rsidP="003134CC">
      <w:r>
        <w:t>Australia</w:t>
      </w:r>
      <w:r w:rsidR="0023586C">
        <w:t>n</w:t>
      </w:r>
      <w:r>
        <w:t xml:space="preserve"> Governments are debt averse with a political consensus between the major parties to balancing the budget</w:t>
      </w:r>
      <w:r w:rsidR="008E6EFD">
        <w:t xml:space="preserve"> and returning to surplus</w:t>
      </w:r>
      <w:r w:rsidR="009F1F9F">
        <w:t>. This impedes that capacity to build and operate new public transport infrastructure, which is amongst the most expensive investments by government. This explains the preference for PPPs which reduce or remove the balance sheet cost of new projects.</w:t>
      </w:r>
      <w:r>
        <w:t xml:space="preserve"> There are structural </w:t>
      </w:r>
      <w:r w:rsidR="00CB547B">
        <w:t xml:space="preserve">budget </w:t>
      </w:r>
      <w:r>
        <w:t xml:space="preserve">deficits in most </w:t>
      </w:r>
      <w:r w:rsidR="009F1F9F">
        <w:t xml:space="preserve">Australian </w:t>
      </w:r>
      <w:r>
        <w:t>jurisdictions which will need to be addressed over time. However, the current global investment market has record low interest rates and a weight of global capital seeking secure investment opportunities with modest yields. This is the perfect time to borrow to build new infrastructure, especially infrastructure with proven flow-on benefits to economic growth such as public transport infrastructure.</w:t>
      </w:r>
    </w:p>
    <w:p w14:paraId="2C368605" w14:textId="77777777" w:rsidR="00236A67" w:rsidRDefault="00236A67" w:rsidP="003134CC"/>
    <w:p w14:paraId="42C03154" w14:textId="77777777" w:rsidR="00E15750" w:rsidRDefault="009F1F9F" w:rsidP="003134CC">
      <w:r>
        <w:t xml:space="preserve">The examples of </w:t>
      </w:r>
      <w:r w:rsidR="00E15750">
        <w:t>H</w:t>
      </w:r>
      <w:r>
        <w:t>ong Kong and Singapore are instructive</w:t>
      </w:r>
      <w:r w:rsidR="00CB547B">
        <w:t xml:space="preserve"> in terms of constructing new public transport infrastructure</w:t>
      </w:r>
      <w:r>
        <w:t xml:space="preserve">. Both cities commenced building rapid mass transit rail systems relatively recently – Hong Kong in 1979 and Singapore in 1987. </w:t>
      </w:r>
      <w:r w:rsidR="00E15750">
        <w:t>In 10-20 years they were able to build the best public transport systems in the world in terms of scale and performance.</w:t>
      </w:r>
      <w:r w:rsidR="00CB547B">
        <w:t xml:space="preserve"> Value capture though leveraging the value uplift in property prices was the key to their success.</w:t>
      </w:r>
    </w:p>
    <w:p w14:paraId="6231303E" w14:textId="77777777" w:rsidR="00E15750" w:rsidRDefault="00E15750" w:rsidP="003134CC"/>
    <w:p w14:paraId="1414945E" w14:textId="77777777" w:rsidR="00D609A3" w:rsidRDefault="009F1F9F" w:rsidP="003134CC">
      <w:r>
        <w:t xml:space="preserve">Australian cities </w:t>
      </w:r>
      <w:r w:rsidR="009759EC">
        <w:t xml:space="preserve">are in a good starting place. They </w:t>
      </w:r>
      <w:r>
        <w:t xml:space="preserve">generally have </w:t>
      </w:r>
      <w:r w:rsidR="0017696F">
        <w:t xml:space="preserve">relatively large public transport infrastructure systems. </w:t>
      </w:r>
      <w:r w:rsidR="009759EC">
        <w:t xml:space="preserve">There is generally good planning by public transport agencies with future growth corridors identified. Urban renewal areas where transit oriented development could take place are well known. </w:t>
      </w:r>
      <w:r w:rsidR="00D609A3">
        <w:t xml:space="preserve">The thinking about how to restructure existing public transport systems to respond to changing employment patterns and urban forms has been done. </w:t>
      </w:r>
      <w:r w:rsidR="009759EC">
        <w:t>T</w:t>
      </w:r>
      <w:r w:rsidR="0017696F">
        <w:t xml:space="preserve">his is a positive situation in that the </w:t>
      </w:r>
      <w:r w:rsidR="009759EC">
        <w:t>backbones</w:t>
      </w:r>
      <w:r w:rsidR="0017696F">
        <w:t xml:space="preserve"> of fully integrated mass transit systems are already in place. </w:t>
      </w:r>
    </w:p>
    <w:p w14:paraId="748C8574" w14:textId="77777777" w:rsidR="00D609A3" w:rsidRDefault="00D609A3" w:rsidP="003134CC"/>
    <w:p w14:paraId="4DE8B2E5" w14:textId="77777777" w:rsidR="009F1F9F" w:rsidRDefault="0017696F" w:rsidP="003134CC">
      <w:r>
        <w:t xml:space="preserve">The </w:t>
      </w:r>
      <w:r w:rsidR="00D609A3">
        <w:t xml:space="preserve">core </w:t>
      </w:r>
      <w:r>
        <w:t xml:space="preserve">problem is </w:t>
      </w:r>
      <w:r w:rsidR="00D609A3">
        <w:t xml:space="preserve">capital </w:t>
      </w:r>
      <w:r>
        <w:t xml:space="preserve">funding </w:t>
      </w:r>
      <w:r w:rsidR="00D609A3">
        <w:t xml:space="preserve">for </w:t>
      </w:r>
      <w:r>
        <w:t xml:space="preserve">the missing pieces </w:t>
      </w:r>
      <w:r w:rsidR="00D609A3">
        <w:t>of public transport infrastructure that can</w:t>
      </w:r>
      <w:r>
        <w:t xml:space="preserve"> achieve network integration.</w:t>
      </w:r>
    </w:p>
    <w:p w14:paraId="7323C97D" w14:textId="77777777" w:rsidR="000250A4" w:rsidRDefault="000250A4" w:rsidP="003134CC"/>
    <w:p w14:paraId="3EF5B97F" w14:textId="77777777" w:rsidR="000250A4" w:rsidRDefault="000250A4" w:rsidP="003134CC">
      <w:r>
        <w:t>This is the background to seeking to attract private sector investment into building new public transport infrastructure.</w:t>
      </w:r>
    </w:p>
    <w:p w14:paraId="73DA04FD" w14:textId="77777777" w:rsidR="000615FF" w:rsidRDefault="000615FF" w:rsidP="003134CC"/>
    <w:p w14:paraId="0DFE6589" w14:textId="77777777" w:rsidR="00D609A3" w:rsidRDefault="00D609A3" w:rsidP="003134CC">
      <w:r>
        <w:t xml:space="preserve">Innovative funding models for new public transport infrastructure can take </w:t>
      </w:r>
      <w:r w:rsidR="005A44D6">
        <w:t xml:space="preserve">many </w:t>
      </w:r>
      <w:r>
        <w:t xml:space="preserve">different forms. The key </w:t>
      </w:r>
      <w:r w:rsidR="005A44D6">
        <w:t>for</w:t>
      </w:r>
      <w:r>
        <w:t xml:space="preserve"> government is to create investment structures that are realistic</w:t>
      </w:r>
      <w:r w:rsidR="005A44D6">
        <w:t>. The following core principles should be adhered to:</w:t>
      </w:r>
    </w:p>
    <w:p w14:paraId="7389E38D" w14:textId="77777777" w:rsidR="00D609A3" w:rsidRDefault="00D609A3" w:rsidP="003134CC"/>
    <w:p w14:paraId="0BEB8D90" w14:textId="77777777" w:rsidR="00D609A3" w:rsidRDefault="00D609A3" w:rsidP="00791C11">
      <w:pPr>
        <w:pStyle w:val="ListParagraph"/>
        <w:numPr>
          <w:ilvl w:val="0"/>
          <w:numId w:val="56"/>
        </w:numPr>
      </w:pPr>
      <w:r>
        <w:t xml:space="preserve">The investment product should be as simple as possible </w:t>
      </w:r>
      <w:r w:rsidR="00A950DB">
        <w:t xml:space="preserve">as complexity creates </w:t>
      </w:r>
      <w:r w:rsidR="00453BC2">
        <w:t xml:space="preserve">high </w:t>
      </w:r>
      <w:r w:rsidR="00A950DB">
        <w:t>transaction costs</w:t>
      </w:r>
    </w:p>
    <w:p w14:paraId="66A2922B" w14:textId="77777777" w:rsidR="00D609A3" w:rsidRDefault="00D609A3" w:rsidP="00791C11">
      <w:pPr>
        <w:pStyle w:val="ListParagraph"/>
        <w:numPr>
          <w:ilvl w:val="0"/>
          <w:numId w:val="56"/>
        </w:numPr>
      </w:pPr>
      <w:r>
        <w:t xml:space="preserve">Adapting global precedents will help to </w:t>
      </w:r>
      <w:r w:rsidR="00A950DB">
        <w:t>educate</w:t>
      </w:r>
      <w:r>
        <w:t xml:space="preserve"> domestic investors</w:t>
      </w:r>
      <w:r w:rsidR="00A950DB">
        <w:t xml:space="preserve"> more quickly</w:t>
      </w:r>
    </w:p>
    <w:p w14:paraId="05CE790E" w14:textId="77777777" w:rsidR="00C00694" w:rsidRDefault="00C00694" w:rsidP="00791C11">
      <w:pPr>
        <w:pStyle w:val="ListParagraph"/>
        <w:numPr>
          <w:ilvl w:val="0"/>
          <w:numId w:val="56"/>
        </w:numPr>
      </w:pPr>
      <w:r>
        <w:t xml:space="preserve">Government should work out which part of the market it is targeting and develop the investment product to attract that </w:t>
      </w:r>
      <w:r w:rsidR="00453BC2">
        <w:t xml:space="preserve">specific </w:t>
      </w:r>
      <w:r>
        <w:t>market</w:t>
      </w:r>
      <w:r w:rsidR="004064A3">
        <w:t xml:space="preserve"> with a risk/return profile that is attractive </w:t>
      </w:r>
    </w:p>
    <w:p w14:paraId="5D06C41C" w14:textId="77777777" w:rsidR="00D609A3" w:rsidRDefault="00A950DB" w:rsidP="00791C11">
      <w:pPr>
        <w:pStyle w:val="ListParagraph"/>
        <w:numPr>
          <w:ilvl w:val="0"/>
          <w:numId w:val="56"/>
        </w:numPr>
      </w:pPr>
      <w:r>
        <w:t xml:space="preserve">Government should accept reasonable levels of risk. </w:t>
      </w:r>
      <w:r w:rsidR="005A44D6">
        <w:t xml:space="preserve">Risk is priced into the </w:t>
      </w:r>
      <w:r>
        <w:t xml:space="preserve">transaction </w:t>
      </w:r>
      <w:r w:rsidR="005A44D6">
        <w:t xml:space="preserve">structure by investors and </w:t>
      </w:r>
      <w:r>
        <w:t>this can make</w:t>
      </w:r>
      <w:r w:rsidR="005A44D6">
        <w:t xml:space="preserve"> the</w:t>
      </w:r>
      <w:r w:rsidR="00D609A3">
        <w:t xml:space="preserve"> cost of finance very high</w:t>
      </w:r>
      <w:r w:rsidR="005A44D6">
        <w:t xml:space="preserve"> if high levels of risk are transferred</w:t>
      </w:r>
    </w:p>
    <w:p w14:paraId="679E3E96" w14:textId="77777777" w:rsidR="00B97A8A" w:rsidRDefault="00C00694" w:rsidP="00791C11">
      <w:pPr>
        <w:pStyle w:val="ListParagraph"/>
        <w:numPr>
          <w:ilvl w:val="0"/>
          <w:numId w:val="56"/>
        </w:numPr>
      </w:pPr>
      <w:r>
        <w:t>There needs to be scale</w:t>
      </w:r>
      <w:r w:rsidR="00453BC2">
        <w:t xml:space="preserve"> and</w:t>
      </w:r>
      <w:r>
        <w:t xml:space="preserve"> certainty </w:t>
      </w:r>
      <w:r w:rsidR="00453BC2">
        <w:t>for investment groups to make an allocation of funds to the product. They will not bother to skill themselves up to understand the product let alone compete internally for allocations of capital</w:t>
      </w:r>
      <w:r>
        <w:t xml:space="preserve"> </w:t>
      </w:r>
      <w:r w:rsidR="00453BC2">
        <w:t>otherwise</w:t>
      </w:r>
    </w:p>
    <w:p w14:paraId="3CD3E738" w14:textId="77777777" w:rsidR="00844269" w:rsidRDefault="00844269" w:rsidP="00791C11">
      <w:pPr>
        <w:pStyle w:val="ListParagraph"/>
        <w:numPr>
          <w:ilvl w:val="0"/>
          <w:numId w:val="56"/>
        </w:numPr>
      </w:pPr>
      <w:r>
        <w:t>Credit ratings do need to be considered</w:t>
      </w:r>
    </w:p>
    <w:p w14:paraId="285A2A4F" w14:textId="77777777" w:rsidR="00D80C4C" w:rsidRDefault="00D80C4C" w:rsidP="00791C11">
      <w:pPr>
        <w:pStyle w:val="ListParagraph"/>
        <w:numPr>
          <w:ilvl w:val="0"/>
          <w:numId w:val="56"/>
        </w:numPr>
      </w:pPr>
      <w:r>
        <w:t xml:space="preserve">Projects should be carefully selected on the basis of </w:t>
      </w:r>
      <w:r w:rsidR="006D2B10">
        <w:t xml:space="preserve">the </w:t>
      </w:r>
      <w:r w:rsidR="00844269">
        <w:t xml:space="preserve">highest and </w:t>
      </w:r>
      <w:r>
        <w:t xml:space="preserve">best benefit-cost outcomes so that they are </w:t>
      </w:r>
      <w:r w:rsidR="006D2B10">
        <w:t>accepted</w:t>
      </w:r>
      <w:r>
        <w:t xml:space="preserve"> by the market as tangibly improving the </w:t>
      </w:r>
      <w:r w:rsidR="006D2B10">
        <w:t xml:space="preserve">future </w:t>
      </w:r>
      <w:r>
        <w:t>performance and productivity of the economy.</w:t>
      </w:r>
      <w:r w:rsidR="00844269">
        <w:t xml:space="preserve"> </w:t>
      </w:r>
    </w:p>
    <w:p w14:paraId="2615DFCF" w14:textId="77777777" w:rsidR="00624C74" w:rsidRDefault="00624C74" w:rsidP="00624C74"/>
    <w:p w14:paraId="3037CA23" w14:textId="381FA550" w:rsidR="00844269" w:rsidRDefault="00624C74" w:rsidP="00624C74">
      <w:r>
        <w:t>Credit ratings must be considered in developing any new investment product. Australian government</w:t>
      </w:r>
      <w:r w:rsidR="0023586C">
        <w:t>s</w:t>
      </w:r>
      <w:r>
        <w:t xml:space="preserve"> generally have sound credit ratings. </w:t>
      </w:r>
    </w:p>
    <w:p w14:paraId="6752748F" w14:textId="77777777" w:rsidR="00844269" w:rsidRDefault="00844269" w:rsidP="00624C74"/>
    <w:p w14:paraId="614E759A" w14:textId="77777777" w:rsidR="00844269" w:rsidRDefault="00624C74" w:rsidP="00624C74">
      <w:r>
        <w:t xml:space="preserve">Credit ratings are not solely dependent on </w:t>
      </w:r>
      <w:r w:rsidR="00844269">
        <w:t xml:space="preserve">an </w:t>
      </w:r>
      <w:r>
        <w:t xml:space="preserve">assessment of debt levels now and in the future. They are complex assessments of the </w:t>
      </w:r>
      <w:r w:rsidR="00844269">
        <w:t xml:space="preserve">ongoing </w:t>
      </w:r>
      <w:r>
        <w:t xml:space="preserve">quality </w:t>
      </w:r>
      <w:r w:rsidR="00844269">
        <w:t xml:space="preserve">and performance </w:t>
      </w:r>
      <w:r>
        <w:t>of an</w:t>
      </w:r>
      <w:r w:rsidR="00844269">
        <w:t>y</w:t>
      </w:r>
      <w:r>
        <w:t xml:space="preserve"> economy. </w:t>
      </w:r>
    </w:p>
    <w:p w14:paraId="1A02851E" w14:textId="77777777" w:rsidR="00844269" w:rsidRDefault="00844269" w:rsidP="00624C74"/>
    <w:p w14:paraId="6DB98026" w14:textId="77777777" w:rsidR="00844269" w:rsidRDefault="00624C74" w:rsidP="00624C74">
      <w:r>
        <w:t xml:space="preserve">Investment in </w:t>
      </w:r>
      <w:r w:rsidR="00844269">
        <w:t xml:space="preserve">new </w:t>
      </w:r>
      <w:r>
        <w:t xml:space="preserve">public transport infrastructure is well known to have </w:t>
      </w:r>
      <w:r w:rsidR="00844269">
        <w:t xml:space="preserve">very </w:t>
      </w:r>
      <w:r>
        <w:t>positive economic and productivity benefits</w:t>
      </w:r>
      <w:r w:rsidR="00844269">
        <w:t xml:space="preserve"> that</w:t>
      </w:r>
      <w:r>
        <w:t xml:space="preserve"> </w:t>
      </w:r>
      <w:r w:rsidR="00844269">
        <w:t xml:space="preserve">will </w:t>
      </w:r>
      <w:r>
        <w:t>support the</w:t>
      </w:r>
      <w:r w:rsidR="00844269">
        <w:t xml:space="preserve"> successful</w:t>
      </w:r>
      <w:r>
        <w:t xml:space="preserve"> long term growth of </w:t>
      </w:r>
      <w:r w:rsidR="0027316E">
        <w:t>any</w:t>
      </w:r>
      <w:r>
        <w:t xml:space="preserve"> economy. </w:t>
      </w:r>
      <w:r w:rsidR="00844269">
        <w:t xml:space="preserve">Public transport projects focused on transit oriented development in key centres to enhance the knowledge economy will be particularly important to repositioning the Australian economy and will be well-received by the market. </w:t>
      </w:r>
    </w:p>
    <w:p w14:paraId="0076311D" w14:textId="77777777" w:rsidR="00844269" w:rsidRDefault="00844269" w:rsidP="00624C74"/>
    <w:p w14:paraId="5146CA06" w14:textId="7A315A9E" w:rsidR="00844269" w:rsidRDefault="00844269" w:rsidP="00624C74">
      <w:r>
        <w:t>C</w:t>
      </w:r>
      <w:r w:rsidR="00624C74">
        <w:t xml:space="preserve">redit ratings </w:t>
      </w:r>
      <w:r w:rsidR="004C4E0B">
        <w:t>may not</w:t>
      </w:r>
      <w:r>
        <w:t xml:space="preserve"> be</w:t>
      </w:r>
      <w:r w:rsidR="00624C74">
        <w:t xml:space="preserve"> negatively affected by logical and sound investment in new public transport infrastructure</w:t>
      </w:r>
      <w:r>
        <w:t xml:space="preserve"> that boosts the long term prospects of the national economy</w:t>
      </w:r>
      <w:r w:rsidR="00624C74">
        <w:t>. Rather,</w:t>
      </w:r>
      <w:r w:rsidR="0027316E">
        <w:t xml:space="preserve"> they</w:t>
      </w:r>
      <w:r w:rsidR="00624C74">
        <w:t xml:space="preserve"> </w:t>
      </w:r>
      <w:r w:rsidR="00300B91">
        <w:t xml:space="preserve">in conjunction with prudent fiscal management may </w:t>
      </w:r>
      <w:r w:rsidR="00624C74">
        <w:t>be seen as economy-building pr</w:t>
      </w:r>
      <w:r>
        <w:t>ojects that improved future eco</w:t>
      </w:r>
      <w:r w:rsidR="00624C74">
        <w:t xml:space="preserve">nomic </w:t>
      </w:r>
      <w:r>
        <w:t>performance of Australia</w:t>
      </w:r>
      <w:r w:rsidR="00624C74">
        <w:t>.</w:t>
      </w:r>
      <w:r w:rsidRPr="00844269">
        <w:t xml:space="preserve"> </w:t>
      </w:r>
    </w:p>
    <w:p w14:paraId="23C133A1" w14:textId="77777777" w:rsidR="00844269" w:rsidRDefault="00844269" w:rsidP="00624C74"/>
    <w:p w14:paraId="45E67890" w14:textId="77777777" w:rsidR="00624C74" w:rsidRDefault="0027316E" w:rsidP="00624C74">
      <w:r>
        <w:t>A clear explanation of the economic benefits of new public transport infrastructure</w:t>
      </w:r>
      <w:r w:rsidR="00844269">
        <w:t xml:space="preserve"> </w:t>
      </w:r>
      <w:r>
        <w:t xml:space="preserve">based on strong technical evidence </w:t>
      </w:r>
      <w:r w:rsidR="00844269">
        <w:t>will need to be integrated into project development and investment product development to give confidence to the investment market.</w:t>
      </w:r>
    </w:p>
    <w:p w14:paraId="35ABF452" w14:textId="77777777" w:rsidR="00D609A3" w:rsidRDefault="00D609A3" w:rsidP="003134CC"/>
    <w:p w14:paraId="20C8B69F" w14:textId="77777777" w:rsidR="000615FF" w:rsidRDefault="00844269" w:rsidP="003134CC">
      <w:r>
        <w:t>The following sub-sections examine some core issues in attracting investment to new public transport infrastructure in Australia.</w:t>
      </w:r>
    </w:p>
    <w:p w14:paraId="4F12BA84" w14:textId="77777777" w:rsidR="00624C74" w:rsidRDefault="00624C74" w:rsidP="00D759CD">
      <w:pPr>
        <w:rPr>
          <w:szCs w:val="20"/>
        </w:rPr>
      </w:pPr>
    </w:p>
    <w:p w14:paraId="1C8A421B" w14:textId="77777777" w:rsidR="00624C74" w:rsidRPr="00624C74" w:rsidRDefault="00624C74" w:rsidP="009861AC">
      <w:pPr>
        <w:pStyle w:val="Heading2"/>
      </w:pPr>
      <w:bookmarkStart w:id="71" w:name="_Toc430896850"/>
      <w:r w:rsidRPr="00624C74">
        <w:t>Market Scale and Capacity</w:t>
      </w:r>
      <w:bookmarkEnd w:id="71"/>
    </w:p>
    <w:p w14:paraId="7F16CBB7" w14:textId="526E4EF7" w:rsidR="00F740ED" w:rsidRDefault="00D759CD" w:rsidP="00D759CD">
      <w:pPr>
        <w:rPr>
          <w:szCs w:val="20"/>
        </w:rPr>
      </w:pPr>
      <w:r w:rsidRPr="001E3B94">
        <w:rPr>
          <w:szCs w:val="20"/>
        </w:rPr>
        <w:t>A threshold issue</w:t>
      </w:r>
      <w:r w:rsidR="00F740ED">
        <w:rPr>
          <w:szCs w:val="20"/>
        </w:rPr>
        <w:t xml:space="preserve"> in Australia </w:t>
      </w:r>
      <w:r w:rsidRPr="001E3B94">
        <w:rPr>
          <w:szCs w:val="20"/>
        </w:rPr>
        <w:t xml:space="preserve">is </w:t>
      </w:r>
      <w:r w:rsidR="00F740ED">
        <w:rPr>
          <w:szCs w:val="20"/>
        </w:rPr>
        <w:t xml:space="preserve">to </w:t>
      </w:r>
      <w:r w:rsidR="00C0506C">
        <w:rPr>
          <w:szCs w:val="20"/>
        </w:rPr>
        <w:t>determine whether</w:t>
      </w:r>
      <w:r w:rsidR="00F740ED">
        <w:rPr>
          <w:szCs w:val="20"/>
        </w:rPr>
        <w:t xml:space="preserve"> the</w:t>
      </w:r>
      <w:r w:rsidRPr="001E3B94">
        <w:rPr>
          <w:szCs w:val="20"/>
        </w:rPr>
        <w:t xml:space="preserve"> </w:t>
      </w:r>
      <w:r w:rsidR="004C4E0B">
        <w:rPr>
          <w:szCs w:val="20"/>
        </w:rPr>
        <w:t>investment</w:t>
      </w:r>
      <w:r w:rsidR="00977D5F">
        <w:rPr>
          <w:szCs w:val="20"/>
        </w:rPr>
        <w:t xml:space="preserve"> market</w:t>
      </w:r>
      <w:r w:rsidRPr="001E3B94">
        <w:rPr>
          <w:szCs w:val="20"/>
        </w:rPr>
        <w:t xml:space="preserve"> has the market scale, </w:t>
      </w:r>
      <w:r w:rsidR="00F740ED">
        <w:rPr>
          <w:szCs w:val="20"/>
        </w:rPr>
        <w:t xml:space="preserve">financial </w:t>
      </w:r>
      <w:r w:rsidRPr="001E3B94">
        <w:rPr>
          <w:szCs w:val="20"/>
        </w:rPr>
        <w:t xml:space="preserve">capacity, product knowledge and appetite to participate in a </w:t>
      </w:r>
      <w:r w:rsidR="00BA0850">
        <w:rPr>
          <w:szCs w:val="20"/>
        </w:rPr>
        <w:t>new</w:t>
      </w:r>
      <w:r w:rsidRPr="001E3B94">
        <w:rPr>
          <w:szCs w:val="20"/>
        </w:rPr>
        <w:t xml:space="preserve"> product</w:t>
      </w:r>
      <w:r w:rsidR="00624C74">
        <w:rPr>
          <w:szCs w:val="20"/>
        </w:rPr>
        <w:t xml:space="preserve"> which would help to fund public transport </w:t>
      </w:r>
      <w:r w:rsidR="007217AE">
        <w:rPr>
          <w:szCs w:val="20"/>
        </w:rPr>
        <w:t>infrastructure</w:t>
      </w:r>
      <w:r w:rsidR="00624C74">
        <w:rPr>
          <w:szCs w:val="20"/>
        </w:rPr>
        <w:t xml:space="preserve">. </w:t>
      </w:r>
      <w:r w:rsidRPr="001E3B94">
        <w:rPr>
          <w:szCs w:val="20"/>
        </w:rPr>
        <w:t xml:space="preserve"> </w:t>
      </w:r>
    </w:p>
    <w:p w14:paraId="38AD9E37" w14:textId="77777777" w:rsidR="00C0506C" w:rsidRDefault="00C0506C" w:rsidP="00D759CD">
      <w:pPr>
        <w:rPr>
          <w:szCs w:val="20"/>
        </w:rPr>
      </w:pPr>
    </w:p>
    <w:p w14:paraId="779B74AD" w14:textId="626DC60D" w:rsidR="00C0506C" w:rsidRDefault="00483950" w:rsidP="00D759CD">
      <w:pPr>
        <w:rPr>
          <w:szCs w:val="20"/>
        </w:rPr>
      </w:pPr>
      <w:r>
        <w:rPr>
          <w:szCs w:val="20"/>
        </w:rPr>
        <w:t>This groundwork is important so that any</w:t>
      </w:r>
      <w:r w:rsidR="00C0506C">
        <w:rPr>
          <w:szCs w:val="20"/>
        </w:rPr>
        <w:t xml:space="preserve"> investment product created </w:t>
      </w:r>
      <w:r>
        <w:rPr>
          <w:szCs w:val="20"/>
        </w:rPr>
        <w:t xml:space="preserve">from value capture mechanisms </w:t>
      </w:r>
      <w:r w:rsidR="00C0506C">
        <w:rPr>
          <w:szCs w:val="20"/>
        </w:rPr>
        <w:t xml:space="preserve">could be appropriately structured to </w:t>
      </w:r>
      <w:r w:rsidR="00E528E7">
        <w:rPr>
          <w:szCs w:val="20"/>
        </w:rPr>
        <w:t xml:space="preserve">be embraced by the </w:t>
      </w:r>
      <w:r w:rsidR="00C0506C">
        <w:rPr>
          <w:szCs w:val="20"/>
        </w:rPr>
        <w:t xml:space="preserve">market. </w:t>
      </w:r>
    </w:p>
    <w:p w14:paraId="701E2BAB" w14:textId="77777777" w:rsidR="00977D5F" w:rsidRDefault="00977D5F" w:rsidP="00D759CD">
      <w:pPr>
        <w:rPr>
          <w:szCs w:val="20"/>
        </w:rPr>
      </w:pPr>
    </w:p>
    <w:p w14:paraId="12C6AD91" w14:textId="0F29457A" w:rsidR="00977D5F" w:rsidRDefault="00977D5F" w:rsidP="00977D5F">
      <w:pPr>
        <w:pStyle w:val="CommentText"/>
      </w:pPr>
      <w:r>
        <w:lastRenderedPageBreak/>
        <w:t>A bond product could attract superannuation</w:t>
      </w:r>
      <w:r w:rsidRPr="00977D5F">
        <w:t xml:space="preserve"> </w:t>
      </w:r>
      <w:r>
        <w:t>funds, other institutional investors, insurance companies and anyone with an appetite for fixed interest products.</w:t>
      </w:r>
    </w:p>
    <w:p w14:paraId="507E27B8" w14:textId="77777777" w:rsidR="00977D5F" w:rsidRDefault="00977D5F" w:rsidP="00D759CD">
      <w:pPr>
        <w:rPr>
          <w:szCs w:val="20"/>
        </w:rPr>
      </w:pPr>
    </w:p>
    <w:p w14:paraId="28921761" w14:textId="77777777" w:rsidR="00F740ED" w:rsidRDefault="00F740ED" w:rsidP="00D759CD">
      <w:pPr>
        <w:rPr>
          <w:szCs w:val="20"/>
        </w:rPr>
      </w:pPr>
    </w:p>
    <w:p w14:paraId="0A9CE712" w14:textId="07B88903" w:rsidR="00624C74" w:rsidRDefault="00530FD2" w:rsidP="00624C74">
      <w:r>
        <w:rPr>
          <w:szCs w:val="20"/>
        </w:rPr>
        <w:t>S</w:t>
      </w:r>
      <w:r w:rsidRPr="001E3B94">
        <w:rPr>
          <w:szCs w:val="20"/>
        </w:rPr>
        <w:t xml:space="preserve">uperannuation funds are </w:t>
      </w:r>
      <w:r>
        <w:rPr>
          <w:szCs w:val="20"/>
        </w:rPr>
        <w:t xml:space="preserve">often </w:t>
      </w:r>
      <w:r w:rsidRPr="001E3B94">
        <w:rPr>
          <w:szCs w:val="20"/>
        </w:rPr>
        <w:t xml:space="preserve">cited as </w:t>
      </w:r>
      <w:r>
        <w:rPr>
          <w:szCs w:val="20"/>
        </w:rPr>
        <w:t>a</w:t>
      </w:r>
      <w:r w:rsidRPr="001E3B94">
        <w:rPr>
          <w:szCs w:val="20"/>
        </w:rPr>
        <w:t xml:space="preserve"> target investor group </w:t>
      </w:r>
      <w:r>
        <w:rPr>
          <w:szCs w:val="20"/>
        </w:rPr>
        <w:t>for government assets. Funds have become active investing in low risk, user pays infrastructure with predictable yields. The recent sale of Sydney and Newcastle Ports is an example. Th</w:t>
      </w:r>
      <w:r w:rsidR="007C2F03">
        <w:rPr>
          <w:szCs w:val="20"/>
        </w:rPr>
        <w:t>is</w:t>
      </w:r>
      <w:r>
        <w:rPr>
          <w:szCs w:val="20"/>
        </w:rPr>
        <w:t xml:space="preserve"> concession was acquired by a consortium dominated by Australian superannuation funds.</w:t>
      </w:r>
      <w:r w:rsidR="007C2F03">
        <w:rPr>
          <w:szCs w:val="20"/>
        </w:rPr>
        <w:t xml:space="preserve"> </w:t>
      </w:r>
      <w:r w:rsidR="00A96023">
        <w:t xml:space="preserve">Superannuation </w:t>
      </w:r>
      <w:r w:rsidR="00624C74">
        <w:t xml:space="preserve">funds are not a bottomless pit of footloose capital with a broad social responsibility mandate to assist Australia. They are rigorous in allocating funds to optimise returns for their members, who are retirees needing stable incomes to plan for retirement. They have very diverse portfolios in which different products compete for allocations each year. </w:t>
      </w:r>
    </w:p>
    <w:p w14:paraId="40596492" w14:textId="77777777" w:rsidR="00624C74" w:rsidRDefault="00624C74" w:rsidP="00624C74"/>
    <w:p w14:paraId="4074165F" w14:textId="77777777" w:rsidR="00624C74" w:rsidRDefault="00624C74" w:rsidP="00624C74">
      <w:r>
        <w:t>It takes time to introduce a new investment product to the market and for the market to accept this product and make an allocation to it.</w:t>
      </w:r>
    </w:p>
    <w:p w14:paraId="408B127A" w14:textId="77777777" w:rsidR="00624C74" w:rsidRDefault="00624C74" w:rsidP="00530FD2">
      <w:pPr>
        <w:rPr>
          <w:szCs w:val="20"/>
        </w:rPr>
      </w:pPr>
    </w:p>
    <w:p w14:paraId="3250B59A" w14:textId="77777777" w:rsidR="00D759CD" w:rsidRDefault="00D759CD" w:rsidP="00D759CD">
      <w:pPr>
        <w:rPr>
          <w:szCs w:val="20"/>
        </w:rPr>
      </w:pPr>
      <w:r w:rsidRPr="001E3B94">
        <w:rPr>
          <w:szCs w:val="20"/>
        </w:rPr>
        <w:t xml:space="preserve">Australia has a well-developed funds management sector. Recent ABS data (March 2015) indicates that managed funds totalled AU$2.6 trillion with superannuation funds </w:t>
      </w:r>
      <w:r w:rsidR="00F679E6">
        <w:rPr>
          <w:szCs w:val="20"/>
        </w:rPr>
        <w:t>making up</w:t>
      </w:r>
      <w:r w:rsidRPr="001E3B94">
        <w:rPr>
          <w:szCs w:val="20"/>
        </w:rPr>
        <w:t xml:space="preserve"> </w:t>
      </w:r>
      <w:r w:rsidR="00BD6321">
        <w:rPr>
          <w:szCs w:val="20"/>
        </w:rPr>
        <w:t xml:space="preserve">a further </w:t>
      </w:r>
      <w:r w:rsidRPr="001E3B94">
        <w:rPr>
          <w:szCs w:val="20"/>
        </w:rPr>
        <w:t>AU$1.95 trillion. The sector is growing rapidly:</w:t>
      </w:r>
    </w:p>
    <w:p w14:paraId="5D53A245" w14:textId="77777777" w:rsidR="00A14D0C" w:rsidRPr="001E3B94" w:rsidRDefault="00A14D0C" w:rsidP="00D759CD">
      <w:pPr>
        <w:rPr>
          <w:szCs w:val="20"/>
        </w:rPr>
      </w:pPr>
    </w:p>
    <w:p w14:paraId="6C851C49" w14:textId="3EE85E3A" w:rsidR="00D759CD" w:rsidRPr="001E3B94" w:rsidRDefault="00D759CD" w:rsidP="00791C11">
      <w:pPr>
        <w:numPr>
          <w:ilvl w:val="0"/>
          <w:numId w:val="22"/>
        </w:numPr>
        <w:shd w:val="clear" w:color="auto" w:fill="FFFFFF"/>
        <w:rPr>
          <w:rFonts w:eastAsia="Times New Roman" w:cs="Arial"/>
          <w:color w:val="000000"/>
          <w:szCs w:val="20"/>
        </w:rPr>
      </w:pPr>
      <w:r w:rsidRPr="001E3B94">
        <w:rPr>
          <w:rFonts w:eastAsia="Times New Roman" w:cs="Arial"/>
          <w:color w:val="000000"/>
          <w:szCs w:val="20"/>
        </w:rPr>
        <w:t>A</w:t>
      </w:r>
      <w:r w:rsidR="008F2B77">
        <w:rPr>
          <w:rFonts w:eastAsia="Times New Roman" w:cs="Arial"/>
          <w:color w:val="000000"/>
          <w:szCs w:val="20"/>
        </w:rPr>
        <w:t>s a</w:t>
      </w:r>
      <w:r w:rsidRPr="001E3B94">
        <w:rPr>
          <w:rFonts w:eastAsia="Times New Roman" w:cs="Arial"/>
          <w:color w:val="000000"/>
          <w:szCs w:val="20"/>
        </w:rPr>
        <w:t>t 31 March 2015, consolidated assets of managed funds w</w:t>
      </w:r>
      <w:r w:rsidR="00F679E6">
        <w:rPr>
          <w:rFonts w:eastAsia="Times New Roman" w:cs="Arial"/>
          <w:color w:val="000000"/>
          <w:szCs w:val="20"/>
        </w:rPr>
        <w:t>as</w:t>
      </w:r>
      <w:r w:rsidRPr="001E3B94">
        <w:rPr>
          <w:rFonts w:eastAsia="Times New Roman" w:cs="Arial"/>
          <w:color w:val="000000"/>
          <w:szCs w:val="20"/>
        </w:rPr>
        <w:t xml:space="preserve"> $2,073.0</w:t>
      </w:r>
      <w:r w:rsidR="000D258D">
        <w:rPr>
          <w:rFonts w:eastAsia="Times New Roman" w:cs="Arial"/>
          <w:color w:val="000000"/>
          <w:szCs w:val="20"/>
        </w:rPr>
        <w:t xml:space="preserve"> </w:t>
      </w:r>
      <w:r w:rsidRPr="001E3B94">
        <w:rPr>
          <w:rFonts w:eastAsia="Times New Roman" w:cs="Arial"/>
          <w:color w:val="000000"/>
          <w:szCs w:val="20"/>
        </w:rPr>
        <w:t>b</w:t>
      </w:r>
      <w:r w:rsidR="000D258D">
        <w:rPr>
          <w:rFonts w:eastAsia="Times New Roman" w:cs="Arial"/>
          <w:color w:val="000000"/>
          <w:szCs w:val="20"/>
        </w:rPr>
        <w:t>illion</w:t>
      </w:r>
      <w:r w:rsidRPr="001E3B94">
        <w:rPr>
          <w:rFonts w:eastAsia="Times New Roman" w:cs="Arial"/>
          <w:color w:val="000000"/>
          <w:szCs w:val="20"/>
        </w:rPr>
        <w:t xml:space="preserve"> - increas</w:t>
      </w:r>
      <w:r w:rsidR="000D258D">
        <w:rPr>
          <w:rFonts w:eastAsia="Times New Roman" w:cs="Arial"/>
          <w:color w:val="000000"/>
          <w:szCs w:val="20"/>
        </w:rPr>
        <w:t>ing</w:t>
      </w:r>
      <w:r w:rsidRPr="001E3B94">
        <w:rPr>
          <w:rFonts w:eastAsia="Times New Roman" w:cs="Arial"/>
          <w:color w:val="000000"/>
          <w:szCs w:val="20"/>
        </w:rPr>
        <w:t xml:space="preserve"> $100.3</w:t>
      </w:r>
      <w:r w:rsidR="000D258D">
        <w:rPr>
          <w:rFonts w:eastAsia="Times New Roman" w:cs="Arial"/>
          <w:color w:val="000000"/>
          <w:szCs w:val="20"/>
        </w:rPr>
        <w:t xml:space="preserve"> </w:t>
      </w:r>
      <w:r w:rsidRPr="001E3B94">
        <w:rPr>
          <w:rFonts w:eastAsia="Times New Roman" w:cs="Arial"/>
          <w:color w:val="000000"/>
          <w:szCs w:val="20"/>
        </w:rPr>
        <w:t>b</w:t>
      </w:r>
      <w:r w:rsidR="000D258D">
        <w:rPr>
          <w:rFonts w:eastAsia="Times New Roman" w:cs="Arial"/>
          <w:color w:val="000000"/>
          <w:szCs w:val="20"/>
        </w:rPr>
        <w:t>illion</w:t>
      </w:r>
      <w:r w:rsidRPr="001E3B94">
        <w:rPr>
          <w:rFonts w:eastAsia="Times New Roman" w:cs="Arial"/>
          <w:color w:val="000000"/>
          <w:szCs w:val="20"/>
        </w:rPr>
        <w:t xml:space="preserve"> (5%) on </w:t>
      </w:r>
      <w:r w:rsidR="00BD6321">
        <w:rPr>
          <w:rFonts w:eastAsia="Times New Roman" w:cs="Arial"/>
          <w:color w:val="000000"/>
          <w:szCs w:val="20"/>
        </w:rPr>
        <w:t>Q4/2014</w:t>
      </w:r>
    </w:p>
    <w:p w14:paraId="499B19F3" w14:textId="77777777" w:rsidR="00D759CD" w:rsidRPr="001E3B94" w:rsidRDefault="00D759CD" w:rsidP="00791C11">
      <w:pPr>
        <w:numPr>
          <w:ilvl w:val="0"/>
          <w:numId w:val="22"/>
        </w:numPr>
        <w:shd w:val="clear" w:color="auto" w:fill="FFFFFF"/>
        <w:rPr>
          <w:rFonts w:eastAsia="Times New Roman" w:cs="Arial"/>
          <w:color w:val="000000"/>
          <w:szCs w:val="20"/>
        </w:rPr>
      </w:pPr>
      <w:r w:rsidRPr="001E3B94">
        <w:rPr>
          <w:rFonts w:eastAsia="Times New Roman" w:cs="Arial"/>
          <w:color w:val="000000"/>
          <w:szCs w:val="20"/>
        </w:rPr>
        <w:t xml:space="preserve">Superannuation funds had increased 8% in Q1/2015 to $1,952,761 </w:t>
      </w:r>
      <w:r w:rsidR="00BD6321" w:rsidRPr="001E3B94">
        <w:rPr>
          <w:rFonts w:eastAsia="Times New Roman" w:cs="Arial"/>
          <w:color w:val="000000"/>
          <w:szCs w:val="20"/>
        </w:rPr>
        <w:t>b</w:t>
      </w:r>
      <w:r w:rsidR="00BD6321">
        <w:rPr>
          <w:rFonts w:eastAsia="Times New Roman" w:cs="Arial"/>
          <w:color w:val="000000"/>
          <w:szCs w:val="20"/>
        </w:rPr>
        <w:t>illion.</w:t>
      </w:r>
    </w:p>
    <w:p w14:paraId="5E3F5BD0" w14:textId="77777777" w:rsidR="00D759CD" w:rsidRPr="001E3B94" w:rsidRDefault="00D759CD" w:rsidP="00D759CD">
      <w:pPr>
        <w:shd w:val="clear" w:color="auto" w:fill="FFFFFF"/>
        <w:rPr>
          <w:rFonts w:eastAsia="Times New Roman" w:cs="Arial"/>
          <w:color w:val="000000"/>
          <w:szCs w:val="20"/>
        </w:rPr>
      </w:pPr>
    </w:p>
    <w:p w14:paraId="3FB220EA" w14:textId="77777777" w:rsidR="00D759CD" w:rsidRDefault="00D759CD" w:rsidP="00D759CD">
      <w:pPr>
        <w:rPr>
          <w:szCs w:val="20"/>
        </w:rPr>
      </w:pPr>
      <w:r w:rsidRPr="001E3B94">
        <w:rPr>
          <w:szCs w:val="20"/>
        </w:rPr>
        <w:t>The superannuation sector of funds management is forecast to grow strongly in future years:</w:t>
      </w:r>
    </w:p>
    <w:p w14:paraId="2FA58F7E" w14:textId="77777777" w:rsidR="00A14D0C" w:rsidRPr="001E3B94" w:rsidRDefault="00A14D0C" w:rsidP="00D759CD">
      <w:pPr>
        <w:rPr>
          <w:szCs w:val="20"/>
        </w:rPr>
      </w:pPr>
    </w:p>
    <w:p w14:paraId="7D7EB07B" w14:textId="77777777" w:rsidR="00D759CD" w:rsidRPr="005B3FE1" w:rsidRDefault="00D759CD" w:rsidP="00D759CD">
      <w:pPr>
        <w:autoSpaceDE w:val="0"/>
        <w:autoSpaceDN w:val="0"/>
        <w:adjustRightInd w:val="0"/>
        <w:ind w:left="720"/>
        <w:rPr>
          <w:rFonts w:ascii="Arial" w:eastAsiaTheme="minorHAnsi" w:hAnsi="Arial" w:cs="XOHCZX+AkzidenzGrotesk-Black"/>
          <w:bCs/>
          <w:color w:val="000000"/>
          <w:kern w:val="0"/>
          <w:szCs w:val="20"/>
          <w:lang w:val="en-AU" w:eastAsia="en-US"/>
        </w:rPr>
      </w:pPr>
      <w:r w:rsidRPr="005B3FE1">
        <w:rPr>
          <w:rFonts w:eastAsiaTheme="minorHAnsi" w:cs="JGXWLZ+TheSans-B3Light"/>
          <w:color w:val="000000"/>
          <w:kern w:val="0"/>
          <w:szCs w:val="20"/>
          <w:lang w:val="en-AU" w:eastAsia="en-US"/>
        </w:rPr>
        <w:t>Australia has one of the largest and fastest growing funds management sectors in the world. Its growth is underpinned by Australia’s government-mandated retirement scheme (superannuation), which will increase progressively from 9 per cent to 12 per cent of salary by 2019-2020. [</w:t>
      </w:r>
      <w:r w:rsidRPr="005B3FE1">
        <w:rPr>
          <w:rFonts w:eastAsiaTheme="minorHAnsi" w:cs="Arial"/>
          <w:color w:val="000000"/>
          <w:kern w:val="0"/>
          <w:szCs w:val="20"/>
          <w:lang w:val="en-AU" w:eastAsia="en-US"/>
        </w:rPr>
        <w:t xml:space="preserve">Australian Government, </w:t>
      </w:r>
      <w:r w:rsidRPr="005B3FE1">
        <w:rPr>
          <w:rFonts w:ascii="Arial" w:eastAsiaTheme="minorHAnsi" w:hAnsi="Arial" w:cs="Arial"/>
          <w:color w:val="000000"/>
          <w:kern w:val="0"/>
          <w:szCs w:val="20"/>
          <w:lang w:val="en-AU" w:eastAsia="en-US"/>
        </w:rPr>
        <w:t>“</w:t>
      </w:r>
      <w:r w:rsidRPr="005B3FE1">
        <w:rPr>
          <w:rFonts w:eastAsiaTheme="minorHAnsi" w:cs="XOHCZX+AkzidenzGrotesk-Black"/>
          <w:bCs/>
          <w:color w:val="000000"/>
          <w:kern w:val="0"/>
          <w:szCs w:val="20"/>
          <w:lang w:val="en-AU" w:eastAsia="en-US"/>
        </w:rPr>
        <w:t>Investment Management Industry in Australia.</w:t>
      </w:r>
      <w:r w:rsidRPr="005B3FE1">
        <w:rPr>
          <w:rFonts w:ascii="Arial" w:eastAsiaTheme="minorHAnsi" w:hAnsi="Arial" w:cs="XOHCZX+AkzidenzGrotesk-Black"/>
          <w:bCs/>
          <w:color w:val="000000"/>
          <w:kern w:val="0"/>
          <w:szCs w:val="20"/>
          <w:lang w:val="en-AU" w:eastAsia="en-US"/>
        </w:rPr>
        <w:t>”</w:t>
      </w:r>
      <w:r w:rsidR="005B3663">
        <w:rPr>
          <w:rFonts w:ascii="Arial" w:eastAsiaTheme="minorHAnsi" w:hAnsi="Arial" w:cs="XOHCZX+AkzidenzGrotesk-Black"/>
          <w:bCs/>
          <w:color w:val="000000"/>
          <w:kern w:val="0"/>
          <w:szCs w:val="20"/>
          <w:lang w:val="en-AU" w:eastAsia="en-US"/>
        </w:rPr>
        <w:t>]</w:t>
      </w:r>
    </w:p>
    <w:p w14:paraId="00456B7A" w14:textId="77777777" w:rsidR="00D759CD" w:rsidRPr="001E3B94" w:rsidRDefault="00D759CD" w:rsidP="00D759CD">
      <w:pPr>
        <w:autoSpaceDE w:val="0"/>
        <w:autoSpaceDN w:val="0"/>
        <w:adjustRightInd w:val="0"/>
        <w:ind w:left="720"/>
        <w:rPr>
          <w:rFonts w:ascii="Arial" w:eastAsiaTheme="minorHAnsi" w:hAnsi="Arial" w:cs="XOHCZX+AkzidenzGrotesk-Black"/>
          <w:bCs/>
          <w:color w:val="000000"/>
          <w:kern w:val="0"/>
          <w:szCs w:val="20"/>
          <w:lang w:val="en-AU" w:eastAsia="en-US"/>
        </w:rPr>
      </w:pPr>
    </w:p>
    <w:p w14:paraId="0238E67D" w14:textId="77777777" w:rsidR="00D759CD" w:rsidRPr="001E3B94" w:rsidRDefault="00D759CD" w:rsidP="00D759CD">
      <w:pPr>
        <w:shd w:val="clear" w:color="auto" w:fill="FFFFFF"/>
        <w:rPr>
          <w:rFonts w:eastAsia="Times New Roman" w:cs="Times New Roman"/>
          <w:kern w:val="0"/>
          <w:szCs w:val="20"/>
          <w:lang w:val="en-AU" w:eastAsia="ja-JP"/>
        </w:rPr>
      </w:pPr>
      <w:r w:rsidRPr="001E3B94">
        <w:rPr>
          <w:rFonts w:eastAsia="Times New Roman" w:cs="Times New Roman"/>
          <w:kern w:val="0"/>
          <w:szCs w:val="20"/>
          <w:lang w:val="en-AU" w:eastAsia="ja-JP"/>
        </w:rPr>
        <w:t>Deloitte Touche Tohmatsu estimated that the pool of Australian pension assets will grow to A$7.6 trillion by 2033.</w:t>
      </w:r>
    </w:p>
    <w:p w14:paraId="5BEF019B" w14:textId="77777777" w:rsidR="00D759CD" w:rsidRPr="001E3B94" w:rsidRDefault="00D759CD" w:rsidP="00D759CD">
      <w:pPr>
        <w:rPr>
          <w:szCs w:val="20"/>
        </w:rPr>
      </w:pPr>
    </w:p>
    <w:p w14:paraId="7B1D885C" w14:textId="38A168F4" w:rsidR="00D759CD" w:rsidRPr="001E3B94" w:rsidRDefault="00D759CD" w:rsidP="00D759CD">
      <w:pPr>
        <w:rPr>
          <w:szCs w:val="20"/>
        </w:rPr>
      </w:pPr>
      <w:r w:rsidRPr="001E3B94">
        <w:rPr>
          <w:szCs w:val="20"/>
        </w:rPr>
        <w:t>Australian superannuation funds are still the most domestically focused in the world after US investors (Towers Watson 2014 Global Pension Study)</w:t>
      </w:r>
      <w:r w:rsidR="0023586C">
        <w:rPr>
          <w:szCs w:val="20"/>
        </w:rPr>
        <w:t>,</w:t>
      </w:r>
      <w:r w:rsidRPr="001E3B94">
        <w:rPr>
          <w:szCs w:val="20"/>
        </w:rPr>
        <w:t xml:space="preserve"> </w:t>
      </w:r>
      <w:r w:rsidR="0023586C">
        <w:rPr>
          <w:szCs w:val="20"/>
        </w:rPr>
        <w:t>b</w:t>
      </w:r>
      <w:r w:rsidRPr="001E3B94">
        <w:rPr>
          <w:szCs w:val="20"/>
        </w:rPr>
        <w:t xml:space="preserve">ut this is changing. Australia is a small market globally with a </w:t>
      </w:r>
      <w:r w:rsidR="002E7256">
        <w:rPr>
          <w:szCs w:val="20"/>
        </w:rPr>
        <w:t>modest</w:t>
      </w:r>
      <w:r w:rsidRPr="001E3B94">
        <w:rPr>
          <w:szCs w:val="20"/>
        </w:rPr>
        <w:t xml:space="preserve"> share market (ASX is 2.3% of global size) and a tight concentration of investment-grade domestic industries and dominant stocks. It is far too small to absorb $1.9 trillion of </w:t>
      </w:r>
      <w:r w:rsidR="007C6009">
        <w:rPr>
          <w:szCs w:val="20"/>
        </w:rPr>
        <w:t>superannuation</w:t>
      </w:r>
      <w:r w:rsidRPr="001E3B94">
        <w:rPr>
          <w:szCs w:val="20"/>
        </w:rPr>
        <w:t xml:space="preserve"> funds which is growing rapidly. Therefore, Australian superannuation funds are investing globally. In 2014, 48% of equity investments occurred in foreign markets. In December 2013, offshore investment exceeded foreign investment into Australia for the first time on record by $23 billion. Bloomberg recently reported that REST, which manages approximately $30 billion for retail workers, allocated almost 100% of new equity investment offshore in 2013. This resulted in increased profits of 15.3% YOY. Australian Super has 40% of its $65b portfolio in foreign equities and bonds (June 2013 data) – up from 31% in 2011. Its investments in that period included major global firms such as Google, Disney, Visa, UPS and Honeywell. Therefore, </w:t>
      </w:r>
      <w:r w:rsidR="00397D55">
        <w:rPr>
          <w:szCs w:val="20"/>
        </w:rPr>
        <w:t>new investment products</w:t>
      </w:r>
      <w:r w:rsidRPr="001E3B94">
        <w:rPr>
          <w:szCs w:val="20"/>
        </w:rPr>
        <w:t xml:space="preserve"> will have to compete on a global platform. </w:t>
      </w:r>
    </w:p>
    <w:p w14:paraId="3705355F" w14:textId="77777777" w:rsidR="00D759CD" w:rsidRPr="001E3B94" w:rsidRDefault="00D759CD" w:rsidP="00D759CD">
      <w:pPr>
        <w:rPr>
          <w:szCs w:val="20"/>
        </w:rPr>
      </w:pPr>
    </w:p>
    <w:p w14:paraId="5DDD5267" w14:textId="77777777" w:rsidR="00D759CD" w:rsidRDefault="007C2F03" w:rsidP="00D759CD">
      <w:pPr>
        <w:rPr>
          <w:szCs w:val="20"/>
        </w:rPr>
      </w:pPr>
      <w:r>
        <w:rPr>
          <w:szCs w:val="20"/>
        </w:rPr>
        <w:t>Gl</w:t>
      </w:r>
      <w:r w:rsidR="00D759CD" w:rsidRPr="001E3B94">
        <w:rPr>
          <w:szCs w:val="20"/>
        </w:rPr>
        <w:t>obal invest</w:t>
      </w:r>
      <w:r>
        <w:rPr>
          <w:szCs w:val="20"/>
        </w:rPr>
        <w:t>ors are</w:t>
      </w:r>
      <w:r w:rsidR="00F15874">
        <w:rPr>
          <w:szCs w:val="20"/>
        </w:rPr>
        <w:t xml:space="preserve"> also entering the Australian market vigorously</w:t>
      </w:r>
      <w:r w:rsidR="00D759CD" w:rsidRPr="001E3B94">
        <w:rPr>
          <w:szCs w:val="20"/>
        </w:rPr>
        <w:t xml:space="preserve"> due to </w:t>
      </w:r>
      <w:r w:rsidR="00CD464C">
        <w:rPr>
          <w:szCs w:val="20"/>
        </w:rPr>
        <w:t xml:space="preserve">its </w:t>
      </w:r>
      <w:r w:rsidR="00D759CD" w:rsidRPr="001E3B94">
        <w:rPr>
          <w:szCs w:val="20"/>
        </w:rPr>
        <w:t>high security, stability</w:t>
      </w:r>
      <w:r w:rsidR="00F15874">
        <w:rPr>
          <w:szCs w:val="20"/>
        </w:rPr>
        <w:t xml:space="preserve"> and</w:t>
      </w:r>
      <w:r w:rsidR="00D759CD" w:rsidRPr="001E3B94">
        <w:rPr>
          <w:szCs w:val="20"/>
        </w:rPr>
        <w:t xml:space="preserve"> low risk as well as the value now being generated from a lower Australian dollar. A recent example is the announcement in June 2015 of Berkshire Hathaway entering into a 10 year strategic partnership with IAG worth AU$500 million. The Reserve Bank of Australia (RBA) publishes data on foreign investment in Australia. The </w:t>
      </w:r>
      <w:r w:rsidR="00AD4B5B">
        <w:rPr>
          <w:szCs w:val="20"/>
        </w:rPr>
        <w:t xml:space="preserve">RBA </w:t>
      </w:r>
      <w:r w:rsidR="00D759CD" w:rsidRPr="001E3B94">
        <w:rPr>
          <w:szCs w:val="20"/>
        </w:rPr>
        <w:t>Bulletin, “Foreign Investment in Australian Commercial Property”</w:t>
      </w:r>
      <w:r w:rsidR="00D759CD">
        <w:rPr>
          <w:szCs w:val="20"/>
        </w:rPr>
        <w:t xml:space="preserve"> </w:t>
      </w:r>
      <w:r w:rsidR="00D759CD" w:rsidRPr="001E3B94">
        <w:rPr>
          <w:szCs w:val="20"/>
        </w:rPr>
        <w:t>(September Quarter, 2014)</w:t>
      </w:r>
      <w:r w:rsidR="00A14D0C">
        <w:rPr>
          <w:szCs w:val="20"/>
        </w:rPr>
        <w:t>,</w:t>
      </w:r>
      <w:r w:rsidR="00D759CD" w:rsidRPr="001E3B94">
        <w:rPr>
          <w:szCs w:val="20"/>
        </w:rPr>
        <w:t xml:space="preserve"> showed that sovereign wealth funds and pension funds were becoming increasingly active in the Australian market. </w:t>
      </w:r>
    </w:p>
    <w:p w14:paraId="5E406B51" w14:textId="77777777" w:rsidR="001A2CCE" w:rsidRDefault="001A2CCE" w:rsidP="00D759CD">
      <w:pPr>
        <w:rPr>
          <w:rFonts w:eastAsia="Times New Roman" w:cs="Tahoma"/>
          <w:color w:val="000000"/>
          <w:szCs w:val="20"/>
        </w:rPr>
      </w:pPr>
    </w:p>
    <w:p w14:paraId="6861D97E" w14:textId="77777777" w:rsidR="005870FA" w:rsidRPr="00DF4E71" w:rsidRDefault="005870FA" w:rsidP="00D759CD">
      <w:pPr>
        <w:rPr>
          <w:rFonts w:eastAsia="Times New Roman" w:cs="Tahoma"/>
          <w:color w:val="000000"/>
          <w:szCs w:val="20"/>
        </w:rPr>
      </w:pPr>
      <w:r w:rsidRPr="00DF4E71">
        <w:rPr>
          <w:rFonts w:eastAsia="Times New Roman" w:cs="Tahoma"/>
          <w:color w:val="000000"/>
          <w:szCs w:val="20"/>
        </w:rPr>
        <w:t xml:space="preserve">Investment groups need certainty that a product will be offered regularly and repeatedly to the market in order to set aside an allocation of funds. </w:t>
      </w:r>
    </w:p>
    <w:p w14:paraId="0CE1932A" w14:textId="77777777" w:rsidR="005870FA" w:rsidRPr="00DF4E71" w:rsidRDefault="005870FA" w:rsidP="00D759CD">
      <w:pPr>
        <w:rPr>
          <w:rFonts w:eastAsia="Times New Roman" w:cs="Tahoma"/>
          <w:color w:val="000000"/>
          <w:szCs w:val="20"/>
        </w:rPr>
      </w:pPr>
    </w:p>
    <w:p w14:paraId="44D7644F" w14:textId="77777777" w:rsidR="001A2CCE" w:rsidRPr="00DF4E71" w:rsidRDefault="001A2CCE" w:rsidP="00D759CD">
      <w:pPr>
        <w:rPr>
          <w:rFonts w:eastAsia="Times New Roman" w:cs="Tahoma"/>
          <w:color w:val="000000"/>
          <w:szCs w:val="20"/>
        </w:rPr>
      </w:pPr>
      <w:r w:rsidRPr="00DF4E71">
        <w:rPr>
          <w:rFonts w:eastAsia="Times New Roman" w:cs="Tahoma"/>
          <w:color w:val="000000"/>
          <w:szCs w:val="20"/>
        </w:rPr>
        <w:lastRenderedPageBreak/>
        <w:t>It can be concluded that:</w:t>
      </w:r>
    </w:p>
    <w:p w14:paraId="1630116E" w14:textId="77777777" w:rsidR="001A2CCE" w:rsidRPr="00DF4E71" w:rsidRDefault="001A2CCE" w:rsidP="00D759CD">
      <w:pPr>
        <w:rPr>
          <w:rFonts w:eastAsia="Times New Roman" w:cs="Tahoma"/>
          <w:color w:val="000000"/>
          <w:szCs w:val="20"/>
        </w:rPr>
      </w:pPr>
    </w:p>
    <w:p w14:paraId="4D195D8F" w14:textId="77777777" w:rsidR="001A2CCE" w:rsidRPr="00DF4E71" w:rsidRDefault="001A2CCE" w:rsidP="00791C11">
      <w:pPr>
        <w:pStyle w:val="ListParagraph"/>
        <w:numPr>
          <w:ilvl w:val="0"/>
          <w:numId w:val="35"/>
        </w:numPr>
        <w:rPr>
          <w:rFonts w:eastAsia="Times New Roman" w:cs="Tahoma"/>
          <w:color w:val="000000"/>
          <w:szCs w:val="20"/>
        </w:rPr>
      </w:pPr>
      <w:r w:rsidRPr="00DF4E71">
        <w:rPr>
          <w:rFonts w:eastAsia="Times New Roman" w:cs="Tahoma"/>
          <w:color w:val="000000"/>
          <w:szCs w:val="20"/>
        </w:rPr>
        <w:t xml:space="preserve">There is the market capacity in Australia for a </w:t>
      </w:r>
      <w:r w:rsidR="00A8536A" w:rsidRPr="00DF4E71">
        <w:rPr>
          <w:rFonts w:eastAsia="Times New Roman" w:cs="Tahoma"/>
          <w:color w:val="000000"/>
          <w:szCs w:val="20"/>
        </w:rPr>
        <w:t xml:space="preserve">new investment </w:t>
      </w:r>
      <w:r w:rsidRPr="00DF4E71">
        <w:rPr>
          <w:rFonts w:eastAsia="Times New Roman" w:cs="Tahoma"/>
          <w:color w:val="000000"/>
          <w:szCs w:val="20"/>
        </w:rPr>
        <w:t>product based on TIF</w:t>
      </w:r>
      <w:r w:rsidR="00A8536A" w:rsidRPr="00DF4E71">
        <w:rPr>
          <w:rFonts w:eastAsia="Times New Roman" w:cs="Tahoma"/>
          <w:color w:val="000000"/>
          <w:szCs w:val="20"/>
        </w:rPr>
        <w:t xml:space="preserve"> and bond issuance</w:t>
      </w:r>
    </w:p>
    <w:p w14:paraId="6127246B" w14:textId="77777777" w:rsidR="001A2CCE" w:rsidRPr="00DF4E71" w:rsidRDefault="00A8536A" w:rsidP="00791C11">
      <w:pPr>
        <w:pStyle w:val="ListParagraph"/>
        <w:numPr>
          <w:ilvl w:val="0"/>
          <w:numId w:val="35"/>
        </w:numPr>
        <w:rPr>
          <w:rFonts w:eastAsia="Times New Roman" w:cs="Tahoma"/>
          <w:color w:val="000000"/>
          <w:szCs w:val="20"/>
        </w:rPr>
      </w:pPr>
      <w:r w:rsidRPr="00DF4E71">
        <w:rPr>
          <w:rFonts w:eastAsia="Times New Roman" w:cs="Tahoma"/>
          <w:color w:val="000000"/>
          <w:szCs w:val="20"/>
        </w:rPr>
        <w:t>This product would be very familiar to global investors seeking investment opportunities in Australia</w:t>
      </w:r>
    </w:p>
    <w:p w14:paraId="3258821A" w14:textId="77777777" w:rsidR="00E51669" w:rsidRPr="00DF4E71" w:rsidRDefault="00E51669" w:rsidP="00E51669">
      <w:pPr>
        <w:pStyle w:val="CommentText"/>
        <w:numPr>
          <w:ilvl w:val="0"/>
          <w:numId w:val="35"/>
        </w:numPr>
      </w:pPr>
      <w:r w:rsidRPr="00DF4E71">
        <w:t>The product will be tapping into a market with increasing depth, greater asset allocation and the right risk profile</w:t>
      </w:r>
    </w:p>
    <w:p w14:paraId="35AD052C" w14:textId="234439F9" w:rsidR="00A8536A" w:rsidRPr="00DF4E71" w:rsidRDefault="00A8536A" w:rsidP="00791C11">
      <w:pPr>
        <w:pStyle w:val="ListParagraph"/>
        <w:numPr>
          <w:ilvl w:val="0"/>
          <w:numId w:val="35"/>
        </w:numPr>
        <w:rPr>
          <w:rFonts w:eastAsia="Times New Roman" w:cs="Tahoma"/>
          <w:color w:val="000000"/>
          <w:szCs w:val="20"/>
        </w:rPr>
      </w:pPr>
      <w:r w:rsidRPr="00DF4E71">
        <w:rPr>
          <w:rFonts w:eastAsia="Times New Roman" w:cs="Tahoma"/>
          <w:color w:val="000000"/>
          <w:szCs w:val="20"/>
        </w:rPr>
        <w:t>Funds management groups would need to have confidence that such a product would be offered regularly and repeatedly to the market in order allocate a proportion of their funds to this product</w:t>
      </w:r>
    </w:p>
    <w:p w14:paraId="7DAD5A77" w14:textId="3B5C9079" w:rsidR="00E51669" w:rsidRPr="00DF4E71" w:rsidRDefault="00E51669" w:rsidP="00DF4E71">
      <w:pPr>
        <w:pStyle w:val="CommentText"/>
        <w:numPr>
          <w:ilvl w:val="0"/>
          <w:numId w:val="35"/>
        </w:numPr>
        <w:rPr>
          <w:rFonts w:eastAsia="Times New Roman" w:cs="Tahoma"/>
          <w:color w:val="000000"/>
        </w:rPr>
      </w:pPr>
      <w:r w:rsidRPr="00DF4E71">
        <w:t xml:space="preserve">The market will handle these sales as the investors will be both local and international. </w:t>
      </w:r>
    </w:p>
    <w:p w14:paraId="49AC3CD4" w14:textId="77777777" w:rsidR="00DB2978" w:rsidRDefault="00DB2978" w:rsidP="00D759CD">
      <w:pPr>
        <w:rPr>
          <w:rFonts w:eastAsia="Times New Roman" w:cs="Tahoma"/>
          <w:color w:val="000000"/>
          <w:szCs w:val="20"/>
        </w:rPr>
      </w:pPr>
    </w:p>
    <w:p w14:paraId="77840B74" w14:textId="77777777" w:rsidR="00513B75" w:rsidRDefault="00513B75" w:rsidP="009861AC">
      <w:pPr>
        <w:pStyle w:val="Heading2"/>
      </w:pPr>
      <w:bookmarkStart w:id="72" w:name="_Toc398067272"/>
      <w:bookmarkStart w:id="73" w:name="_Toc397924460"/>
      <w:bookmarkStart w:id="74" w:name="_Toc430896851"/>
      <w:r>
        <w:t>Public Private Partnerships (PPPs)</w:t>
      </w:r>
      <w:bookmarkEnd w:id="72"/>
      <w:bookmarkEnd w:id="73"/>
      <w:bookmarkEnd w:id="74"/>
    </w:p>
    <w:p w14:paraId="1FB865C4" w14:textId="77777777" w:rsidR="00513B75" w:rsidRDefault="004F0335" w:rsidP="00513B75">
      <w:r>
        <w:t xml:space="preserve">Australia has </w:t>
      </w:r>
      <w:r w:rsidR="00513B75">
        <w:t xml:space="preserve">a well-established Public Private Partnership (PPP) system </w:t>
      </w:r>
      <w:r>
        <w:t>which has a high degree of consistency across jurisdictions due to the work of Infrastructure Australia on National PPP Policy and Guidelines.</w:t>
      </w:r>
      <w:r w:rsidR="00513B75">
        <w:t xml:space="preserve"> A wide range of PPPs have been delivered in both economic infrastructure and social infrastructure. </w:t>
      </w:r>
    </w:p>
    <w:p w14:paraId="0024D72A" w14:textId="77777777" w:rsidR="006932A6" w:rsidRDefault="006932A6" w:rsidP="00513B75"/>
    <w:p w14:paraId="205F1A43" w14:textId="77777777" w:rsidR="00513B75" w:rsidRDefault="00513B75" w:rsidP="00513B75">
      <w:pPr>
        <w:rPr>
          <w:rFonts w:cs="Arial"/>
        </w:rPr>
      </w:pPr>
      <w:r>
        <w:rPr>
          <w:rFonts w:cs="Arial"/>
        </w:rPr>
        <w:t xml:space="preserve">PPPs offer opportunities to improve services and achieve better value for money, primarily through appropriate risk transfer, innovation, greater asset utilisation and integrated whole-of-life management. It is worth emphasising that PPPs have a very solid track record in delivering projects </w:t>
      </w:r>
      <w:r w:rsidR="00B50919">
        <w:rPr>
          <w:rFonts w:cs="Arial"/>
        </w:rPr>
        <w:t>faster</w:t>
      </w:r>
      <w:r>
        <w:rPr>
          <w:rFonts w:cs="Arial"/>
        </w:rPr>
        <w:t xml:space="preserve"> and at a lower price than conventional procurement</w:t>
      </w:r>
      <w:r w:rsidR="00B11939">
        <w:rPr>
          <w:rFonts w:cs="Arial"/>
        </w:rPr>
        <w:t xml:space="preserve"> models run by government</w:t>
      </w:r>
      <w:r>
        <w:rPr>
          <w:rFonts w:cs="Arial"/>
        </w:rPr>
        <w:t>.</w:t>
      </w:r>
    </w:p>
    <w:p w14:paraId="7B7F3210" w14:textId="77777777" w:rsidR="00513B75" w:rsidRDefault="00513B75" w:rsidP="00513B75">
      <w:pPr>
        <w:rPr>
          <w:rFonts w:cs="Arial"/>
        </w:rPr>
      </w:pPr>
    </w:p>
    <w:p w14:paraId="59B0811A" w14:textId="1C55D5F5" w:rsidR="00513B75" w:rsidRDefault="00513B75" w:rsidP="00513B75">
      <w:pPr>
        <w:rPr>
          <w:rFonts w:cs="Arial"/>
        </w:rPr>
      </w:pPr>
      <w:r>
        <w:rPr>
          <w:rFonts w:cs="Arial"/>
        </w:rPr>
        <w:t xml:space="preserve">A typical PPP structure is contained in the diagram at </w:t>
      </w:r>
      <w:r w:rsidR="00E4454D">
        <w:rPr>
          <w:rFonts w:cs="Arial"/>
        </w:rPr>
        <w:fldChar w:fldCharType="begin"/>
      </w:r>
      <w:r w:rsidR="00E4454D">
        <w:rPr>
          <w:rFonts w:cs="Arial"/>
        </w:rPr>
        <w:instrText xml:space="preserve"> REF _Ref397926703 \h </w:instrText>
      </w:r>
      <w:r w:rsidR="00E4454D">
        <w:rPr>
          <w:rFonts w:cs="Arial"/>
        </w:rPr>
      </w:r>
      <w:r w:rsidR="00E4454D">
        <w:rPr>
          <w:rFonts w:cs="Arial"/>
        </w:rPr>
        <w:fldChar w:fldCharType="separate"/>
      </w:r>
      <w:r w:rsidR="00184C79">
        <w:t xml:space="preserve">Figure </w:t>
      </w:r>
      <w:r w:rsidR="00184C79">
        <w:rPr>
          <w:noProof/>
        </w:rPr>
        <w:t>9</w:t>
      </w:r>
      <w:r w:rsidR="00E4454D">
        <w:rPr>
          <w:rFonts w:cs="Arial"/>
        </w:rPr>
        <w:fldChar w:fldCharType="end"/>
      </w:r>
      <w:r w:rsidR="00E4454D">
        <w:rPr>
          <w:rFonts w:cs="Arial"/>
        </w:rPr>
        <w:t>.</w:t>
      </w:r>
    </w:p>
    <w:p w14:paraId="6355B4DC" w14:textId="6371EFD9" w:rsidR="00513B75" w:rsidRDefault="00513B75" w:rsidP="00513B75">
      <w:pPr>
        <w:pStyle w:val="Caption"/>
        <w:keepNext/>
        <w:keepLines/>
      </w:pPr>
      <w:bookmarkStart w:id="75" w:name="_Ref397926703"/>
      <w:bookmarkStart w:id="76" w:name="_Toc353436273"/>
      <w:bookmarkStart w:id="77" w:name="_Toc397952118"/>
      <w:bookmarkStart w:id="78" w:name="_Toc430896561"/>
      <w:r>
        <w:t xml:space="preserve">Figure </w:t>
      </w:r>
      <w:r>
        <w:fldChar w:fldCharType="begin"/>
      </w:r>
      <w:r>
        <w:instrText xml:space="preserve"> SEQ Figure \* ARABIC </w:instrText>
      </w:r>
      <w:r>
        <w:fldChar w:fldCharType="separate"/>
      </w:r>
      <w:r w:rsidR="00184C79">
        <w:rPr>
          <w:noProof/>
        </w:rPr>
        <w:t>9</w:t>
      </w:r>
      <w:r>
        <w:fldChar w:fldCharType="end"/>
      </w:r>
      <w:bookmarkEnd w:id="75"/>
      <w:r>
        <w:t>.</w:t>
      </w:r>
      <w:bookmarkEnd w:id="76"/>
      <w:r w:rsidR="00E82F86">
        <w:t xml:space="preserve"> </w:t>
      </w:r>
      <w:r>
        <w:t>Typical PPP Structure</w:t>
      </w:r>
      <w:bookmarkEnd w:id="77"/>
      <w:bookmarkEnd w:id="78"/>
      <w:r>
        <w:t xml:space="preserve"> </w:t>
      </w:r>
    </w:p>
    <w:tbl>
      <w:tblPr>
        <w:tblStyle w:val="TableGrid"/>
        <w:tblW w:w="4620" w:type="pct"/>
        <w:tblLook w:val="04A0" w:firstRow="1" w:lastRow="0" w:firstColumn="1" w:lastColumn="0" w:noHBand="0" w:noVBand="1"/>
      </w:tblPr>
      <w:tblGrid>
        <w:gridCol w:w="8736"/>
      </w:tblGrid>
      <w:tr w:rsidR="00513B75" w14:paraId="5A1CD354" w14:textId="77777777" w:rsidTr="006B6F31">
        <w:trPr>
          <w:trHeight w:val="1123"/>
        </w:trPr>
        <w:tc>
          <w:tcPr>
            <w:tcW w:w="5000" w:type="pct"/>
            <w:hideMark/>
          </w:tcPr>
          <w:p w14:paraId="6A0843C5" w14:textId="77777777" w:rsidR="00513B75" w:rsidRDefault="00513B75" w:rsidP="006B6F31">
            <w:pPr>
              <w:keepNext/>
              <w:keepLines/>
              <w:rPr>
                <w:highlight w:val="yellow"/>
              </w:rPr>
            </w:pPr>
            <w:r>
              <w:rPr>
                <w:noProof/>
                <w:lang w:val="en-US" w:eastAsia="en-US"/>
              </w:rPr>
              <w:drawing>
                <wp:inline distT="0" distB="0" distL="0" distR="0" wp14:anchorId="7F1A8493" wp14:editId="375D04E6">
                  <wp:extent cx="5408295" cy="2847975"/>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08295" cy="2847975"/>
                          </a:xfrm>
                          <a:prstGeom prst="rect">
                            <a:avLst/>
                          </a:prstGeom>
                          <a:noFill/>
                          <a:ln>
                            <a:noFill/>
                          </a:ln>
                        </pic:spPr>
                      </pic:pic>
                    </a:graphicData>
                  </a:graphic>
                </wp:inline>
              </w:drawing>
            </w:r>
          </w:p>
        </w:tc>
      </w:tr>
    </w:tbl>
    <w:p w14:paraId="1EE41389" w14:textId="77777777" w:rsidR="00513B75" w:rsidRDefault="00513B75" w:rsidP="00513B75">
      <w:pPr>
        <w:rPr>
          <w:rFonts w:cs="Arial"/>
        </w:rPr>
      </w:pPr>
    </w:p>
    <w:p w14:paraId="2ECE3654" w14:textId="3E48CDEF" w:rsidR="00513B75" w:rsidRDefault="00513B75" w:rsidP="00513B75">
      <w:pPr>
        <w:pStyle w:val="Caption"/>
        <w:keepNext/>
        <w:rPr>
          <w:b/>
        </w:rPr>
      </w:pPr>
      <w:bookmarkStart w:id="79" w:name="_Ref398039740"/>
      <w:bookmarkStart w:id="80" w:name="_Toc397952130"/>
      <w:bookmarkStart w:id="81" w:name="_Toc430896546"/>
      <w:r>
        <w:lastRenderedPageBreak/>
        <w:t xml:space="preserve">Table </w:t>
      </w:r>
      <w:r>
        <w:fldChar w:fldCharType="begin"/>
      </w:r>
      <w:r>
        <w:instrText xml:space="preserve"> SEQ Table \* ARABIC </w:instrText>
      </w:r>
      <w:r>
        <w:fldChar w:fldCharType="separate"/>
      </w:r>
      <w:r w:rsidR="00184C79">
        <w:rPr>
          <w:noProof/>
        </w:rPr>
        <w:t>12</w:t>
      </w:r>
      <w:r>
        <w:fldChar w:fldCharType="end"/>
      </w:r>
      <w:bookmarkEnd w:id="79"/>
      <w:r w:rsidR="00E82F86">
        <w:t xml:space="preserve">. </w:t>
      </w:r>
      <w:r>
        <w:t xml:space="preserve">Core elements of </w:t>
      </w:r>
      <w:r w:rsidR="00467807">
        <w:t>a</w:t>
      </w:r>
      <w:r w:rsidR="00AE0809">
        <w:t xml:space="preserve"> SOCIAL</w:t>
      </w:r>
      <w:r w:rsidR="00467807">
        <w:t xml:space="preserve"> infrastructure </w:t>
      </w:r>
      <w:r>
        <w:t>PPP</w:t>
      </w:r>
      <w:bookmarkEnd w:id="80"/>
      <w:bookmarkEnd w:id="81"/>
    </w:p>
    <w:tbl>
      <w:tblPr>
        <w:tblStyle w:val="GridTable4-Accent21"/>
        <w:tblW w:w="8784" w:type="dxa"/>
        <w:tblLook w:val="04A0" w:firstRow="1" w:lastRow="0" w:firstColumn="1" w:lastColumn="0" w:noHBand="0" w:noVBand="1"/>
      </w:tblPr>
      <w:tblGrid>
        <w:gridCol w:w="1961"/>
        <w:gridCol w:w="6823"/>
      </w:tblGrid>
      <w:tr w:rsidR="00467807" w:rsidRPr="00E4454D" w14:paraId="6CC6152B" w14:textId="77777777" w:rsidTr="00E44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Borders>
              <w:top w:val="none" w:sz="0" w:space="0" w:color="auto"/>
              <w:left w:val="none" w:sz="0" w:space="0" w:color="auto"/>
              <w:bottom w:val="none" w:sz="0" w:space="0" w:color="auto"/>
              <w:right w:val="none" w:sz="0" w:space="0" w:color="auto"/>
            </w:tcBorders>
            <w:hideMark/>
          </w:tcPr>
          <w:p w14:paraId="3806F9E6" w14:textId="77777777" w:rsidR="00467807" w:rsidRPr="00E4454D" w:rsidRDefault="00467807" w:rsidP="006B6F31">
            <w:pPr>
              <w:pStyle w:val="TableText0"/>
              <w:rPr>
                <w:sz w:val="18"/>
                <w:szCs w:val="18"/>
              </w:rPr>
            </w:pPr>
            <w:r w:rsidRPr="00E4454D">
              <w:rPr>
                <w:sz w:val="18"/>
                <w:szCs w:val="18"/>
              </w:rPr>
              <w:t>Feature</w:t>
            </w:r>
          </w:p>
        </w:tc>
        <w:tc>
          <w:tcPr>
            <w:tcW w:w="6823" w:type="dxa"/>
            <w:tcBorders>
              <w:top w:val="none" w:sz="0" w:space="0" w:color="auto"/>
              <w:left w:val="none" w:sz="0" w:space="0" w:color="auto"/>
              <w:bottom w:val="none" w:sz="0" w:space="0" w:color="auto"/>
              <w:right w:val="none" w:sz="0" w:space="0" w:color="auto"/>
            </w:tcBorders>
            <w:hideMark/>
          </w:tcPr>
          <w:p w14:paraId="7EADCE08" w14:textId="77777777" w:rsidR="00467807" w:rsidRPr="00E4454D" w:rsidRDefault="00467807" w:rsidP="006B6F31">
            <w:pPr>
              <w:pStyle w:val="TableText0"/>
              <w:cnfStyle w:val="100000000000" w:firstRow="1" w:lastRow="0" w:firstColumn="0" w:lastColumn="0" w:oddVBand="0" w:evenVBand="0" w:oddHBand="0" w:evenHBand="0" w:firstRowFirstColumn="0" w:firstRowLastColumn="0" w:lastRowFirstColumn="0" w:lastRowLastColumn="0"/>
              <w:rPr>
                <w:sz w:val="18"/>
                <w:szCs w:val="18"/>
              </w:rPr>
            </w:pPr>
            <w:r w:rsidRPr="00E4454D">
              <w:rPr>
                <w:sz w:val="18"/>
                <w:szCs w:val="18"/>
              </w:rPr>
              <w:t>PPP Methodology</w:t>
            </w:r>
          </w:p>
        </w:tc>
      </w:tr>
      <w:tr w:rsidR="00467807" w:rsidRPr="00E4454D" w14:paraId="123E99AB"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hideMark/>
          </w:tcPr>
          <w:p w14:paraId="06271407" w14:textId="77777777" w:rsidR="00467807" w:rsidRPr="00E4454D" w:rsidRDefault="00467807" w:rsidP="006B6F31">
            <w:pPr>
              <w:pStyle w:val="TableText0"/>
              <w:rPr>
                <w:sz w:val="18"/>
                <w:szCs w:val="18"/>
              </w:rPr>
            </w:pPr>
            <w:r w:rsidRPr="00E4454D">
              <w:rPr>
                <w:sz w:val="18"/>
                <w:szCs w:val="18"/>
              </w:rPr>
              <w:t>Core Services</w:t>
            </w:r>
          </w:p>
        </w:tc>
        <w:tc>
          <w:tcPr>
            <w:tcW w:w="6823" w:type="dxa"/>
            <w:hideMark/>
          </w:tcPr>
          <w:p w14:paraId="2437F855" w14:textId="77777777" w:rsidR="00467807" w:rsidRPr="00E4454D" w:rsidRDefault="00467807" w:rsidP="006B6F31">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E4454D">
              <w:rPr>
                <w:sz w:val="18"/>
                <w:szCs w:val="18"/>
              </w:rPr>
              <w:t xml:space="preserve">Government normally retains direct control of core services (for example, clinical services in hospitals and teaching in schools). </w:t>
            </w:r>
          </w:p>
        </w:tc>
      </w:tr>
      <w:tr w:rsidR="00467807" w:rsidRPr="00E4454D" w14:paraId="2CCA5C38" w14:textId="77777777" w:rsidTr="00E4454D">
        <w:tc>
          <w:tcPr>
            <w:cnfStyle w:val="001000000000" w:firstRow="0" w:lastRow="0" w:firstColumn="1" w:lastColumn="0" w:oddVBand="0" w:evenVBand="0" w:oddHBand="0" w:evenHBand="0" w:firstRowFirstColumn="0" w:firstRowLastColumn="0" w:lastRowFirstColumn="0" w:lastRowLastColumn="0"/>
            <w:tcW w:w="1961" w:type="dxa"/>
            <w:hideMark/>
          </w:tcPr>
          <w:p w14:paraId="0699DEDC" w14:textId="77777777" w:rsidR="00467807" w:rsidRPr="00E4454D" w:rsidRDefault="00467807" w:rsidP="006B6F31">
            <w:pPr>
              <w:pStyle w:val="TableText0"/>
              <w:rPr>
                <w:sz w:val="18"/>
                <w:szCs w:val="18"/>
              </w:rPr>
            </w:pPr>
            <w:r w:rsidRPr="00E4454D">
              <w:rPr>
                <w:sz w:val="18"/>
                <w:szCs w:val="18"/>
              </w:rPr>
              <w:t>Payment Mechanism</w:t>
            </w:r>
          </w:p>
        </w:tc>
        <w:tc>
          <w:tcPr>
            <w:tcW w:w="6823" w:type="dxa"/>
            <w:hideMark/>
          </w:tcPr>
          <w:p w14:paraId="58075811" w14:textId="77777777" w:rsidR="00467807" w:rsidRPr="00E4454D" w:rsidRDefault="00467807" w:rsidP="006B6F31">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E4454D">
              <w:rPr>
                <w:sz w:val="18"/>
                <w:szCs w:val="18"/>
              </w:rPr>
              <w:t>Social PPPs are generally availability-based. A unitary payment is paid regularly by government to the operator under a long term contract for provision of infrastructure and</w:t>
            </w:r>
            <w:r w:rsidR="00AE0809" w:rsidRPr="00E4454D">
              <w:rPr>
                <w:sz w:val="18"/>
                <w:szCs w:val="18"/>
              </w:rPr>
              <w:t xml:space="preserve"> operational</w:t>
            </w:r>
            <w:r w:rsidRPr="00E4454D">
              <w:rPr>
                <w:sz w:val="18"/>
                <w:szCs w:val="18"/>
              </w:rPr>
              <w:t xml:space="preserve"> services regardless of demand.</w:t>
            </w:r>
          </w:p>
        </w:tc>
      </w:tr>
      <w:tr w:rsidR="00467807" w:rsidRPr="00E4454D" w14:paraId="2DB8ACD0"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hideMark/>
          </w:tcPr>
          <w:p w14:paraId="6A40943A" w14:textId="77777777" w:rsidR="00467807" w:rsidRPr="00E4454D" w:rsidRDefault="00467807" w:rsidP="006B6F31">
            <w:pPr>
              <w:pStyle w:val="TableText0"/>
              <w:rPr>
                <w:sz w:val="18"/>
                <w:szCs w:val="18"/>
              </w:rPr>
            </w:pPr>
            <w:r w:rsidRPr="00E4454D">
              <w:rPr>
                <w:sz w:val="18"/>
                <w:szCs w:val="18"/>
              </w:rPr>
              <w:t xml:space="preserve">Construction </w:t>
            </w:r>
          </w:p>
        </w:tc>
        <w:tc>
          <w:tcPr>
            <w:tcW w:w="6823" w:type="dxa"/>
            <w:hideMark/>
          </w:tcPr>
          <w:p w14:paraId="4A8364A3" w14:textId="77777777" w:rsidR="00467807" w:rsidRPr="00E4454D" w:rsidRDefault="00467807" w:rsidP="00C17B2B">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E4454D">
              <w:rPr>
                <w:sz w:val="18"/>
                <w:szCs w:val="18"/>
              </w:rPr>
              <w:t xml:space="preserve">Final design and construction is normally </w:t>
            </w:r>
            <w:r w:rsidR="00C17B2B" w:rsidRPr="00E4454D">
              <w:rPr>
                <w:sz w:val="18"/>
                <w:szCs w:val="18"/>
              </w:rPr>
              <w:t>undertaken</w:t>
            </w:r>
            <w:r w:rsidRPr="00E4454D">
              <w:rPr>
                <w:sz w:val="18"/>
                <w:szCs w:val="18"/>
              </w:rPr>
              <w:t xml:space="preserve"> by the private sector. </w:t>
            </w:r>
          </w:p>
        </w:tc>
      </w:tr>
      <w:tr w:rsidR="00467807" w:rsidRPr="00E4454D" w14:paraId="761B72ED" w14:textId="77777777" w:rsidTr="00E4454D">
        <w:tc>
          <w:tcPr>
            <w:cnfStyle w:val="001000000000" w:firstRow="0" w:lastRow="0" w:firstColumn="1" w:lastColumn="0" w:oddVBand="0" w:evenVBand="0" w:oddHBand="0" w:evenHBand="0" w:firstRowFirstColumn="0" w:firstRowLastColumn="0" w:lastRowFirstColumn="0" w:lastRowLastColumn="0"/>
            <w:tcW w:w="1961" w:type="dxa"/>
            <w:hideMark/>
          </w:tcPr>
          <w:p w14:paraId="20CA7B1C" w14:textId="77777777" w:rsidR="00467807" w:rsidRPr="00E4454D" w:rsidRDefault="00467807" w:rsidP="006B6F31">
            <w:pPr>
              <w:pStyle w:val="TableText0"/>
              <w:rPr>
                <w:sz w:val="18"/>
                <w:szCs w:val="18"/>
              </w:rPr>
            </w:pPr>
            <w:r w:rsidRPr="00E4454D">
              <w:rPr>
                <w:sz w:val="18"/>
                <w:szCs w:val="18"/>
              </w:rPr>
              <w:t>Operations</w:t>
            </w:r>
          </w:p>
        </w:tc>
        <w:tc>
          <w:tcPr>
            <w:tcW w:w="6823" w:type="dxa"/>
            <w:hideMark/>
          </w:tcPr>
          <w:p w14:paraId="12E1A8F5" w14:textId="77777777" w:rsidR="00467807" w:rsidRPr="00E4454D" w:rsidRDefault="00467807" w:rsidP="00784FC4">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E4454D">
              <w:rPr>
                <w:sz w:val="18"/>
                <w:szCs w:val="18"/>
              </w:rPr>
              <w:t>Private sector operators normally cover non-core services such as security, maintenance, cleaning etc. Unclear specifications can result in service ineffi</w:t>
            </w:r>
            <w:r w:rsidR="00784FC4" w:rsidRPr="00E4454D">
              <w:rPr>
                <w:sz w:val="18"/>
                <w:szCs w:val="18"/>
              </w:rPr>
              <w:t>ciencies for complex facilities</w:t>
            </w:r>
            <w:r w:rsidRPr="00E4454D">
              <w:rPr>
                <w:sz w:val="18"/>
                <w:szCs w:val="18"/>
              </w:rPr>
              <w:t>.</w:t>
            </w:r>
            <w:r w:rsidR="00784FC4" w:rsidRPr="00E4454D">
              <w:rPr>
                <w:sz w:val="18"/>
                <w:szCs w:val="18"/>
              </w:rPr>
              <w:t xml:space="preserve"> Integration with public transport service providers is a potential barrier to a PPP.</w:t>
            </w:r>
          </w:p>
        </w:tc>
      </w:tr>
      <w:tr w:rsidR="00467807" w:rsidRPr="00E4454D" w14:paraId="49517138"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hideMark/>
          </w:tcPr>
          <w:p w14:paraId="1614E995" w14:textId="77777777" w:rsidR="00467807" w:rsidRPr="00E4454D" w:rsidRDefault="00467807" w:rsidP="006B6F31">
            <w:pPr>
              <w:pStyle w:val="TableText0"/>
              <w:rPr>
                <w:sz w:val="18"/>
                <w:szCs w:val="18"/>
              </w:rPr>
            </w:pPr>
            <w:r w:rsidRPr="00E4454D">
              <w:rPr>
                <w:sz w:val="18"/>
                <w:szCs w:val="18"/>
              </w:rPr>
              <w:t>Risk Allocation</w:t>
            </w:r>
          </w:p>
        </w:tc>
        <w:tc>
          <w:tcPr>
            <w:tcW w:w="6823" w:type="dxa"/>
            <w:hideMark/>
          </w:tcPr>
          <w:p w14:paraId="3B51B9CB" w14:textId="77777777" w:rsidR="00467807" w:rsidRPr="00E4454D" w:rsidRDefault="00467807" w:rsidP="001C0F2C">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E4454D">
              <w:rPr>
                <w:sz w:val="18"/>
                <w:szCs w:val="18"/>
              </w:rPr>
              <w:t>Optimal risk allocation as demand risk is removed by government fixed payments. Specific risks depend on asset type.</w:t>
            </w:r>
          </w:p>
        </w:tc>
      </w:tr>
      <w:tr w:rsidR="00467807" w:rsidRPr="00E4454D" w14:paraId="61E8A72F" w14:textId="77777777" w:rsidTr="00E4454D">
        <w:tc>
          <w:tcPr>
            <w:cnfStyle w:val="001000000000" w:firstRow="0" w:lastRow="0" w:firstColumn="1" w:lastColumn="0" w:oddVBand="0" w:evenVBand="0" w:oddHBand="0" w:evenHBand="0" w:firstRowFirstColumn="0" w:firstRowLastColumn="0" w:lastRowFirstColumn="0" w:lastRowLastColumn="0"/>
            <w:tcW w:w="1961" w:type="dxa"/>
            <w:hideMark/>
          </w:tcPr>
          <w:p w14:paraId="54714E54" w14:textId="77777777" w:rsidR="00467807" w:rsidRPr="00E4454D" w:rsidRDefault="00467807" w:rsidP="006B6F31">
            <w:pPr>
              <w:pStyle w:val="TableText0"/>
              <w:rPr>
                <w:sz w:val="18"/>
                <w:szCs w:val="18"/>
              </w:rPr>
            </w:pPr>
            <w:r w:rsidRPr="00E4454D">
              <w:rPr>
                <w:sz w:val="18"/>
                <w:szCs w:val="18"/>
              </w:rPr>
              <w:t>Innovation</w:t>
            </w:r>
          </w:p>
        </w:tc>
        <w:tc>
          <w:tcPr>
            <w:tcW w:w="6823" w:type="dxa"/>
            <w:hideMark/>
          </w:tcPr>
          <w:p w14:paraId="19D6D651" w14:textId="77777777" w:rsidR="00467807" w:rsidRPr="00E4454D" w:rsidRDefault="00467807" w:rsidP="006B6F31">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E4454D">
              <w:rPr>
                <w:sz w:val="18"/>
                <w:szCs w:val="18"/>
              </w:rPr>
              <w:t>Innovation and value-for-money concepts can be proposed by proponents. Risk would be retained by the private sector.</w:t>
            </w:r>
          </w:p>
        </w:tc>
      </w:tr>
      <w:tr w:rsidR="00467807" w:rsidRPr="00E4454D" w14:paraId="272E0D97"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hideMark/>
          </w:tcPr>
          <w:p w14:paraId="35629409" w14:textId="77777777" w:rsidR="00467807" w:rsidRPr="00E4454D" w:rsidRDefault="00467807" w:rsidP="006B6F31">
            <w:pPr>
              <w:pStyle w:val="TableText0"/>
              <w:rPr>
                <w:sz w:val="18"/>
                <w:szCs w:val="18"/>
              </w:rPr>
            </w:pPr>
            <w:r w:rsidRPr="00E4454D">
              <w:rPr>
                <w:sz w:val="18"/>
                <w:szCs w:val="18"/>
              </w:rPr>
              <w:t xml:space="preserve">Non-Core Facilities </w:t>
            </w:r>
          </w:p>
        </w:tc>
        <w:tc>
          <w:tcPr>
            <w:tcW w:w="6823" w:type="dxa"/>
          </w:tcPr>
          <w:p w14:paraId="21D5EE92" w14:textId="77777777" w:rsidR="00467807" w:rsidRPr="00E4454D" w:rsidRDefault="00467807" w:rsidP="00AE46E5">
            <w:pPr>
              <w:pStyle w:val="TableText0"/>
              <w:cnfStyle w:val="000000100000" w:firstRow="0" w:lastRow="0" w:firstColumn="0" w:lastColumn="0" w:oddVBand="0" w:evenVBand="0" w:oddHBand="1" w:evenHBand="0" w:firstRowFirstColumn="0" w:firstRowLastColumn="0" w:lastRowFirstColumn="0" w:lastRowLastColumn="0"/>
              <w:rPr>
                <w:sz w:val="18"/>
                <w:szCs w:val="18"/>
              </w:rPr>
            </w:pPr>
            <w:r w:rsidRPr="00E4454D">
              <w:rPr>
                <w:sz w:val="18"/>
                <w:szCs w:val="18"/>
              </w:rPr>
              <w:t xml:space="preserve">Institutions desire a range of related facilities which are considered commercial facilities but which retain risk. </w:t>
            </w:r>
          </w:p>
        </w:tc>
      </w:tr>
      <w:tr w:rsidR="001C0F2C" w:rsidRPr="00E4454D" w14:paraId="744F687D" w14:textId="77777777" w:rsidTr="00E4454D">
        <w:tc>
          <w:tcPr>
            <w:cnfStyle w:val="001000000000" w:firstRow="0" w:lastRow="0" w:firstColumn="1" w:lastColumn="0" w:oddVBand="0" w:evenVBand="0" w:oddHBand="0" w:evenHBand="0" w:firstRowFirstColumn="0" w:firstRowLastColumn="0" w:lastRowFirstColumn="0" w:lastRowLastColumn="0"/>
            <w:tcW w:w="1961" w:type="dxa"/>
          </w:tcPr>
          <w:p w14:paraId="2CCC1653" w14:textId="77777777" w:rsidR="001C0F2C" w:rsidRPr="00E4454D" w:rsidRDefault="001C0F2C" w:rsidP="001C0F2C">
            <w:pPr>
              <w:pStyle w:val="TableText0"/>
              <w:rPr>
                <w:sz w:val="18"/>
                <w:szCs w:val="18"/>
              </w:rPr>
            </w:pPr>
            <w:r w:rsidRPr="00E4454D">
              <w:rPr>
                <w:sz w:val="18"/>
                <w:szCs w:val="18"/>
              </w:rPr>
              <w:t>Concession Period</w:t>
            </w:r>
          </w:p>
        </w:tc>
        <w:tc>
          <w:tcPr>
            <w:tcW w:w="6823" w:type="dxa"/>
          </w:tcPr>
          <w:p w14:paraId="2C813808" w14:textId="77777777" w:rsidR="001C0F2C" w:rsidRPr="00E4454D" w:rsidRDefault="001C0F2C" w:rsidP="001C0F2C">
            <w:pPr>
              <w:pStyle w:val="TableText0"/>
              <w:cnfStyle w:val="000000000000" w:firstRow="0" w:lastRow="0" w:firstColumn="0" w:lastColumn="0" w:oddVBand="0" w:evenVBand="0" w:oddHBand="0" w:evenHBand="0" w:firstRowFirstColumn="0" w:firstRowLastColumn="0" w:lastRowFirstColumn="0" w:lastRowLastColumn="0"/>
              <w:rPr>
                <w:sz w:val="18"/>
                <w:szCs w:val="18"/>
              </w:rPr>
            </w:pPr>
            <w:r w:rsidRPr="00E4454D">
              <w:rPr>
                <w:sz w:val="18"/>
                <w:szCs w:val="18"/>
              </w:rPr>
              <w:t xml:space="preserve">In Australia, this is normally 25-30 years.  </w:t>
            </w:r>
          </w:p>
        </w:tc>
      </w:tr>
    </w:tbl>
    <w:p w14:paraId="25687E98" w14:textId="77777777" w:rsidR="00513B75" w:rsidRDefault="00513B75" w:rsidP="00513B75">
      <w:pPr>
        <w:pStyle w:val="TableSource0"/>
      </w:pPr>
      <w:r>
        <w:t>Source: SGS Economics and Planning, 2014</w:t>
      </w:r>
    </w:p>
    <w:p w14:paraId="34CD585F" w14:textId="77777777" w:rsidR="00513B75" w:rsidRDefault="00513B75" w:rsidP="00513B75"/>
    <w:p w14:paraId="44C41578" w14:textId="77777777" w:rsidR="00AE0809" w:rsidRDefault="00AE0809" w:rsidP="00AE0809">
      <w:r>
        <w:t>Public transport infrastructure can be considered social infrastructure because r</w:t>
      </w:r>
      <w:r w:rsidR="0048390E">
        <w:t>evenue generated fro</w:t>
      </w:r>
      <w:r>
        <w:t xml:space="preserve">m the asset does not cover construction and operating costs over a realistic concession period. </w:t>
      </w:r>
      <w:r w:rsidR="0048390E">
        <w:t>This means that a public transport infrastructure PPP would require an ‘availability-based’ payment – in other words, a regular payment by government to the operator to cover costs including required profit margin.</w:t>
      </w:r>
      <w:r>
        <w:t xml:space="preserve"> </w:t>
      </w:r>
    </w:p>
    <w:p w14:paraId="31787815" w14:textId="77777777" w:rsidR="00AE0809" w:rsidRDefault="00AE0809" w:rsidP="00513B75">
      <w:pPr>
        <w:autoSpaceDE w:val="0"/>
        <w:autoSpaceDN w:val="0"/>
        <w:adjustRightInd w:val="0"/>
        <w:rPr>
          <w:rFonts w:cs="TimesNewRoman"/>
        </w:rPr>
      </w:pPr>
    </w:p>
    <w:p w14:paraId="75A38F26" w14:textId="1F831E37" w:rsidR="00513B75" w:rsidRDefault="003345F5" w:rsidP="00513B75">
      <w:pPr>
        <w:autoSpaceDE w:val="0"/>
        <w:autoSpaceDN w:val="0"/>
        <w:adjustRightInd w:val="0"/>
        <w:rPr>
          <w:rFonts w:cs="TimesNewRoman"/>
        </w:rPr>
      </w:pPr>
      <w:r>
        <w:rPr>
          <w:rFonts w:cs="TimesNewRoman"/>
        </w:rPr>
        <w:t>Transport</w:t>
      </w:r>
      <w:r w:rsidR="00513B75">
        <w:rPr>
          <w:rFonts w:cs="TimesNewRoman"/>
        </w:rPr>
        <w:t xml:space="preserve"> infrastructure projects </w:t>
      </w:r>
      <w:r w:rsidR="009E5F55">
        <w:rPr>
          <w:rFonts w:cs="TimesNewRoman"/>
        </w:rPr>
        <w:t>would</w:t>
      </w:r>
      <w:r>
        <w:rPr>
          <w:rFonts w:cs="TimesNewRoman"/>
        </w:rPr>
        <w:t xml:space="preserve"> </w:t>
      </w:r>
      <w:r w:rsidR="00513B75">
        <w:rPr>
          <w:rFonts w:cs="TimesNewRoman"/>
        </w:rPr>
        <w:t xml:space="preserve">have a very low level of revenue risk </w:t>
      </w:r>
      <w:r w:rsidR="009E5F55">
        <w:rPr>
          <w:rFonts w:cs="TimesNewRoman"/>
        </w:rPr>
        <w:t>due to the</w:t>
      </w:r>
      <w:r w:rsidR="00513B75">
        <w:rPr>
          <w:rFonts w:cs="TimesNewRoman"/>
        </w:rPr>
        <w:t xml:space="preserve"> fixed payment by government to the operator. For this reason, social infrastructure PPPs generally require a lower return o</w:t>
      </w:r>
      <w:r w:rsidR="009E5F55">
        <w:rPr>
          <w:rFonts w:cs="TimesNewRoman"/>
        </w:rPr>
        <w:t>n</w:t>
      </w:r>
      <w:r w:rsidR="00513B75">
        <w:rPr>
          <w:rFonts w:cs="TimesNewRoman"/>
        </w:rPr>
        <w:t xml:space="preserve"> investment of </w:t>
      </w:r>
      <w:r w:rsidR="009E5F55">
        <w:rPr>
          <w:rFonts w:cs="TimesNewRoman"/>
        </w:rPr>
        <w:t>8-</w:t>
      </w:r>
      <w:r w:rsidR="00513B75">
        <w:rPr>
          <w:rFonts w:cs="TimesNewRoman"/>
        </w:rPr>
        <w:t xml:space="preserve">10% per year compared to economic infrastructure with </w:t>
      </w:r>
      <w:r w:rsidR="009E5F55">
        <w:rPr>
          <w:rFonts w:cs="TimesNewRoman"/>
        </w:rPr>
        <w:t xml:space="preserve">a </w:t>
      </w:r>
      <w:r w:rsidR="00513B75">
        <w:rPr>
          <w:rFonts w:cs="TimesNewRoman"/>
        </w:rPr>
        <w:t>user pays structure</w:t>
      </w:r>
      <w:r w:rsidR="009E5F55">
        <w:rPr>
          <w:rFonts w:cs="TimesNewRoman"/>
        </w:rPr>
        <w:t xml:space="preserve"> that contains</w:t>
      </w:r>
      <w:r w:rsidR="00513B75">
        <w:rPr>
          <w:rFonts w:cs="TimesNewRoman"/>
        </w:rPr>
        <w:t xml:space="preserve"> demand risk and ramp-up </w:t>
      </w:r>
      <w:r w:rsidR="009E5F55">
        <w:rPr>
          <w:rFonts w:cs="TimesNewRoman"/>
        </w:rPr>
        <w:t>stage</w:t>
      </w:r>
      <w:r w:rsidR="00513B75">
        <w:rPr>
          <w:rFonts w:cs="TimesNewRoman"/>
        </w:rPr>
        <w:t xml:space="preserve"> (for example, expressways)</w:t>
      </w:r>
      <w:r w:rsidR="009E5F55">
        <w:rPr>
          <w:rFonts w:cs="TimesNewRoman"/>
        </w:rPr>
        <w:t>.</w:t>
      </w:r>
      <w:r w:rsidR="00513B75">
        <w:rPr>
          <w:rFonts w:cs="TimesNewRoman"/>
        </w:rPr>
        <w:t xml:space="preserve"> Infrastructure Partnerships Australia (IPA) has noted that social infrastructure PPPs are </w:t>
      </w:r>
      <w:r w:rsidR="00F57BE2">
        <w:rPr>
          <w:rFonts w:cs="TimesNewRoman"/>
        </w:rPr>
        <w:t xml:space="preserve">thus </w:t>
      </w:r>
      <w:r w:rsidR="00513B75">
        <w:rPr>
          <w:rFonts w:cs="TimesNewRoman"/>
        </w:rPr>
        <w:t xml:space="preserve">able to be highly leveraged. </w:t>
      </w:r>
    </w:p>
    <w:p w14:paraId="1EB796A0" w14:textId="77777777" w:rsidR="00513B75" w:rsidRDefault="00513B75" w:rsidP="00513B75">
      <w:pPr>
        <w:rPr>
          <w:rFonts w:ascii="TimesNewRoman" w:hAnsi="TimesNewRoman" w:cs="TimesNewRoman"/>
        </w:rPr>
      </w:pPr>
    </w:p>
    <w:p w14:paraId="041A284F" w14:textId="77777777" w:rsidR="00F8242A" w:rsidRDefault="00513B75" w:rsidP="00513B75">
      <w:r>
        <w:t xml:space="preserve">The annual quantum of service payments is unique to each PPP. </w:t>
      </w:r>
    </w:p>
    <w:p w14:paraId="7A890A4E" w14:textId="77777777" w:rsidR="00F8242A" w:rsidRDefault="00F8242A" w:rsidP="00513B75"/>
    <w:p w14:paraId="25C82B57" w14:textId="0B70DD6D" w:rsidR="00B33CE6" w:rsidRDefault="00F8242A" w:rsidP="00D759CD">
      <w:r>
        <w:t>V</w:t>
      </w:r>
      <w:r w:rsidR="002C1795">
        <w:t>alue capture</w:t>
      </w:r>
      <w:r w:rsidR="00513B75">
        <w:t xml:space="preserve"> </w:t>
      </w:r>
      <w:r>
        <w:t xml:space="preserve">mechanisms </w:t>
      </w:r>
      <w:r w:rsidR="00513B75">
        <w:t xml:space="preserve">could generate a recurrent pool of funds which could be </w:t>
      </w:r>
      <w:r w:rsidR="00B33CE6">
        <w:t>collected b</w:t>
      </w:r>
      <w:r w:rsidR="002B171F">
        <w:t>y</w:t>
      </w:r>
      <w:r w:rsidR="00B33CE6">
        <w:t xml:space="preserve"> the state and </w:t>
      </w:r>
      <w:r w:rsidR="002C1795">
        <w:t xml:space="preserve">used </w:t>
      </w:r>
      <w:r w:rsidR="00B33CE6">
        <w:t xml:space="preserve">to support the State’s concession payment. </w:t>
      </w:r>
    </w:p>
    <w:p w14:paraId="0DDAB923" w14:textId="77777777" w:rsidR="007217AE" w:rsidRPr="00B33CE6" w:rsidRDefault="007217AE" w:rsidP="009861AC">
      <w:pPr>
        <w:pStyle w:val="Heading2"/>
      </w:pPr>
      <w:bookmarkStart w:id="82" w:name="_Toc430896852"/>
      <w:r w:rsidRPr="00B33CE6">
        <w:t>Conclusion</w:t>
      </w:r>
      <w:bookmarkEnd w:id="82"/>
    </w:p>
    <w:p w14:paraId="1AFD3488" w14:textId="11F38286" w:rsidR="007217AE" w:rsidRPr="00BA066F" w:rsidRDefault="009516F2" w:rsidP="00D759CD">
      <w:pPr>
        <w:rPr>
          <w:rFonts w:eastAsia="Times New Roman" w:cs="Tahoma"/>
          <w:color w:val="000000"/>
          <w:szCs w:val="20"/>
        </w:rPr>
      </w:pPr>
      <w:r w:rsidRPr="00B33CE6">
        <w:rPr>
          <w:rFonts w:eastAsia="Times New Roman" w:cs="Tahoma"/>
          <w:color w:val="000000"/>
          <w:szCs w:val="20"/>
        </w:rPr>
        <w:t>T</w:t>
      </w:r>
      <w:r w:rsidRPr="00BA066F">
        <w:rPr>
          <w:rFonts w:eastAsia="Times New Roman" w:cs="Tahoma"/>
          <w:color w:val="000000"/>
          <w:szCs w:val="20"/>
        </w:rPr>
        <w:t>he following conclusions can be drawn from this analysis:</w:t>
      </w:r>
    </w:p>
    <w:p w14:paraId="52F59C04" w14:textId="77777777" w:rsidR="009516F2" w:rsidRPr="001B2B6D" w:rsidRDefault="009516F2" w:rsidP="00D759CD">
      <w:pPr>
        <w:rPr>
          <w:rFonts w:eastAsia="Times New Roman" w:cs="Tahoma"/>
          <w:color w:val="000000"/>
          <w:szCs w:val="20"/>
        </w:rPr>
      </w:pPr>
    </w:p>
    <w:p w14:paraId="102FDD2A" w14:textId="77777777" w:rsidR="00B33CE6" w:rsidRPr="00DF4E71" w:rsidRDefault="00B33CE6" w:rsidP="00B33CE6">
      <w:pPr>
        <w:pStyle w:val="ListParagraph"/>
        <w:numPr>
          <w:ilvl w:val="0"/>
          <w:numId w:val="62"/>
        </w:numPr>
        <w:rPr>
          <w:rFonts w:eastAsia="Times New Roman" w:cs="Tahoma"/>
          <w:color w:val="000000"/>
          <w:szCs w:val="20"/>
        </w:rPr>
      </w:pPr>
      <w:r w:rsidRPr="00DF4E71">
        <w:rPr>
          <w:rFonts w:eastAsia="Times New Roman" w:cs="Tahoma"/>
          <w:color w:val="000000"/>
          <w:szCs w:val="20"/>
        </w:rPr>
        <w:t>There is the market capacity in Australia for a new investment product based on TIF and bond issuance</w:t>
      </w:r>
    </w:p>
    <w:p w14:paraId="174448B6" w14:textId="77777777" w:rsidR="00B33CE6" w:rsidRPr="00DF4E71" w:rsidRDefault="00B33CE6" w:rsidP="00B33CE6">
      <w:pPr>
        <w:pStyle w:val="ListParagraph"/>
        <w:numPr>
          <w:ilvl w:val="0"/>
          <w:numId w:val="62"/>
        </w:numPr>
        <w:rPr>
          <w:rFonts w:eastAsia="Times New Roman" w:cs="Tahoma"/>
          <w:color w:val="000000"/>
          <w:szCs w:val="20"/>
        </w:rPr>
      </w:pPr>
      <w:r w:rsidRPr="00DF4E71">
        <w:rPr>
          <w:rFonts w:eastAsia="Times New Roman" w:cs="Tahoma"/>
          <w:color w:val="000000"/>
          <w:szCs w:val="20"/>
        </w:rPr>
        <w:t>This product would be very familiar to global investors seeking investment opportunities in Australia</w:t>
      </w:r>
    </w:p>
    <w:p w14:paraId="31A6274A" w14:textId="77777777" w:rsidR="00B33CE6" w:rsidRPr="001B2B6D" w:rsidRDefault="00B33CE6" w:rsidP="00B33CE6">
      <w:pPr>
        <w:pStyle w:val="CommentText"/>
        <w:numPr>
          <w:ilvl w:val="0"/>
          <w:numId w:val="62"/>
        </w:numPr>
      </w:pPr>
      <w:r w:rsidRPr="00B33CE6">
        <w:t>T</w:t>
      </w:r>
      <w:r w:rsidRPr="00BA066F">
        <w:t>he product</w:t>
      </w:r>
      <w:r w:rsidRPr="001B2B6D">
        <w:t xml:space="preserve"> will be tapping into a market with increasing depth, greater asset allocation and the right risk profile</w:t>
      </w:r>
    </w:p>
    <w:p w14:paraId="4E3E0C10" w14:textId="03EB5B85" w:rsidR="00B33CE6" w:rsidRPr="00DF4E71" w:rsidRDefault="00B33CE6" w:rsidP="00B33CE6">
      <w:pPr>
        <w:pStyle w:val="ListParagraph"/>
        <w:numPr>
          <w:ilvl w:val="0"/>
          <w:numId w:val="62"/>
        </w:numPr>
        <w:rPr>
          <w:rFonts w:eastAsia="Times New Roman" w:cs="Tahoma"/>
          <w:color w:val="000000"/>
          <w:szCs w:val="20"/>
        </w:rPr>
      </w:pPr>
      <w:r w:rsidRPr="00DF4E71">
        <w:rPr>
          <w:rFonts w:eastAsia="Times New Roman" w:cs="Tahoma"/>
          <w:color w:val="000000"/>
          <w:szCs w:val="20"/>
        </w:rPr>
        <w:t>Funds management groups would need to have confidence that such a product would be offered regularly and repeatedly to the market in order allocate a proportion of their funds to this product</w:t>
      </w:r>
    </w:p>
    <w:p w14:paraId="3D6194E9" w14:textId="7722A447" w:rsidR="00B33CE6" w:rsidRPr="00DF4E71" w:rsidRDefault="00B33CE6" w:rsidP="00B33CE6">
      <w:pPr>
        <w:pStyle w:val="CommentText"/>
        <w:numPr>
          <w:ilvl w:val="0"/>
          <w:numId w:val="62"/>
        </w:numPr>
        <w:rPr>
          <w:rFonts w:eastAsia="Times New Roman" w:cs="Tahoma"/>
          <w:color w:val="000000"/>
        </w:rPr>
      </w:pPr>
      <w:r w:rsidRPr="00B33CE6">
        <w:t>The market will handle these sales as t</w:t>
      </w:r>
      <w:r w:rsidRPr="00BA066F">
        <w:t>he investors will be</w:t>
      </w:r>
      <w:r w:rsidRPr="001B2B6D">
        <w:t xml:space="preserve"> both local and international </w:t>
      </w:r>
    </w:p>
    <w:p w14:paraId="0470F169" w14:textId="07052305" w:rsidR="009516F2" w:rsidRPr="001B2B6D" w:rsidRDefault="009516F2" w:rsidP="00DF4E71">
      <w:pPr>
        <w:pStyle w:val="ListParagraph"/>
        <w:numPr>
          <w:ilvl w:val="0"/>
          <w:numId w:val="62"/>
        </w:numPr>
        <w:rPr>
          <w:szCs w:val="20"/>
        </w:rPr>
      </w:pPr>
      <w:r w:rsidRPr="00B33CE6">
        <w:rPr>
          <w:szCs w:val="20"/>
        </w:rPr>
        <w:t>Tax Increment Financing (TIF) would require the creation of a bond product that will provide financing for new public transport infrastructure</w:t>
      </w:r>
    </w:p>
    <w:p w14:paraId="524808C9" w14:textId="77777777" w:rsidR="0023586C" w:rsidRDefault="009516F2" w:rsidP="00DF4E71">
      <w:pPr>
        <w:pStyle w:val="ListParagraph"/>
        <w:numPr>
          <w:ilvl w:val="0"/>
          <w:numId w:val="62"/>
        </w:numPr>
        <w:rPr>
          <w:szCs w:val="20"/>
        </w:rPr>
      </w:pPr>
      <w:r w:rsidRPr="001B2B6D">
        <w:rPr>
          <w:szCs w:val="20"/>
        </w:rPr>
        <w:t xml:space="preserve">The introduction of a bond product in Australia would potentially require legislative amendments. </w:t>
      </w:r>
    </w:p>
    <w:p w14:paraId="5307FB06" w14:textId="3085F025" w:rsidR="009516F2" w:rsidRPr="001B2B6D" w:rsidRDefault="009516F2" w:rsidP="00DF4E71">
      <w:pPr>
        <w:pStyle w:val="ListParagraph"/>
        <w:numPr>
          <w:ilvl w:val="0"/>
          <w:numId w:val="62"/>
        </w:numPr>
        <w:rPr>
          <w:szCs w:val="20"/>
        </w:rPr>
      </w:pPr>
      <w:r w:rsidRPr="001B2B6D">
        <w:rPr>
          <w:szCs w:val="20"/>
        </w:rPr>
        <w:t>There is a lack of clarity over the boundaries of responsibility between different tiers of government which complicates this issue.</w:t>
      </w:r>
    </w:p>
    <w:p w14:paraId="73385453" w14:textId="77777777" w:rsidR="009516F2" w:rsidRPr="001E3B94" w:rsidRDefault="009516F2" w:rsidP="00D759CD">
      <w:pPr>
        <w:rPr>
          <w:rFonts w:eastAsia="Times New Roman" w:cs="Tahoma"/>
          <w:color w:val="000000"/>
          <w:szCs w:val="20"/>
        </w:rPr>
      </w:pPr>
    </w:p>
    <w:p w14:paraId="7ED4FD73" w14:textId="77777777" w:rsidR="00BE1C8C" w:rsidRDefault="00BE1C8C" w:rsidP="00BE1C8C">
      <w:pPr>
        <w:pStyle w:val="Heading1"/>
      </w:pPr>
      <w:bookmarkStart w:id="83" w:name="_Toc430896853"/>
      <w:r>
        <w:lastRenderedPageBreak/>
        <w:t>the challenge facing australian cities</w:t>
      </w:r>
      <w:bookmarkEnd w:id="83"/>
    </w:p>
    <w:p w14:paraId="4C0C1FE2" w14:textId="77777777" w:rsidR="005D0959" w:rsidRDefault="00BE1C8C" w:rsidP="00BE1C8C">
      <w:r>
        <w:t xml:space="preserve">Australian cities are growing and their urban form is changing rapidly. </w:t>
      </w:r>
      <w:r w:rsidR="004E658D">
        <w:t xml:space="preserve">Our cities are becoming more intensive in employment patterns with a renewed focus on city centres as job generators and magnets. </w:t>
      </w:r>
      <w:r>
        <w:t xml:space="preserve">This is part of a global trend. </w:t>
      </w:r>
      <w:r w:rsidR="005D0959">
        <w:t xml:space="preserve">It creates the opportunity to introduce value capture mechanisms into urban renewal projects that will enliven cities and enhance their economic performance. Although value capture can be deployed to outer suburbs and even greenfield areas where potential property value uplift can be clearly seen, it is especially suited for urban renewal areas where population density is to be rapidly increased. </w:t>
      </w:r>
    </w:p>
    <w:p w14:paraId="08300BBA" w14:textId="77777777" w:rsidR="005D0959" w:rsidRDefault="005D0959" w:rsidP="00BE1C8C"/>
    <w:p w14:paraId="363EA441" w14:textId="77777777" w:rsidR="00BE1C8C" w:rsidRDefault="00BE1C8C" w:rsidP="00BE1C8C">
      <w:r>
        <w:t>Currently,</w:t>
      </w:r>
      <w:r>
        <w:rPr>
          <w:lang w:val="en-AU"/>
        </w:rPr>
        <w:t xml:space="preserve"> </w:t>
      </w:r>
      <w:r w:rsidR="004A3C08">
        <w:rPr>
          <w:lang w:val="en-AU"/>
        </w:rPr>
        <w:t xml:space="preserve">major </w:t>
      </w:r>
      <w:r>
        <w:t xml:space="preserve">Australian cities are characterised by large urban areas with low population density served by public transport systems featuring ‘hub and spoke’ structures and Inadequate cross regional links. Our public transport systems are a legacy of traditional nineteenth century urban forms subverted by massive suburban expansion especially after World War Two. This shift was exacerbated by a change in the nature of the job market from employment, retail and commercial activities being primarily located in the city centre to more dispersed manufacturing-based activity in suburban areas. The rise of personal car transport with abundant parking at suburban workplaces further entrenched this urban form. The changing nature of the Australian economy today with a reduction in manufacturing and an increase in services has reversed this trend. Manufacturing is now primarily undertaken offshore. Australia has high levels of tertiary education by global standards with a resulting increase in professional services. Increasingly, employment growth is found back in the city </w:t>
      </w:r>
      <w:r w:rsidR="005968D6">
        <w:t xml:space="preserve">centre </w:t>
      </w:r>
      <w:r>
        <w:t xml:space="preserve">due to the evolution of a knowledge economy. </w:t>
      </w:r>
    </w:p>
    <w:p w14:paraId="1C30289C" w14:textId="77777777" w:rsidR="0076797E" w:rsidRDefault="0076797E" w:rsidP="00BE1C8C"/>
    <w:p w14:paraId="7E9297B9" w14:textId="77777777" w:rsidR="0076797E" w:rsidRDefault="0076797E" w:rsidP="0076797E">
      <w:r>
        <w:t>Changes to transport networks have the ability to shape and re-shape the land use development pattern and density of any city; indeed, transport investments can be used to facilitate and encourage a desired urban form. This ‘city-shaping’ ability of transport infrastructure underscores the highly interdependent nature of land use and transport planning.</w:t>
      </w:r>
    </w:p>
    <w:p w14:paraId="58D3971B" w14:textId="77777777" w:rsidR="0076797E" w:rsidRDefault="0076797E" w:rsidP="0076797E">
      <w:pPr>
        <w:rPr>
          <w:szCs w:val="20"/>
        </w:rPr>
      </w:pPr>
    </w:p>
    <w:p w14:paraId="4858CD3C" w14:textId="77777777" w:rsidR="0076797E" w:rsidRDefault="0076797E" w:rsidP="0076797E">
      <w:r>
        <w:t xml:space="preserve">Transport infrastructure plays several roles in supporting city development. Commuter rail routes bring workers to the CBD from across the metropolitan region. These routes expand the spatial catchment of the CBD. Within the CBD and inner suburbs, </w:t>
      </w:r>
      <w:r>
        <w:rPr>
          <w:lang w:val="en-AU"/>
        </w:rPr>
        <w:t xml:space="preserve">investments that extend the light rail network are critical to increasing the economic capacity of the city and spreading dense development beyond the existing CBD grid. Light rail both brings commuters from the inner suburbs to the CBD, and through interchanges with the heavy rail and bus networks, acts to spread dense development along light rail corridors. </w:t>
      </w:r>
      <w:r w:rsidRPr="009C5799">
        <w:t>Together</w:t>
      </w:r>
      <w:r>
        <w:t>,</w:t>
      </w:r>
      <w:r w:rsidRPr="009C5799">
        <w:t xml:space="preserve"> </w:t>
      </w:r>
      <w:r>
        <w:t xml:space="preserve">public transport infrastructure </w:t>
      </w:r>
      <w:r w:rsidRPr="009C5799">
        <w:t>strengthen</w:t>
      </w:r>
      <w:r>
        <w:t>s</w:t>
      </w:r>
      <w:r w:rsidRPr="009C5799">
        <w:t xml:space="preserve"> the a</w:t>
      </w:r>
      <w:r>
        <w:t>gglomeration economies on offer, improving productivity and growing economic capacity.</w:t>
      </w:r>
      <w:r w:rsidRPr="009C5799">
        <w:t xml:space="preserve"> </w:t>
      </w:r>
    </w:p>
    <w:p w14:paraId="11C65C41" w14:textId="77777777" w:rsidR="0076797E" w:rsidRDefault="0076797E" w:rsidP="0076797E"/>
    <w:p w14:paraId="01CDDAD8" w14:textId="77777777" w:rsidR="0076797E" w:rsidRDefault="0014404B" w:rsidP="0076797E">
      <w:r>
        <w:t xml:space="preserve">Public transport is accepted by the community as the best mode for mass transit. However, an equitable and sustainable funding model for building and operating public transport has not yet been established in Australia. </w:t>
      </w:r>
      <w:r w:rsidR="0076797E">
        <w:t xml:space="preserve">Yet funding new public transport infrastructure is a vexed topic in Australia. New roads have been given precedence in government infrastructure plans, largely due to the existence of a user pays model for toll roads which was seen as an ‘off balance sheet’ structure with no cost and minimal risk to government. The credibility of this model has been damaged in recent years with the bankruptcy of syndicates operating such toll roads as the Cross City Tunnel, Lane Cove Tunnel and CLEM 7 tunnel in Brisbane. As a result, the NSW Government is now building and operating the new Westconnex toll road until it reaches maturity and a concession can be sold to the private sector. </w:t>
      </w:r>
    </w:p>
    <w:p w14:paraId="515150E8" w14:textId="77777777" w:rsidR="0039140F" w:rsidRDefault="0039140F" w:rsidP="00BE1C8C"/>
    <w:p w14:paraId="3799B637" w14:textId="77777777" w:rsidR="0039140F" w:rsidRDefault="0039140F" w:rsidP="00BE1C8C">
      <w:r>
        <w:t>The following table provides context for the experience of Australian cities in the twenty-first century.</w:t>
      </w:r>
    </w:p>
    <w:p w14:paraId="23FDCDE1" w14:textId="77777777" w:rsidR="00E4454D" w:rsidRDefault="00E4454D" w:rsidP="00BE1C8C"/>
    <w:p w14:paraId="5ACFFB37" w14:textId="77777777" w:rsidR="00E4454D" w:rsidRDefault="00E4454D" w:rsidP="00BE1C8C"/>
    <w:p w14:paraId="77E55BF2" w14:textId="77777777" w:rsidR="00E4454D" w:rsidRDefault="00E4454D" w:rsidP="00BE1C8C"/>
    <w:p w14:paraId="3505537E" w14:textId="5335CE55" w:rsidR="00E4454D" w:rsidRDefault="00E4454D" w:rsidP="00E4454D">
      <w:pPr>
        <w:pStyle w:val="Caption"/>
      </w:pPr>
      <w:bookmarkStart w:id="84" w:name="_Toc430896547"/>
      <w:r w:rsidRPr="00B1594C">
        <w:lastRenderedPageBreak/>
        <w:t xml:space="preserve">Table </w:t>
      </w:r>
      <w:r w:rsidRPr="00B1594C">
        <w:fldChar w:fldCharType="begin"/>
      </w:r>
      <w:r w:rsidRPr="00B1594C">
        <w:instrText xml:space="preserve"> SEQ Table \* ARABIC </w:instrText>
      </w:r>
      <w:r w:rsidRPr="00B1594C">
        <w:fldChar w:fldCharType="separate"/>
      </w:r>
      <w:r w:rsidR="00184C79">
        <w:rPr>
          <w:noProof/>
        </w:rPr>
        <w:t>13</w:t>
      </w:r>
      <w:r w:rsidRPr="00B1594C">
        <w:fldChar w:fldCharType="end"/>
      </w:r>
      <w:r w:rsidRPr="00B1594C">
        <w:t>.</w:t>
      </w:r>
      <w:r w:rsidRPr="00B1594C">
        <w:tab/>
      </w:r>
      <w:r w:rsidR="008A4003">
        <w:t>issues impacting on cit</w:t>
      </w:r>
      <w:r w:rsidR="00B1594C" w:rsidRPr="00B1594C">
        <w:t>ies</w:t>
      </w:r>
      <w:bookmarkEnd w:id="84"/>
    </w:p>
    <w:p w14:paraId="1EF035F9" w14:textId="77777777" w:rsidR="0039140F" w:rsidRDefault="0039140F" w:rsidP="00BE1C8C"/>
    <w:p w14:paraId="00534AB5" w14:textId="77777777" w:rsidR="00BE1C8C" w:rsidRDefault="00BE1C8C" w:rsidP="00BE1C8C">
      <w:r w:rsidRPr="00593796">
        <w:rPr>
          <w:noProof/>
          <w:lang w:val="en-US" w:eastAsia="en-US"/>
        </w:rPr>
        <w:drawing>
          <wp:inline distT="0" distB="0" distL="0" distR="0" wp14:anchorId="0691AB06" wp14:editId="1D5AB2E3">
            <wp:extent cx="6142339" cy="2708694"/>
            <wp:effectExtent l="0" t="0" r="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35"/>
                    <a:stretch>
                      <a:fillRect/>
                    </a:stretch>
                  </pic:blipFill>
                  <pic:spPr bwMode="auto">
                    <a:xfrm>
                      <a:off x="0" y="0"/>
                      <a:ext cx="6155187" cy="2714360"/>
                    </a:xfrm>
                    <a:prstGeom prst="rect">
                      <a:avLst/>
                    </a:prstGeom>
                    <a:noFill/>
                    <a:ln w="9525">
                      <a:noFill/>
                      <a:miter lim="800000"/>
                      <a:headEnd/>
                      <a:tailEnd/>
                    </a:ln>
                  </pic:spPr>
                </pic:pic>
              </a:graphicData>
            </a:graphic>
          </wp:inline>
        </w:drawing>
      </w:r>
    </w:p>
    <w:p w14:paraId="22E81CE6" w14:textId="77777777" w:rsidR="00146C3E" w:rsidRPr="007C30F7" w:rsidRDefault="00146C3E" w:rsidP="00146C3E">
      <w:pPr>
        <w:pStyle w:val="TableSource0"/>
      </w:pPr>
      <w:r w:rsidRPr="007C30F7">
        <w:t xml:space="preserve">Source: </w:t>
      </w:r>
      <w:r>
        <w:t>SGS Economics and Planning, 2014</w:t>
      </w:r>
    </w:p>
    <w:p w14:paraId="3DA97A2C" w14:textId="77777777" w:rsidR="00146C3E" w:rsidRDefault="00146C3E" w:rsidP="00BE1C8C"/>
    <w:p w14:paraId="1665AC8A" w14:textId="77777777" w:rsidR="00B64934" w:rsidRDefault="00B64934" w:rsidP="00BE1C8C">
      <w:r>
        <w:t>The following s</w:t>
      </w:r>
      <w:r w:rsidR="00374584">
        <w:t>e</w:t>
      </w:r>
      <w:r>
        <w:t>ctions look at</w:t>
      </w:r>
      <w:r w:rsidR="00374584">
        <w:t xml:space="preserve"> urban renewal</w:t>
      </w:r>
      <w:r w:rsidR="00E232FF">
        <w:t>, value capture</w:t>
      </w:r>
      <w:r w:rsidR="00374584">
        <w:t xml:space="preserve"> and</w:t>
      </w:r>
      <w:r>
        <w:t xml:space="preserve"> the public transport infrastructure challenges of 5 major Australian cities.</w:t>
      </w:r>
    </w:p>
    <w:p w14:paraId="5598F91C" w14:textId="77777777" w:rsidR="00BC2B05" w:rsidRDefault="00BC2B05" w:rsidP="009861AC">
      <w:pPr>
        <w:pStyle w:val="Heading2"/>
      </w:pPr>
      <w:bookmarkStart w:id="85" w:name="_Toc430896854"/>
      <w:bookmarkStart w:id="86" w:name="_Toc430554431"/>
      <w:r>
        <w:t>Urban Renewal</w:t>
      </w:r>
      <w:r w:rsidR="00030219">
        <w:t xml:space="preserve"> Principles</w:t>
      </w:r>
      <w:bookmarkEnd w:id="85"/>
    </w:p>
    <w:p w14:paraId="68997A3F" w14:textId="77777777" w:rsidR="0068142C" w:rsidRDefault="0068142C" w:rsidP="00BC2B05">
      <w:pPr>
        <w:pStyle w:val="Default"/>
        <w:rPr>
          <w:sz w:val="20"/>
          <w:szCs w:val="20"/>
        </w:rPr>
      </w:pPr>
      <w:r>
        <w:rPr>
          <w:sz w:val="20"/>
          <w:szCs w:val="20"/>
        </w:rPr>
        <w:t>Australian cities are increasingly facing the challenges and opportunities of urban renewal.</w:t>
      </w:r>
    </w:p>
    <w:p w14:paraId="62F3B573" w14:textId="77777777" w:rsidR="0068142C" w:rsidRDefault="0068142C" w:rsidP="00BC2B05">
      <w:pPr>
        <w:pStyle w:val="Default"/>
        <w:rPr>
          <w:sz w:val="20"/>
          <w:szCs w:val="20"/>
        </w:rPr>
      </w:pPr>
    </w:p>
    <w:p w14:paraId="3A84F291" w14:textId="77777777" w:rsidR="0068142C" w:rsidRDefault="0068142C" w:rsidP="00BC2B05">
      <w:pPr>
        <w:pStyle w:val="Default"/>
        <w:rPr>
          <w:sz w:val="20"/>
          <w:szCs w:val="20"/>
        </w:rPr>
      </w:pPr>
      <w:r>
        <w:rPr>
          <w:sz w:val="20"/>
          <w:szCs w:val="20"/>
        </w:rPr>
        <w:t>This creates a perfect environment for the introduction of value capture mechanisms to create new public transport infrastructure in urban renewal zones.</w:t>
      </w:r>
    </w:p>
    <w:p w14:paraId="195A6CD6" w14:textId="77777777" w:rsidR="0068142C" w:rsidRDefault="0068142C" w:rsidP="00BC2B05">
      <w:pPr>
        <w:pStyle w:val="Default"/>
        <w:rPr>
          <w:sz w:val="20"/>
          <w:szCs w:val="20"/>
        </w:rPr>
      </w:pPr>
    </w:p>
    <w:p w14:paraId="3D0DFE25" w14:textId="77777777" w:rsidR="00BC2B05" w:rsidRDefault="00BC2B05" w:rsidP="00BC2B05">
      <w:pPr>
        <w:pStyle w:val="Default"/>
        <w:rPr>
          <w:sz w:val="20"/>
          <w:szCs w:val="20"/>
        </w:rPr>
      </w:pPr>
      <w:r>
        <w:rPr>
          <w:sz w:val="20"/>
          <w:szCs w:val="20"/>
        </w:rPr>
        <w:t xml:space="preserve">Urban renewal is the process of transforming often underutilised and sometimes degraded or neglected parts of the city into spaces and built environments that meet contemporary living, working or cultural needs. While urban renewal can happen incrementally, as established urban areas are modernised through new investment, it is usually facilitated by a dedicated public effort. </w:t>
      </w:r>
    </w:p>
    <w:p w14:paraId="5CDBB851" w14:textId="77777777" w:rsidR="00BC2B05" w:rsidRDefault="00BC2B05" w:rsidP="00BC2B05">
      <w:pPr>
        <w:pStyle w:val="Default"/>
        <w:rPr>
          <w:sz w:val="20"/>
          <w:szCs w:val="20"/>
        </w:rPr>
      </w:pPr>
    </w:p>
    <w:p w14:paraId="743AE453" w14:textId="77777777" w:rsidR="00BC2B05" w:rsidRDefault="00BC2B05" w:rsidP="00BC2B05">
      <w:pPr>
        <w:pStyle w:val="Default"/>
        <w:rPr>
          <w:sz w:val="20"/>
          <w:szCs w:val="20"/>
        </w:rPr>
      </w:pPr>
      <w:r>
        <w:rPr>
          <w:sz w:val="20"/>
          <w:szCs w:val="20"/>
        </w:rPr>
        <w:t xml:space="preserve">Successful urban renewal can generate a range of benefits, including better utilisation of existing and proposed infrastructure, increasing the productivity of the city from the colocation of more intensive jobs and housing, attracting visitors and additional expenditure, and providing new employment opportunities. Renewal projects working to clear targets also offer the prospect of more sustainable development including less greenhouse emissions and more affordable housing compared to ‘business as usual’. </w:t>
      </w:r>
    </w:p>
    <w:p w14:paraId="12562962" w14:textId="77777777" w:rsidR="00BC2B05" w:rsidRDefault="00BC2B05" w:rsidP="00BC2B05">
      <w:pPr>
        <w:pStyle w:val="Default"/>
        <w:rPr>
          <w:sz w:val="20"/>
          <w:szCs w:val="20"/>
        </w:rPr>
      </w:pPr>
      <w:r>
        <w:rPr>
          <w:sz w:val="20"/>
          <w:szCs w:val="20"/>
        </w:rPr>
        <w:t xml:space="preserve">Desirable or best practice principles for renewal should cover the relevant elements or features of the renewal process. A framework for renewal, showing the constituent elements, is shown in Figure 2 and includes: </w:t>
      </w:r>
    </w:p>
    <w:p w14:paraId="0E7E575E" w14:textId="77777777" w:rsidR="00915356" w:rsidRDefault="00915356" w:rsidP="00915356">
      <w:pPr>
        <w:pStyle w:val="Default"/>
        <w:rPr>
          <w:sz w:val="20"/>
          <w:szCs w:val="20"/>
        </w:rPr>
      </w:pPr>
    </w:p>
    <w:p w14:paraId="1FEA5E8F" w14:textId="77777777" w:rsidR="00BC2B05" w:rsidRDefault="00BC2B05" w:rsidP="00791C11">
      <w:pPr>
        <w:pStyle w:val="Default"/>
        <w:numPr>
          <w:ilvl w:val="0"/>
          <w:numId w:val="40"/>
        </w:numPr>
        <w:ind w:left="360"/>
        <w:rPr>
          <w:sz w:val="20"/>
          <w:szCs w:val="20"/>
        </w:rPr>
      </w:pPr>
      <w:r>
        <w:rPr>
          <w:b/>
          <w:bCs/>
          <w:sz w:val="20"/>
          <w:szCs w:val="20"/>
        </w:rPr>
        <w:t>The rationale for the project</w:t>
      </w:r>
      <w:r>
        <w:rPr>
          <w:sz w:val="20"/>
          <w:szCs w:val="20"/>
        </w:rPr>
        <w:t xml:space="preserve">. Why is this project being undertaken, who is it for and –at a high level -what does it seek to provide? Policy drivers (such as the metropolitan strategy) are likely to be invoked as a fundamental rationale but there may be other social, economic or environmental reasons for action. </w:t>
      </w:r>
    </w:p>
    <w:p w14:paraId="7D3A4A45" w14:textId="77777777" w:rsidR="00BC2B05" w:rsidRDefault="00BC2B05" w:rsidP="00915356">
      <w:pPr>
        <w:pStyle w:val="Default"/>
        <w:rPr>
          <w:sz w:val="20"/>
          <w:szCs w:val="20"/>
        </w:rPr>
      </w:pPr>
    </w:p>
    <w:p w14:paraId="40402D5B" w14:textId="77777777" w:rsidR="00BC2B05" w:rsidRDefault="00BC2B05" w:rsidP="00791C11">
      <w:pPr>
        <w:pStyle w:val="Default"/>
        <w:numPr>
          <w:ilvl w:val="0"/>
          <w:numId w:val="40"/>
        </w:numPr>
        <w:ind w:left="360"/>
        <w:rPr>
          <w:sz w:val="20"/>
          <w:szCs w:val="20"/>
        </w:rPr>
      </w:pPr>
      <w:r>
        <w:rPr>
          <w:b/>
          <w:bCs/>
          <w:sz w:val="20"/>
          <w:szCs w:val="20"/>
        </w:rPr>
        <w:t>The delivery steps to development</w:t>
      </w:r>
      <w:r>
        <w:rPr>
          <w:sz w:val="20"/>
          <w:szCs w:val="20"/>
        </w:rPr>
        <w:t xml:space="preserve">. This extends through: </w:t>
      </w:r>
    </w:p>
    <w:p w14:paraId="7918D24C" w14:textId="77777777" w:rsidR="00BC2B05" w:rsidRDefault="00BC2B05" w:rsidP="00791C11">
      <w:pPr>
        <w:pStyle w:val="Default"/>
        <w:numPr>
          <w:ilvl w:val="0"/>
          <w:numId w:val="47"/>
        </w:numPr>
        <w:spacing w:after="13"/>
        <w:rPr>
          <w:sz w:val="20"/>
          <w:szCs w:val="20"/>
        </w:rPr>
      </w:pPr>
      <w:r>
        <w:rPr>
          <w:sz w:val="20"/>
          <w:szCs w:val="20"/>
        </w:rPr>
        <w:t xml:space="preserve">Vision and plan-making including research and analysis, community engagement, objectives setting, options development and evaluation. </w:t>
      </w:r>
    </w:p>
    <w:p w14:paraId="4848B06F" w14:textId="77777777" w:rsidR="0068142C" w:rsidRDefault="00BC2B05" w:rsidP="00791C11">
      <w:pPr>
        <w:pStyle w:val="Default"/>
        <w:numPr>
          <w:ilvl w:val="0"/>
          <w:numId w:val="47"/>
        </w:numPr>
        <w:rPr>
          <w:rFonts w:cstheme="minorBidi"/>
          <w:color w:val="auto"/>
        </w:rPr>
      </w:pPr>
      <w:r>
        <w:rPr>
          <w:sz w:val="20"/>
          <w:szCs w:val="20"/>
        </w:rPr>
        <w:t xml:space="preserve">The provision of public space and infrastructure to ‘frame the development’ </w:t>
      </w:r>
    </w:p>
    <w:p w14:paraId="27A571DC" w14:textId="77777777" w:rsidR="0068142C" w:rsidRDefault="0068142C" w:rsidP="00791C11">
      <w:pPr>
        <w:pStyle w:val="Default"/>
        <w:numPr>
          <w:ilvl w:val="0"/>
          <w:numId w:val="47"/>
        </w:numPr>
        <w:spacing w:after="15"/>
        <w:rPr>
          <w:color w:val="auto"/>
          <w:sz w:val="20"/>
          <w:szCs w:val="20"/>
        </w:rPr>
      </w:pPr>
      <w:r>
        <w:rPr>
          <w:color w:val="auto"/>
          <w:sz w:val="20"/>
          <w:szCs w:val="20"/>
        </w:rPr>
        <w:t xml:space="preserve">Preparation for development and subdivision which involves the creation of lots for development. </w:t>
      </w:r>
    </w:p>
    <w:p w14:paraId="110DCF1B" w14:textId="77777777" w:rsidR="0068142C" w:rsidRDefault="0068142C" w:rsidP="00791C11">
      <w:pPr>
        <w:pStyle w:val="Default"/>
        <w:numPr>
          <w:ilvl w:val="0"/>
          <w:numId w:val="47"/>
        </w:numPr>
        <w:rPr>
          <w:color w:val="auto"/>
          <w:sz w:val="20"/>
          <w:szCs w:val="20"/>
        </w:rPr>
      </w:pPr>
      <w:r>
        <w:rPr>
          <w:color w:val="auto"/>
          <w:sz w:val="20"/>
          <w:szCs w:val="20"/>
        </w:rPr>
        <w:t xml:space="preserve">Buildings and development including housing, offices, shops, community facilities etc. </w:t>
      </w:r>
    </w:p>
    <w:p w14:paraId="59CEEB8A" w14:textId="77777777" w:rsidR="0068142C" w:rsidRDefault="0068142C" w:rsidP="00915356">
      <w:pPr>
        <w:pStyle w:val="Default"/>
        <w:rPr>
          <w:color w:val="auto"/>
          <w:sz w:val="20"/>
          <w:szCs w:val="20"/>
        </w:rPr>
      </w:pPr>
    </w:p>
    <w:p w14:paraId="722EF7D4" w14:textId="77777777" w:rsidR="0068142C" w:rsidRDefault="0068142C" w:rsidP="00791C11">
      <w:pPr>
        <w:pStyle w:val="Default"/>
        <w:numPr>
          <w:ilvl w:val="0"/>
          <w:numId w:val="40"/>
        </w:numPr>
        <w:ind w:left="360"/>
        <w:rPr>
          <w:color w:val="auto"/>
          <w:sz w:val="20"/>
          <w:szCs w:val="20"/>
        </w:rPr>
      </w:pPr>
      <w:r>
        <w:rPr>
          <w:b/>
          <w:bCs/>
          <w:color w:val="auto"/>
          <w:sz w:val="20"/>
          <w:szCs w:val="20"/>
        </w:rPr>
        <w:t xml:space="preserve">Governance. </w:t>
      </w:r>
      <w:r>
        <w:rPr>
          <w:color w:val="auto"/>
          <w:sz w:val="20"/>
          <w:szCs w:val="20"/>
        </w:rPr>
        <w:t xml:space="preserve">This covers all dimensions from who does the planning, through to who provides the infrastructure, who approves development and who ultimately manages and provides the services. </w:t>
      </w:r>
    </w:p>
    <w:p w14:paraId="0EE67309" w14:textId="77777777" w:rsidR="0068142C" w:rsidRDefault="0068142C" w:rsidP="00915356">
      <w:pPr>
        <w:pStyle w:val="Default"/>
        <w:rPr>
          <w:color w:val="auto"/>
          <w:sz w:val="20"/>
          <w:szCs w:val="20"/>
        </w:rPr>
      </w:pPr>
    </w:p>
    <w:p w14:paraId="39D7CCDA" w14:textId="77777777" w:rsidR="0068142C" w:rsidRDefault="0068142C" w:rsidP="00791C11">
      <w:pPr>
        <w:pStyle w:val="Default"/>
        <w:numPr>
          <w:ilvl w:val="0"/>
          <w:numId w:val="40"/>
        </w:numPr>
        <w:ind w:left="360"/>
        <w:rPr>
          <w:color w:val="auto"/>
          <w:sz w:val="20"/>
          <w:szCs w:val="20"/>
        </w:rPr>
      </w:pPr>
      <w:r>
        <w:rPr>
          <w:b/>
          <w:bCs/>
          <w:color w:val="auto"/>
          <w:sz w:val="20"/>
          <w:szCs w:val="20"/>
        </w:rPr>
        <w:t xml:space="preserve">Monitoring. </w:t>
      </w:r>
      <w:r>
        <w:rPr>
          <w:color w:val="auto"/>
          <w:sz w:val="20"/>
          <w:szCs w:val="20"/>
        </w:rPr>
        <w:t>This is part of effective governance and involves identifying the extent to which original objectives are being met, as well as changes in context that might require a change in direction</w:t>
      </w:r>
      <w:r>
        <w:rPr>
          <w:b/>
          <w:bCs/>
          <w:color w:val="auto"/>
          <w:sz w:val="20"/>
          <w:szCs w:val="20"/>
        </w:rPr>
        <w:t xml:space="preserve">. </w:t>
      </w:r>
    </w:p>
    <w:p w14:paraId="26DAA3F5" w14:textId="77777777" w:rsidR="0068142C" w:rsidRDefault="0068142C" w:rsidP="0068142C">
      <w:pPr>
        <w:pStyle w:val="Default"/>
        <w:rPr>
          <w:color w:val="auto"/>
          <w:sz w:val="20"/>
          <w:szCs w:val="20"/>
        </w:rPr>
      </w:pPr>
    </w:p>
    <w:p w14:paraId="2CD0C2E6" w14:textId="77777777" w:rsidR="0068142C" w:rsidRDefault="00915356" w:rsidP="0068142C">
      <w:r>
        <w:rPr>
          <w:szCs w:val="20"/>
        </w:rPr>
        <w:t>There is also a</w:t>
      </w:r>
      <w:r w:rsidR="0068142C">
        <w:rPr>
          <w:szCs w:val="20"/>
        </w:rPr>
        <w:t xml:space="preserve"> need for overarching </w:t>
      </w:r>
      <w:r>
        <w:rPr>
          <w:szCs w:val="20"/>
        </w:rPr>
        <w:t>‘foundation principles’</w:t>
      </w:r>
      <w:r w:rsidR="0068142C">
        <w:rPr>
          <w:szCs w:val="20"/>
        </w:rPr>
        <w:t xml:space="preserve"> for successful renewal processes and projects. </w:t>
      </w:r>
      <w:r>
        <w:rPr>
          <w:szCs w:val="20"/>
        </w:rPr>
        <w:t>These principles will support decisions to invest in new public transport infrastructure. This creates the platform for introduction of value capture mechanisms.</w:t>
      </w:r>
    </w:p>
    <w:p w14:paraId="0D4CA0B0" w14:textId="77777777" w:rsidR="00BC2B05" w:rsidRDefault="007B7A96" w:rsidP="009861AC">
      <w:pPr>
        <w:pStyle w:val="Heading2"/>
      </w:pPr>
      <w:bookmarkStart w:id="87" w:name="_Toc430896855"/>
      <w:r>
        <w:t>Co</w:t>
      </w:r>
      <w:r w:rsidR="00BC2B05">
        <w:t>re principles</w:t>
      </w:r>
      <w:r w:rsidR="00A26CB5">
        <w:t xml:space="preserve"> of urban renewal</w:t>
      </w:r>
      <w:bookmarkEnd w:id="87"/>
      <w:r w:rsidR="00BC2B05">
        <w:t xml:space="preserve"> </w:t>
      </w:r>
    </w:p>
    <w:p w14:paraId="28B7D7B1" w14:textId="77777777" w:rsidR="00BC2B05" w:rsidRDefault="00BC2B05" w:rsidP="00791C11">
      <w:pPr>
        <w:pStyle w:val="Default"/>
        <w:numPr>
          <w:ilvl w:val="0"/>
          <w:numId w:val="41"/>
        </w:numPr>
        <w:ind w:left="360"/>
        <w:rPr>
          <w:sz w:val="20"/>
          <w:szCs w:val="20"/>
        </w:rPr>
      </w:pPr>
      <w:r>
        <w:rPr>
          <w:b/>
          <w:bCs/>
          <w:sz w:val="20"/>
          <w:szCs w:val="20"/>
        </w:rPr>
        <w:t xml:space="preserve">Create ‘shared value’ for the long term public interest </w:t>
      </w:r>
    </w:p>
    <w:p w14:paraId="2FDA5826" w14:textId="77777777" w:rsidR="00BC2B05" w:rsidRDefault="00BC2B05" w:rsidP="00A26CB5">
      <w:pPr>
        <w:pStyle w:val="Default"/>
        <w:rPr>
          <w:sz w:val="20"/>
          <w:szCs w:val="20"/>
        </w:rPr>
      </w:pPr>
      <w:r>
        <w:rPr>
          <w:sz w:val="20"/>
          <w:szCs w:val="20"/>
        </w:rPr>
        <w:t xml:space="preserve">Value should be created for different communities. The scale, membership and reach of these communities may vary but their interests are long term. </w:t>
      </w:r>
    </w:p>
    <w:p w14:paraId="66748225" w14:textId="77777777" w:rsidR="00915356" w:rsidRDefault="00915356" w:rsidP="00A26CB5">
      <w:pPr>
        <w:pStyle w:val="Default"/>
        <w:rPr>
          <w:sz w:val="20"/>
          <w:szCs w:val="20"/>
        </w:rPr>
      </w:pPr>
    </w:p>
    <w:p w14:paraId="1EB1A534" w14:textId="77777777" w:rsidR="00BC2B05" w:rsidRDefault="00BC2B05" w:rsidP="00791C11">
      <w:pPr>
        <w:pStyle w:val="Default"/>
        <w:numPr>
          <w:ilvl w:val="0"/>
          <w:numId w:val="41"/>
        </w:numPr>
        <w:ind w:left="360"/>
        <w:rPr>
          <w:sz w:val="20"/>
          <w:szCs w:val="20"/>
        </w:rPr>
      </w:pPr>
      <w:r>
        <w:rPr>
          <w:b/>
          <w:bCs/>
          <w:sz w:val="20"/>
          <w:szCs w:val="20"/>
        </w:rPr>
        <w:t xml:space="preserve">Develop the plan with stakeholders </w:t>
      </w:r>
    </w:p>
    <w:p w14:paraId="201B749D" w14:textId="77777777" w:rsidR="00BC2B05" w:rsidRDefault="00BC2B05" w:rsidP="00A26CB5">
      <w:pPr>
        <w:pStyle w:val="Default"/>
        <w:rPr>
          <w:sz w:val="20"/>
          <w:szCs w:val="20"/>
        </w:rPr>
      </w:pPr>
      <w:r>
        <w:rPr>
          <w:sz w:val="20"/>
          <w:szCs w:val="20"/>
        </w:rPr>
        <w:t xml:space="preserve">Early and meaningful engagement with the community and stakeholders is critical. Ongoing engagement should continue in the development of a vision, the setting of objectives, the preparation and evaluation of options and detailed planning for a preferred option. </w:t>
      </w:r>
    </w:p>
    <w:p w14:paraId="585571C4" w14:textId="77777777" w:rsidR="00915356" w:rsidRDefault="00915356" w:rsidP="00A26CB5">
      <w:pPr>
        <w:pStyle w:val="Default"/>
        <w:rPr>
          <w:sz w:val="20"/>
          <w:szCs w:val="20"/>
        </w:rPr>
      </w:pPr>
    </w:p>
    <w:p w14:paraId="60FA5806" w14:textId="77777777" w:rsidR="00BC2B05" w:rsidRDefault="00BC2B05" w:rsidP="00791C11">
      <w:pPr>
        <w:pStyle w:val="Default"/>
        <w:numPr>
          <w:ilvl w:val="0"/>
          <w:numId w:val="41"/>
        </w:numPr>
        <w:ind w:left="360"/>
        <w:rPr>
          <w:sz w:val="20"/>
          <w:szCs w:val="20"/>
        </w:rPr>
      </w:pPr>
      <w:r>
        <w:rPr>
          <w:b/>
          <w:bCs/>
          <w:sz w:val="20"/>
          <w:szCs w:val="20"/>
        </w:rPr>
        <w:t xml:space="preserve">Take a long term view </w:t>
      </w:r>
    </w:p>
    <w:p w14:paraId="7F0FC6A0" w14:textId="77777777" w:rsidR="00BC2B05" w:rsidRDefault="00BC2B05" w:rsidP="00A26CB5">
      <w:pPr>
        <w:pStyle w:val="Default"/>
        <w:rPr>
          <w:sz w:val="20"/>
          <w:szCs w:val="20"/>
        </w:rPr>
      </w:pPr>
      <w:r>
        <w:rPr>
          <w:sz w:val="20"/>
          <w:szCs w:val="20"/>
        </w:rPr>
        <w:t xml:space="preserve">Enduring and authentic development takes time. Desired outcomes should not therefore be defined by short-term prospects alone. </w:t>
      </w:r>
    </w:p>
    <w:p w14:paraId="1B43F046" w14:textId="77777777" w:rsidR="00915356" w:rsidRDefault="00915356" w:rsidP="00A26CB5">
      <w:pPr>
        <w:pStyle w:val="Default"/>
        <w:rPr>
          <w:sz w:val="20"/>
          <w:szCs w:val="20"/>
        </w:rPr>
      </w:pPr>
    </w:p>
    <w:p w14:paraId="1865628E" w14:textId="77777777" w:rsidR="00BC2B05" w:rsidRDefault="00BC2B05" w:rsidP="00791C11">
      <w:pPr>
        <w:pStyle w:val="Default"/>
        <w:numPr>
          <w:ilvl w:val="0"/>
          <w:numId w:val="41"/>
        </w:numPr>
        <w:ind w:left="360"/>
        <w:rPr>
          <w:sz w:val="20"/>
          <w:szCs w:val="20"/>
        </w:rPr>
      </w:pPr>
      <w:r>
        <w:rPr>
          <w:b/>
          <w:bCs/>
          <w:sz w:val="20"/>
          <w:szCs w:val="20"/>
        </w:rPr>
        <w:t xml:space="preserve">Agree the non-negotiables, including design standards </w:t>
      </w:r>
    </w:p>
    <w:p w14:paraId="0482B31D" w14:textId="77777777" w:rsidR="00BC2B05" w:rsidRDefault="00BC2B05" w:rsidP="00A26CB5">
      <w:pPr>
        <w:pStyle w:val="Default"/>
        <w:rPr>
          <w:sz w:val="20"/>
          <w:szCs w:val="20"/>
        </w:rPr>
      </w:pPr>
      <w:r>
        <w:rPr>
          <w:sz w:val="20"/>
          <w:szCs w:val="20"/>
        </w:rPr>
        <w:t>Certain design and development standards, community expectations and policy requirements may need to be satisfied by the process. These ‘non-negotiables’ should be clearly defined from the outset.</w:t>
      </w:r>
    </w:p>
    <w:p w14:paraId="251E04A0" w14:textId="77777777" w:rsidR="00915356" w:rsidRDefault="00915356" w:rsidP="00A26CB5">
      <w:pPr>
        <w:pStyle w:val="Default"/>
        <w:rPr>
          <w:sz w:val="20"/>
          <w:szCs w:val="20"/>
        </w:rPr>
      </w:pPr>
    </w:p>
    <w:p w14:paraId="0BA44499" w14:textId="77777777" w:rsidR="00BC2B05" w:rsidRDefault="00BC2B05" w:rsidP="00791C11">
      <w:pPr>
        <w:pStyle w:val="Default"/>
        <w:numPr>
          <w:ilvl w:val="0"/>
          <w:numId w:val="41"/>
        </w:numPr>
        <w:ind w:left="360"/>
        <w:rPr>
          <w:sz w:val="20"/>
          <w:szCs w:val="20"/>
        </w:rPr>
      </w:pPr>
      <w:r>
        <w:rPr>
          <w:b/>
          <w:bCs/>
          <w:sz w:val="20"/>
          <w:szCs w:val="20"/>
        </w:rPr>
        <w:t>Agree a reasonable financial profile –</w:t>
      </w:r>
      <w:r w:rsidR="00A26CB5">
        <w:rPr>
          <w:b/>
          <w:bCs/>
          <w:sz w:val="20"/>
          <w:szCs w:val="20"/>
        </w:rPr>
        <w:t xml:space="preserve"> </w:t>
      </w:r>
      <w:r>
        <w:rPr>
          <w:b/>
          <w:bCs/>
          <w:sz w:val="20"/>
          <w:szCs w:val="20"/>
        </w:rPr>
        <w:t xml:space="preserve">minimising up-front costs and de-risking development while providing an appropriate return on government land and infrastructure investments </w:t>
      </w:r>
    </w:p>
    <w:p w14:paraId="37E84639" w14:textId="77777777" w:rsidR="00BC2B05" w:rsidRDefault="00BC2B05" w:rsidP="00A26CB5">
      <w:pPr>
        <w:pStyle w:val="Default"/>
        <w:rPr>
          <w:sz w:val="20"/>
          <w:szCs w:val="20"/>
        </w:rPr>
      </w:pPr>
      <w:r>
        <w:rPr>
          <w:sz w:val="20"/>
          <w:szCs w:val="20"/>
        </w:rPr>
        <w:t>The aim is to recognise that the government is best placed to carry early development risk associated with planning, providing the infrastructure and preparing the site for development, because the beneficiaries of this are distributed widely including beyond the site and through different generations. Consequently the adopted financial approach should not necessarily anticipate significant early revenues which add to developer risks and put pressure on plans for modification to increase yields. This inevitably means that some up-front financing should be provided by government</w:t>
      </w:r>
      <w:r w:rsidR="00AF4D03">
        <w:rPr>
          <w:sz w:val="20"/>
          <w:szCs w:val="20"/>
        </w:rPr>
        <w:t xml:space="preserve">. However, </w:t>
      </w:r>
      <w:r>
        <w:rPr>
          <w:sz w:val="20"/>
          <w:szCs w:val="20"/>
        </w:rPr>
        <w:t xml:space="preserve">as land is sold and private sector development proceeds, the government should be entitled to an appropriate share of the land value realised to </w:t>
      </w:r>
      <w:r w:rsidR="00AF4D03">
        <w:rPr>
          <w:sz w:val="20"/>
          <w:szCs w:val="20"/>
        </w:rPr>
        <w:t>re</w:t>
      </w:r>
      <w:r>
        <w:rPr>
          <w:sz w:val="20"/>
          <w:szCs w:val="20"/>
        </w:rPr>
        <w:t>fund its early investment. A</w:t>
      </w:r>
      <w:r w:rsidR="00AF4D03">
        <w:rPr>
          <w:sz w:val="20"/>
          <w:szCs w:val="20"/>
        </w:rPr>
        <w:t xml:space="preserve"> value capture</w:t>
      </w:r>
      <w:r>
        <w:rPr>
          <w:sz w:val="20"/>
          <w:szCs w:val="20"/>
        </w:rPr>
        <w:t xml:space="preserve"> approach which provide</w:t>
      </w:r>
      <w:r w:rsidR="00AF4D03">
        <w:rPr>
          <w:sz w:val="20"/>
          <w:szCs w:val="20"/>
        </w:rPr>
        <w:t>s</w:t>
      </w:r>
      <w:r>
        <w:rPr>
          <w:sz w:val="20"/>
          <w:szCs w:val="20"/>
        </w:rPr>
        <w:t xml:space="preserve"> for return on government </w:t>
      </w:r>
      <w:r w:rsidR="00AF4D03">
        <w:rPr>
          <w:sz w:val="20"/>
          <w:szCs w:val="20"/>
        </w:rPr>
        <w:t xml:space="preserve">investment in </w:t>
      </w:r>
      <w:r>
        <w:rPr>
          <w:sz w:val="20"/>
          <w:szCs w:val="20"/>
        </w:rPr>
        <w:t xml:space="preserve">assets, while underpinning the delivery of external benefits, should be adopted. </w:t>
      </w:r>
    </w:p>
    <w:p w14:paraId="64DACBBA" w14:textId="77777777" w:rsidR="00915356" w:rsidRDefault="00915356" w:rsidP="00A26CB5">
      <w:pPr>
        <w:pStyle w:val="Default"/>
        <w:rPr>
          <w:sz w:val="20"/>
          <w:szCs w:val="20"/>
        </w:rPr>
      </w:pPr>
    </w:p>
    <w:p w14:paraId="38C6824D" w14:textId="77777777" w:rsidR="00BC2B05" w:rsidRDefault="00BC2B05" w:rsidP="00791C11">
      <w:pPr>
        <w:pStyle w:val="Default"/>
        <w:numPr>
          <w:ilvl w:val="0"/>
          <w:numId w:val="41"/>
        </w:numPr>
        <w:ind w:left="360"/>
        <w:rPr>
          <w:sz w:val="20"/>
          <w:szCs w:val="20"/>
        </w:rPr>
      </w:pPr>
      <w:r>
        <w:rPr>
          <w:b/>
          <w:bCs/>
          <w:sz w:val="20"/>
          <w:szCs w:val="20"/>
        </w:rPr>
        <w:t xml:space="preserve">Establish clear development objectives </w:t>
      </w:r>
    </w:p>
    <w:p w14:paraId="328194BF" w14:textId="77777777" w:rsidR="00BC2B05" w:rsidRDefault="00BC2B05" w:rsidP="00A26CB5">
      <w:pPr>
        <w:pStyle w:val="Default"/>
        <w:rPr>
          <w:sz w:val="20"/>
          <w:szCs w:val="20"/>
        </w:rPr>
      </w:pPr>
      <w:r>
        <w:rPr>
          <w:sz w:val="20"/>
          <w:szCs w:val="20"/>
        </w:rPr>
        <w:t xml:space="preserve">With a clear understanding of the development rationale and the non-negotiables, the planning process involving engagement with stakeholders, should develop and confirm clear objectives. The best objectives are not ‘motherhood statements’ but anticipate physical, economic and social outcomes in the place of focus. To this end they should be measurable. </w:t>
      </w:r>
    </w:p>
    <w:p w14:paraId="303435E2" w14:textId="77777777" w:rsidR="00915356" w:rsidRDefault="00915356" w:rsidP="00A26CB5">
      <w:pPr>
        <w:pStyle w:val="Default"/>
        <w:rPr>
          <w:sz w:val="20"/>
          <w:szCs w:val="20"/>
        </w:rPr>
      </w:pPr>
    </w:p>
    <w:p w14:paraId="5E03F86A" w14:textId="77777777" w:rsidR="00BC2B05" w:rsidRDefault="00BC2B05" w:rsidP="00791C11">
      <w:pPr>
        <w:pStyle w:val="Default"/>
        <w:numPr>
          <w:ilvl w:val="0"/>
          <w:numId w:val="41"/>
        </w:numPr>
        <w:ind w:left="360"/>
        <w:rPr>
          <w:sz w:val="20"/>
          <w:szCs w:val="20"/>
        </w:rPr>
      </w:pPr>
      <w:r>
        <w:rPr>
          <w:b/>
          <w:bCs/>
          <w:sz w:val="20"/>
          <w:szCs w:val="20"/>
        </w:rPr>
        <w:t xml:space="preserve">Establish clear development options to meet objectives </w:t>
      </w:r>
    </w:p>
    <w:p w14:paraId="595DE820" w14:textId="77777777" w:rsidR="00BC2B05" w:rsidRDefault="00BC2B05" w:rsidP="00A26CB5">
      <w:pPr>
        <w:pStyle w:val="Default"/>
        <w:rPr>
          <w:sz w:val="20"/>
          <w:szCs w:val="20"/>
        </w:rPr>
      </w:pPr>
      <w:r>
        <w:rPr>
          <w:sz w:val="20"/>
          <w:szCs w:val="20"/>
        </w:rPr>
        <w:t xml:space="preserve">There may be multiple ways to achieve objectives. Evaluating multiple options, including a base case, enables a comparison of what would happen with and without development and allows for the identification, evaluation and discussion of trade-offs. </w:t>
      </w:r>
    </w:p>
    <w:p w14:paraId="029F09DE" w14:textId="77777777" w:rsidR="00915356" w:rsidRDefault="00915356" w:rsidP="00A26CB5">
      <w:pPr>
        <w:pStyle w:val="Default"/>
        <w:rPr>
          <w:sz w:val="20"/>
          <w:szCs w:val="20"/>
        </w:rPr>
      </w:pPr>
    </w:p>
    <w:p w14:paraId="2A4A2EE4" w14:textId="77777777" w:rsidR="00BC2B05" w:rsidRDefault="00BC2B05" w:rsidP="00791C11">
      <w:pPr>
        <w:pStyle w:val="Default"/>
        <w:numPr>
          <w:ilvl w:val="0"/>
          <w:numId w:val="41"/>
        </w:numPr>
        <w:ind w:left="360"/>
        <w:rPr>
          <w:sz w:val="20"/>
          <w:szCs w:val="20"/>
        </w:rPr>
      </w:pPr>
      <w:r>
        <w:rPr>
          <w:b/>
          <w:bCs/>
          <w:sz w:val="20"/>
          <w:szCs w:val="20"/>
        </w:rPr>
        <w:t xml:space="preserve">Embody ‘localness’ and reintegrate with surrounds </w:t>
      </w:r>
    </w:p>
    <w:p w14:paraId="7AF59EDE" w14:textId="77777777" w:rsidR="00BC2B05" w:rsidRDefault="00BC2B05" w:rsidP="00A26CB5">
      <w:pPr>
        <w:pStyle w:val="Default"/>
        <w:rPr>
          <w:sz w:val="20"/>
          <w:szCs w:val="20"/>
        </w:rPr>
      </w:pPr>
      <w:r>
        <w:rPr>
          <w:sz w:val="20"/>
          <w:szCs w:val="20"/>
        </w:rPr>
        <w:t xml:space="preserve">While projects should be transformational given the scope, authenticity is most likely created where local character is recognisable in the development, and where the development ultimately ‘reads’ like an </w:t>
      </w:r>
      <w:r>
        <w:rPr>
          <w:sz w:val="20"/>
          <w:szCs w:val="20"/>
        </w:rPr>
        <w:lastRenderedPageBreak/>
        <w:t>extension of the existing city. Focussing purely on global branding can lead to homogeneous urban landscapes.</w:t>
      </w:r>
    </w:p>
    <w:p w14:paraId="3BDCAAC7" w14:textId="77777777" w:rsidR="00915356" w:rsidRDefault="00915356" w:rsidP="00A26CB5">
      <w:pPr>
        <w:pStyle w:val="Default"/>
        <w:rPr>
          <w:sz w:val="20"/>
          <w:szCs w:val="20"/>
        </w:rPr>
      </w:pPr>
    </w:p>
    <w:p w14:paraId="1B905F26" w14:textId="77777777" w:rsidR="00A76E20" w:rsidRDefault="00A76E20" w:rsidP="00791C11">
      <w:pPr>
        <w:pStyle w:val="Default"/>
        <w:numPr>
          <w:ilvl w:val="0"/>
          <w:numId w:val="41"/>
        </w:numPr>
        <w:ind w:left="360"/>
        <w:rPr>
          <w:sz w:val="20"/>
          <w:szCs w:val="20"/>
        </w:rPr>
      </w:pPr>
      <w:r>
        <w:rPr>
          <w:b/>
          <w:bCs/>
          <w:sz w:val="20"/>
          <w:szCs w:val="20"/>
        </w:rPr>
        <w:t xml:space="preserve">Evaluate options from a holistic perspective with the aim of maximising net community benefits </w:t>
      </w:r>
    </w:p>
    <w:p w14:paraId="0C9EF9E4" w14:textId="77777777" w:rsidR="00A76E20" w:rsidRDefault="00A76E20" w:rsidP="00A26CB5">
      <w:pPr>
        <w:pStyle w:val="Default"/>
        <w:rPr>
          <w:sz w:val="20"/>
          <w:szCs w:val="20"/>
        </w:rPr>
      </w:pPr>
      <w:r>
        <w:rPr>
          <w:sz w:val="20"/>
          <w:szCs w:val="20"/>
        </w:rPr>
        <w:t xml:space="preserve">While government’s may ultimately make choices on political and value grounds, evaluating options using robust cost benefit analysis techniques can enable typical community values and assets (such as open space and heritage items) to be objectively included and considered. Without using such techniques (notwithstanding their limitations) it may be that financial considerations or otherwise vague community aims end up dominating choices between options. This does not necessarily allow for judgements which serve the long term public interest. </w:t>
      </w:r>
    </w:p>
    <w:p w14:paraId="49E56570" w14:textId="77777777" w:rsidR="00915356" w:rsidRDefault="00915356" w:rsidP="00A26CB5">
      <w:pPr>
        <w:pStyle w:val="Default"/>
        <w:rPr>
          <w:sz w:val="20"/>
          <w:szCs w:val="20"/>
        </w:rPr>
      </w:pPr>
    </w:p>
    <w:p w14:paraId="007149B7" w14:textId="77777777" w:rsidR="00A76E20" w:rsidRDefault="00A76E20" w:rsidP="00791C11">
      <w:pPr>
        <w:pStyle w:val="Default"/>
        <w:numPr>
          <w:ilvl w:val="0"/>
          <w:numId w:val="41"/>
        </w:numPr>
        <w:ind w:left="360"/>
        <w:rPr>
          <w:sz w:val="20"/>
          <w:szCs w:val="20"/>
        </w:rPr>
      </w:pPr>
      <w:r>
        <w:rPr>
          <w:b/>
          <w:bCs/>
          <w:sz w:val="20"/>
          <w:szCs w:val="20"/>
        </w:rPr>
        <w:t xml:space="preserve">Align procurement model with the planning vision </w:t>
      </w:r>
    </w:p>
    <w:p w14:paraId="1525A4A9" w14:textId="77777777" w:rsidR="00A76E20" w:rsidRDefault="00A76E20" w:rsidP="00A26CB5">
      <w:pPr>
        <w:pStyle w:val="Default"/>
        <w:rPr>
          <w:sz w:val="20"/>
          <w:szCs w:val="20"/>
        </w:rPr>
      </w:pPr>
      <w:r>
        <w:rPr>
          <w:sz w:val="20"/>
          <w:szCs w:val="20"/>
        </w:rPr>
        <w:t>Procurement processes should be designed to deliver on desired planning outcomes, which are themselves governed by the project’s vision. Generally this will favour processes which allow for multiple investors, architects and builders rather than ‘single developer’ solutions.</w:t>
      </w:r>
    </w:p>
    <w:p w14:paraId="5DDD562D" w14:textId="77777777" w:rsidR="00030219" w:rsidRPr="00E4454D" w:rsidRDefault="00030219" w:rsidP="009861AC">
      <w:pPr>
        <w:pStyle w:val="Heading2"/>
      </w:pPr>
      <w:bookmarkStart w:id="88" w:name="_Toc430896856"/>
      <w:r w:rsidRPr="00E4454D">
        <w:t>Process related principles</w:t>
      </w:r>
      <w:bookmarkEnd w:id="88"/>
      <w:r w:rsidRPr="00E4454D">
        <w:t xml:space="preserve"> </w:t>
      </w:r>
    </w:p>
    <w:p w14:paraId="29E66969" w14:textId="77777777" w:rsidR="00371C34" w:rsidRDefault="00371C34" w:rsidP="00030219">
      <w:pPr>
        <w:pStyle w:val="Default"/>
        <w:rPr>
          <w:sz w:val="20"/>
          <w:szCs w:val="20"/>
        </w:rPr>
      </w:pPr>
    </w:p>
    <w:p w14:paraId="0F3FD7C3" w14:textId="77777777" w:rsidR="00030219" w:rsidRDefault="00030219" w:rsidP="00030219">
      <w:pPr>
        <w:pStyle w:val="Default"/>
        <w:rPr>
          <w:sz w:val="20"/>
          <w:szCs w:val="20"/>
        </w:rPr>
      </w:pPr>
      <w:r>
        <w:rPr>
          <w:sz w:val="20"/>
          <w:szCs w:val="20"/>
        </w:rPr>
        <w:t xml:space="preserve">Alongside these core principles sit a number of additional principles that address the elements of the renewal process: </w:t>
      </w:r>
    </w:p>
    <w:p w14:paraId="1F451E65" w14:textId="77777777" w:rsidR="007B7A96" w:rsidRDefault="007B7A96" w:rsidP="00030219">
      <w:pPr>
        <w:pStyle w:val="Default"/>
        <w:rPr>
          <w:sz w:val="20"/>
          <w:szCs w:val="20"/>
        </w:rPr>
      </w:pPr>
    </w:p>
    <w:p w14:paraId="39ABD844" w14:textId="77777777" w:rsidR="00030219" w:rsidRDefault="00030219" w:rsidP="00030219">
      <w:pPr>
        <w:pStyle w:val="Default"/>
        <w:rPr>
          <w:sz w:val="20"/>
          <w:szCs w:val="20"/>
        </w:rPr>
      </w:pPr>
      <w:r>
        <w:rPr>
          <w:b/>
          <w:bCs/>
          <w:sz w:val="20"/>
          <w:szCs w:val="20"/>
        </w:rPr>
        <w:t xml:space="preserve">1. Rationale </w:t>
      </w:r>
    </w:p>
    <w:p w14:paraId="10947ECD" w14:textId="77777777" w:rsidR="00030219" w:rsidRDefault="00030219" w:rsidP="00791C11">
      <w:pPr>
        <w:pStyle w:val="Default"/>
        <w:numPr>
          <w:ilvl w:val="0"/>
          <w:numId w:val="43"/>
        </w:numPr>
        <w:rPr>
          <w:sz w:val="20"/>
          <w:szCs w:val="20"/>
        </w:rPr>
      </w:pPr>
      <w:r>
        <w:rPr>
          <w:sz w:val="20"/>
          <w:szCs w:val="20"/>
        </w:rPr>
        <w:t xml:space="preserve">Articulate the link to the public interest in rationale </w:t>
      </w:r>
    </w:p>
    <w:p w14:paraId="2BD126A3" w14:textId="77777777" w:rsidR="00030219" w:rsidRDefault="00030219" w:rsidP="00030219">
      <w:pPr>
        <w:pStyle w:val="Default"/>
        <w:rPr>
          <w:sz w:val="20"/>
          <w:szCs w:val="20"/>
        </w:rPr>
      </w:pPr>
    </w:p>
    <w:p w14:paraId="11C3FC7B" w14:textId="77777777" w:rsidR="00030219" w:rsidRDefault="00030219" w:rsidP="00030219">
      <w:pPr>
        <w:pStyle w:val="Default"/>
        <w:rPr>
          <w:sz w:val="20"/>
          <w:szCs w:val="20"/>
        </w:rPr>
      </w:pPr>
      <w:r>
        <w:rPr>
          <w:b/>
          <w:bCs/>
          <w:sz w:val="20"/>
          <w:szCs w:val="20"/>
        </w:rPr>
        <w:t xml:space="preserve">2a. Vision and Planning </w:t>
      </w:r>
    </w:p>
    <w:p w14:paraId="26B9B62E" w14:textId="77777777" w:rsidR="00030219" w:rsidRDefault="00030219" w:rsidP="00791C11">
      <w:pPr>
        <w:pStyle w:val="Default"/>
        <w:numPr>
          <w:ilvl w:val="0"/>
          <w:numId w:val="42"/>
        </w:numPr>
        <w:spacing w:after="25"/>
        <w:ind w:left="360"/>
        <w:rPr>
          <w:sz w:val="20"/>
          <w:szCs w:val="20"/>
        </w:rPr>
      </w:pPr>
      <w:r>
        <w:rPr>
          <w:sz w:val="20"/>
          <w:szCs w:val="20"/>
        </w:rPr>
        <w:t xml:space="preserve">Ensure a rigorous strategic planning process </w:t>
      </w:r>
    </w:p>
    <w:p w14:paraId="3D8EBEBB" w14:textId="77777777" w:rsidR="00030219" w:rsidRDefault="00030219" w:rsidP="00791C11">
      <w:pPr>
        <w:pStyle w:val="Default"/>
        <w:numPr>
          <w:ilvl w:val="0"/>
          <w:numId w:val="42"/>
        </w:numPr>
        <w:spacing w:after="25"/>
        <w:ind w:left="360"/>
        <w:rPr>
          <w:sz w:val="20"/>
          <w:szCs w:val="20"/>
        </w:rPr>
      </w:pPr>
      <w:r>
        <w:rPr>
          <w:sz w:val="20"/>
          <w:szCs w:val="20"/>
        </w:rPr>
        <w:t xml:space="preserve">Ensure final plans have a vision and clear, measurable objectives </w:t>
      </w:r>
    </w:p>
    <w:p w14:paraId="2837D25E" w14:textId="77777777" w:rsidR="00030219" w:rsidRDefault="00030219" w:rsidP="00791C11">
      <w:pPr>
        <w:pStyle w:val="Default"/>
        <w:numPr>
          <w:ilvl w:val="0"/>
          <w:numId w:val="42"/>
        </w:numPr>
        <w:spacing w:after="25"/>
        <w:ind w:left="360"/>
        <w:rPr>
          <w:sz w:val="20"/>
          <w:szCs w:val="20"/>
        </w:rPr>
      </w:pPr>
      <w:r>
        <w:rPr>
          <w:sz w:val="20"/>
          <w:szCs w:val="20"/>
        </w:rPr>
        <w:t xml:space="preserve">Plans should identify logical development stages </w:t>
      </w:r>
    </w:p>
    <w:p w14:paraId="008E301A" w14:textId="77777777" w:rsidR="00030219" w:rsidRDefault="00030219" w:rsidP="00791C11">
      <w:pPr>
        <w:pStyle w:val="Default"/>
        <w:numPr>
          <w:ilvl w:val="0"/>
          <w:numId w:val="42"/>
        </w:numPr>
        <w:spacing w:after="25"/>
        <w:ind w:left="360"/>
        <w:rPr>
          <w:sz w:val="20"/>
          <w:szCs w:val="20"/>
        </w:rPr>
      </w:pPr>
      <w:r>
        <w:rPr>
          <w:sz w:val="20"/>
          <w:szCs w:val="20"/>
        </w:rPr>
        <w:t xml:space="preserve">Avoid overly prescriptive controls. There should be a clear indication of the scale and bulk of buildings allowable on any particular block (‘envelope controls’), including heritage items to be retained, critical through site links and public spaces which need to be created, as well as measurable desired outcomes from an amenity, sustainability and use mix point of view; otherwise the design of individual buildings should be up to the architects, developers and builders of each site (in other words, the plan should not be the design) </w:t>
      </w:r>
    </w:p>
    <w:p w14:paraId="69D801A7" w14:textId="77777777" w:rsidR="00030219" w:rsidRDefault="00030219" w:rsidP="00791C11">
      <w:pPr>
        <w:pStyle w:val="Default"/>
        <w:numPr>
          <w:ilvl w:val="0"/>
          <w:numId w:val="42"/>
        </w:numPr>
        <w:spacing w:after="25"/>
        <w:ind w:left="360"/>
        <w:rPr>
          <w:sz w:val="20"/>
          <w:szCs w:val="20"/>
        </w:rPr>
      </w:pPr>
      <w:r>
        <w:rPr>
          <w:sz w:val="20"/>
          <w:szCs w:val="20"/>
        </w:rPr>
        <w:t xml:space="preserve">Maintain a detailed record of the decision-making process </w:t>
      </w:r>
    </w:p>
    <w:p w14:paraId="1EC443F4" w14:textId="77777777" w:rsidR="00030219" w:rsidRDefault="00030219" w:rsidP="00791C11">
      <w:pPr>
        <w:pStyle w:val="Default"/>
        <w:numPr>
          <w:ilvl w:val="0"/>
          <w:numId w:val="42"/>
        </w:numPr>
        <w:ind w:left="360"/>
        <w:rPr>
          <w:sz w:val="20"/>
          <w:szCs w:val="20"/>
        </w:rPr>
      </w:pPr>
      <w:r>
        <w:rPr>
          <w:sz w:val="20"/>
          <w:szCs w:val="20"/>
        </w:rPr>
        <w:t xml:space="preserve">Assess departures from the plan against original vision and objectives </w:t>
      </w:r>
    </w:p>
    <w:p w14:paraId="6A6FB63D" w14:textId="77777777" w:rsidR="007B7A96" w:rsidRDefault="007B7A96" w:rsidP="007B7A96">
      <w:pPr>
        <w:pStyle w:val="Default"/>
        <w:rPr>
          <w:sz w:val="20"/>
          <w:szCs w:val="20"/>
        </w:rPr>
      </w:pPr>
    </w:p>
    <w:p w14:paraId="5AAF30C1" w14:textId="77777777" w:rsidR="007B7A96" w:rsidRDefault="007B7A96" w:rsidP="007B7A96">
      <w:pPr>
        <w:pStyle w:val="Default"/>
        <w:rPr>
          <w:sz w:val="20"/>
          <w:szCs w:val="20"/>
        </w:rPr>
      </w:pPr>
      <w:r>
        <w:rPr>
          <w:b/>
          <w:bCs/>
          <w:sz w:val="20"/>
          <w:szCs w:val="20"/>
        </w:rPr>
        <w:t xml:space="preserve">2b. Provision of public space and development infrastructure </w:t>
      </w:r>
    </w:p>
    <w:p w14:paraId="0DEE39DA" w14:textId="77777777" w:rsidR="007B7A96" w:rsidRDefault="007B7A96" w:rsidP="00791C11">
      <w:pPr>
        <w:pStyle w:val="Default"/>
        <w:numPr>
          <w:ilvl w:val="0"/>
          <w:numId w:val="44"/>
        </w:numPr>
        <w:spacing w:after="25"/>
        <w:rPr>
          <w:sz w:val="20"/>
          <w:szCs w:val="20"/>
        </w:rPr>
      </w:pPr>
      <w:r>
        <w:rPr>
          <w:sz w:val="20"/>
          <w:szCs w:val="20"/>
        </w:rPr>
        <w:t xml:space="preserve">Provide key development infrastructure prior to or with development </w:t>
      </w:r>
    </w:p>
    <w:p w14:paraId="072E1C97" w14:textId="77777777" w:rsidR="007B7A96" w:rsidRDefault="007B7A96" w:rsidP="00791C11">
      <w:pPr>
        <w:pStyle w:val="Default"/>
        <w:numPr>
          <w:ilvl w:val="0"/>
          <w:numId w:val="44"/>
        </w:numPr>
        <w:spacing w:after="25"/>
        <w:rPr>
          <w:sz w:val="20"/>
          <w:szCs w:val="20"/>
        </w:rPr>
      </w:pPr>
      <w:r>
        <w:rPr>
          <w:sz w:val="20"/>
          <w:szCs w:val="20"/>
        </w:rPr>
        <w:t xml:space="preserve">Encourage innovation in infrastructure provision to achieve transformation and ambitious targets </w:t>
      </w:r>
    </w:p>
    <w:p w14:paraId="0F0B8FC5" w14:textId="77777777" w:rsidR="007B7A96" w:rsidRDefault="007B7A96" w:rsidP="00791C11">
      <w:pPr>
        <w:pStyle w:val="Default"/>
        <w:numPr>
          <w:ilvl w:val="0"/>
          <w:numId w:val="44"/>
        </w:numPr>
        <w:rPr>
          <w:sz w:val="20"/>
          <w:szCs w:val="20"/>
        </w:rPr>
      </w:pPr>
      <w:r>
        <w:rPr>
          <w:sz w:val="20"/>
          <w:szCs w:val="20"/>
        </w:rPr>
        <w:t xml:space="preserve">Establish a clear development contribution regime which minimises up-front costs </w:t>
      </w:r>
    </w:p>
    <w:p w14:paraId="499733E9" w14:textId="77777777" w:rsidR="007B7A96" w:rsidRDefault="007B7A96" w:rsidP="007B7A96">
      <w:pPr>
        <w:pStyle w:val="Default"/>
        <w:rPr>
          <w:sz w:val="20"/>
          <w:szCs w:val="20"/>
        </w:rPr>
      </w:pPr>
    </w:p>
    <w:p w14:paraId="48AF4617" w14:textId="77777777" w:rsidR="007B7A96" w:rsidRDefault="007B7A96" w:rsidP="007B7A96">
      <w:pPr>
        <w:pStyle w:val="Default"/>
        <w:rPr>
          <w:sz w:val="20"/>
          <w:szCs w:val="20"/>
        </w:rPr>
      </w:pPr>
      <w:r>
        <w:rPr>
          <w:b/>
          <w:bCs/>
          <w:sz w:val="20"/>
          <w:szCs w:val="20"/>
        </w:rPr>
        <w:t xml:space="preserve">2c. Preparation for development and subdivision </w:t>
      </w:r>
    </w:p>
    <w:p w14:paraId="0720AF09" w14:textId="77777777" w:rsidR="007B7A96" w:rsidRDefault="007B7A96" w:rsidP="00791C11">
      <w:pPr>
        <w:pStyle w:val="Default"/>
        <w:numPr>
          <w:ilvl w:val="0"/>
          <w:numId w:val="45"/>
        </w:numPr>
        <w:spacing w:after="25"/>
        <w:rPr>
          <w:sz w:val="20"/>
          <w:szCs w:val="20"/>
        </w:rPr>
      </w:pPr>
      <w:r>
        <w:rPr>
          <w:sz w:val="20"/>
          <w:szCs w:val="20"/>
        </w:rPr>
        <w:t xml:space="preserve">Provide the smallest superlots possible </w:t>
      </w:r>
    </w:p>
    <w:p w14:paraId="0BE7951C" w14:textId="77777777" w:rsidR="007B7A96" w:rsidRDefault="007B7A96" w:rsidP="00791C11">
      <w:pPr>
        <w:pStyle w:val="Default"/>
        <w:numPr>
          <w:ilvl w:val="0"/>
          <w:numId w:val="45"/>
        </w:numPr>
        <w:rPr>
          <w:sz w:val="20"/>
          <w:szCs w:val="20"/>
        </w:rPr>
      </w:pPr>
      <w:r>
        <w:rPr>
          <w:sz w:val="20"/>
          <w:szCs w:val="20"/>
        </w:rPr>
        <w:t xml:space="preserve">Offer development sites to the market on an open basis with maximum participation possible </w:t>
      </w:r>
    </w:p>
    <w:p w14:paraId="4E50066C" w14:textId="77777777" w:rsidR="007B7A96" w:rsidRDefault="007B7A96" w:rsidP="007B7A96">
      <w:pPr>
        <w:pStyle w:val="Default"/>
        <w:rPr>
          <w:sz w:val="20"/>
          <w:szCs w:val="20"/>
        </w:rPr>
      </w:pPr>
    </w:p>
    <w:p w14:paraId="6F13405D" w14:textId="77777777" w:rsidR="007B7A96" w:rsidRDefault="007B7A96" w:rsidP="007B7A96">
      <w:pPr>
        <w:pStyle w:val="Default"/>
        <w:rPr>
          <w:sz w:val="20"/>
          <w:szCs w:val="20"/>
        </w:rPr>
      </w:pPr>
      <w:r>
        <w:rPr>
          <w:b/>
          <w:bCs/>
          <w:sz w:val="20"/>
          <w:szCs w:val="20"/>
        </w:rPr>
        <w:t xml:space="preserve">2d. Development mix and built form </w:t>
      </w:r>
    </w:p>
    <w:p w14:paraId="50991589" w14:textId="77777777" w:rsidR="007B7A96" w:rsidRDefault="007B7A96" w:rsidP="00791C11">
      <w:pPr>
        <w:pStyle w:val="Default"/>
        <w:numPr>
          <w:ilvl w:val="0"/>
          <w:numId w:val="46"/>
        </w:numPr>
        <w:spacing w:after="28"/>
        <w:rPr>
          <w:sz w:val="20"/>
          <w:szCs w:val="20"/>
        </w:rPr>
      </w:pPr>
      <w:r>
        <w:rPr>
          <w:sz w:val="20"/>
          <w:szCs w:val="20"/>
        </w:rPr>
        <w:t xml:space="preserve">Allow the private sector to determine built form within the public domain framework, while satisfying the envelope controls and desired outcomes set down by the plan </w:t>
      </w:r>
    </w:p>
    <w:p w14:paraId="1BDC1C63" w14:textId="6B1D2798" w:rsidR="007B7A96" w:rsidRDefault="007B7A96" w:rsidP="00791C11">
      <w:pPr>
        <w:pStyle w:val="Default"/>
        <w:numPr>
          <w:ilvl w:val="0"/>
          <w:numId w:val="46"/>
        </w:numPr>
        <w:spacing w:after="28"/>
        <w:rPr>
          <w:sz w:val="20"/>
          <w:szCs w:val="20"/>
        </w:rPr>
      </w:pPr>
      <w:r>
        <w:rPr>
          <w:sz w:val="20"/>
          <w:szCs w:val="20"/>
        </w:rPr>
        <w:t>‘De-risk’ where appropriate by early government investment in facilities and buildings. Early government investment in actual buildings can act as a drawcard for users and businesses, generate confidence in a renewal project, and provide a lead for private sector investment. Governments can also commit to purchasing sites for or developing social and affordable housing which can provide early cash flow to developers to off-set market uncertainty and risk</w:t>
      </w:r>
    </w:p>
    <w:p w14:paraId="6639BFDB" w14:textId="5884D593" w:rsidR="007B7A96" w:rsidRDefault="007B7A96" w:rsidP="00791C11">
      <w:pPr>
        <w:pStyle w:val="Default"/>
        <w:numPr>
          <w:ilvl w:val="0"/>
          <w:numId w:val="46"/>
        </w:numPr>
        <w:rPr>
          <w:sz w:val="20"/>
          <w:szCs w:val="20"/>
        </w:rPr>
      </w:pPr>
      <w:r>
        <w:rPr>
          <w:sz w:val="20"/>
          <w:szCs w:val="20"/>
        </w:rPr>
        <w:lastRenderedPageBreak/>
        <w:t xml:space="preserve">Utilise ‘land-in-waiting’. For example, sites not yet required for development can be activated by allowing them to be occupied temporarily for low rent or ‘pop-up’ uses </w:t>
      </w:r>
    </w:p>
    <w:p w14:paraId="50820FBF" w14:textId="77777777" w:rsidR="007B7A96" w:rsidRDefault="007B7A96" w:rsidP="007B7A96">
      <w:pPr>
        <w:pStyle w:val="Default"/>
        <w:rPr>
          <w:sz w:val="20"/>
          <w:szCs w:val="20"/>
        </w:rPr>
      </w:pPr>
    </w:p>
    <w:p w14:paraId="28A2EE67" w14:textId="77777777" w:rsidR="007B7A96" w:rsidRDefault="007B7A96" w:rsidP="007B7A96">
      <w:pPr>
        <w:pStyle w:val="Default"/>
        <w:rPr>
          <w:sz w:val="20"/>
          <w:szCs w:val="20"/>
        </w:rPr>
      </w:pPr>
      <w:r>
        <w:rPr>
          <w:b/>
          <w:bCs/>
          <w:sz w:val="20"/>
          <w:szCs w:val="20"/>
        </w:rPr>
        <w:t xml:space="preserve">3. Governance </w:t>
      </w:r>
    </w:p>
    <w:p w14:paraId="0DA09AFF" w14:textId="77777777" w:rsidR="007B7A96" w:rsidRDefault="007B7A96" w:rsidP="00791C11">
      <w:pPr>
        <w:pStyle w:val="Default"/>
        <w:numPr>
          <w:ilvl w:val="0"/>
          <w:numId w:val="46"/>
        </w:numPr>
        <w:spacing w:after="25"/>
        <w:rPr>
          <w:sz w:val="20"/>
          <w:szCs w:val="20"/>
        </w:rPr>
      </w:pPr>
      <w:r>
        <w:rPr>
          <w:sz w:val="20"/>
          <w:szCs w:val="20"/>
        </w:rPr>
        <w:t xml:space="preserve">Limit the establishment of separate government management and delivery agencies </w:t>
      </w:r>
    </w:p>
    <w:p w14:paraId="6566D73D" w14:textId="77777777" w:rsidR="007B7A96" w:rsidRDefault="007B7A96" w:rsidP="00791C11">
      <w:pPr>
        <w:pStyle w:val="Default"/>
        <w:numPr>
          <w:ilvl w:val="0"/>
          <w:numId w:val="46"/>
        </w:numPr>
        <w:rPr>
          <w:sz w:val="20"/>
          <w:szCs w:val="20"/>
        </w:rPr>
      </w:pPr>
      <w:r>
        <w:rPr>
          <w:sz w:val="20"/>
          <w:szCs w:val="20"/>
        </w:rPr>
        <w:t xml:space="preserve">Engage appropriate expertise in master planning including local authority representatives </w:t>
      </w:r>
    </w:p>
    <w:p w14:paraId="355C3E9D" w14:textId="77777777" w:rsidR="007B7A96" w:rsidRDefault="007B7A96" w:rsidP="00791C11">
      <w:pPr>
        <w:pStyle w:val="Default"/>
        <w:numPr>
          <w:ilvl w:val="0"/>
          <w:numId w:val="46"/>
        </w:numPr>
        <w:spacing w:after="25"/>
        <w:rPr>
          <w:color w:val="auto"/>
          <w:sz w:val="20"/>
          <w:szCs w:val="20"/>
        </w:rPr>
      </w:pPr>
      <w:r>
        <w:rPr>
          <w:color w:val="auto"/>
          <w:sz w:val="20"/>
          <w:szCs w:val="20"/>
        </w:rPr>
        <w:t xml:space="preserve">Commit to transparent processes </w:t>
      </w:r>
    </w:p>
    <w:p w14:paraId="2EDAE5C0" w14:textId="77777777" w:rsidR="007B7A96" w:rsidRDefault="007B7A96" w:rsidP="00791C11">
      <w:pPr>
        <w:pStyle w:val="Default"/>
        <w:numPr>
          <w:ilvl w:val="0"/>
          <w:numId w:val="46"/>
        </w:numPr>
        <w:spacing w:after="25"/>
        <w:rPr>
          <w:color w:val="auto"/>
          <w:sz w:val="20"/>
          <w:szCs w:val="20"/>
        </w:rPr>
      </w:pPr>
      <w:r>
        <w:rPr>
          <w:color w:val="auto"/>
          <w:sz w:val="20"/>
          <w:szCs w:val="20"/>
        </w:rPr>
        <w:t xml:space="preserve">Identify or establish a third party body for evaluating amendments to the plan </w:t>
      </w:r>
    </w:p>
    <w:p w14:paraId="1EACD2FD" w14:textId="77777777" w:rsidR="007B7A96" w:rsidRDefault="007B7A96" w:rsidP="00791C11">
      <w:pPr>
        <w:pStyle w:val="Default"/>
        <w:numPr>
          <w:ilvl w:val="0"/>
          <w:numId w:val="46"/>
        </w:numPr>
        <w:rPr>
          <w:color w:val="auto"/>
          <w:sz w:val="20"/>
          <w:szCs w:val="20"/>
        </w:rPr>
      </w:pPr>
      <w:r>
        <w:rPr>
          <w:color w:val="auto"/>
          <w:sz w:val="20"/>
          <w:szCs w:val="20"/>
        </w:rPr>
        <w:t xml:space="preserve">Ensure ‘normal’ servicing and approvals revert to the local authority at the earliest possible time </w:t>
      </w:r>
    </w:p>
    <w:p w14:paraId="6726FE63" w14:textId="77777777" w:rsidR="007B7A96" w:rsidRDefault="007B7A96" w:rsidP="007B7A96">
      <w:pPr>
        <w:pStyle w:val="Default"/>
        <w:rPr>
          <w:color w:val="auto"/>
          <w:sz w:val="20"/>
          <w:szCs w:val="20"/>
        </w:rPr>
      </w:pPr>
    </w:p>
    <w:p w14:paraId="5DFA0AEF" w14:textId="77777777" w:rsidR="007B7A96" w:rsidRDefault="007B7A96" w:rsidP="007B7A96">
      <w:pPr>
        <w:pStyle w:val="Default"/>
        <w:rPr>
          <w:color w:val="auto"/>
          <w:sz w:val="20"/>
          <w:szCs w:val="20"/>
        </w:rPr>
      </w:pPr>
      <w:r>
        <w:rPr>
          <w:b/>
          <w:bCs/>
          <w:color w:val="auto"/>
          <w:sz w:val="20"/>
          <w:szCs w:val="20"/>
        </w:rPr>
        <w:t xml:space="preserve">4. Monitoring </w:t>
      </w:r>
    </w:p>
    <w:p w14:paraId="5C824D09" w14:textId="7B023CD8" w:rsidR="007B7A96" w:rsidRDefault="007B7A96" w:rsidP="00791C11">
      <w:pPr>
        <w:pStyle w:val="Default"/>
        <w:numPr>
          <w:ilvl w:val="0"/>
          <w:numId w:val="46"/>
        </w:numPr>
        <w:spacing w:after="27"/>
        <w:rPr>
          <w:color w:val="auto"/>
          <w:sz w:val="20"/>
          <w:szCs w:val="20"/>
        </w:rPr>
      </w:pPr>
      <w:r>
        <w:rPr>
          <w:color w:val="auto"/>
          <w:sz w:val="20"/>
          <w:szCs w:val="20"/>
        </w:rPr>
        <w:t xml:space="preserve">Establish targets and indicators (for sustainability, affordability, mode share </w:t>
      </w:r>
      <w:r w:rsidR="004428AE">
        <w:rPr>
          <w:color w:val="auto"/>
          <w:sz w:val="20"/>
          <w:szCs w:val="20"/>
        </w:rPr>
        <w:t>etc.</w:t>
      </w:r>
      <w:r>
        <w:rPr>
          <w:color w:val="auto"/>
          <w:sz w:val="20"/>
          <w:szCs w:val="20"/>
        </w:rPr>
        <w:t xml:space="preserve"> linked to initial vision and objectives) </w:t>
      </w:r>
    </w:p>
    <w:p w14:paraId="0DD246C9" w14:textId="77777777" w:rsidR="007B7A96" w:rsidRDefault="007B7A96" w:rsidP="00791C11">
      <w:pPr>
        <w:pStyle w:val="Default"/>
        <w:numPr>
          <w:ilvl w:val="0"/>
          <w:numId w:val="46"/>
        </w:numPr>
        <w:rPr>
          <w:color w:val="auto"/>
          <w:sz w:val="20"/>
          <w:szCs w:val="20"/>
        </w:rPr>
      </w:pPr>
      <w:r>
        <w:rPr>
          <w:color w:val="auto"/>
          <w:sz w:val="20"/>
          <w:szCs w:val="20"/>
        </w:rPr>
        <w:t xml:space="preserve">Use </w:t>
      </w:r>
      <w:r w:rsidR="007E5315">
        <w:rPr>
          <w:color w:val="auto"/>
          <w:sz w:val="20"/>
          <w:szCs w:val="20"/>
        </w:rPr>
        <w:t>multiple, independent reviewers.</w:t>
      </w:r>
    </w:p>
    <w:p w14:paraId="56F251CD" w14:textId="77777777" w:rsidR="007E5315" w:rsidRDefault="007E5315" w:rsidP="007E5315">
      <w:pPr>
        <w:pStyle w:val="Default"/>
        <w:rPr>
          <w:color w:val="auto"/>
          <w:sz w:val="20"/>
          <w:szCs w:val="20"/>
        </w:rPr>
      </w:pPr>
    </w:p>
    <w:p w14:paraId="61D514EB" w14:textId="77777777" w:rsidR="007E5315" w:rsidRDefault="007E5315" w:rsidP="007E5315">
      <w:pPr>
        <w:pStyle w:val="Default"/>
        <w:rPr>
          <w:color w:val="auto"/>
          <w:sz w:val="20"/>
          <w:szCs w:val="20"/>
        </w:rPr>
      </w:pPr>
      <w:r>
        <w:rPr>
          <w:color w:val="auto"/>
          <w:sz w:val="20"/>
          <w:szCs w:val="20"/>
        </w:rPr>
        <w:t xml:space="preserve">The following sub-sections highlight some of the urban planning issues facing major Australian cities and the public transport projects that have been planned to deal with them. </w:t>
      </w:r>
    </w:p>
    <w:p w14:paraId="4690659F" w14:textId="77777777" w:rsidR="007E5315" w:rsidRDefault="007E5315" w:rsidP="007E5315">
      <w:pPr>
        <w:pStyle w:val="Default"/>
        <w:rPr>
          <w:color w:val="auto"/>
          <w:sz w:val="20"/>
          <w:szCs w:val="20"/>
        </w:rPr>
      </w:pPr>
    </w:p>
    <w:p w14:paraId="2C974DF8" w14:textId="77777777" w:rsidR="007E5315" w:rsidRDefault="007E5315" w:rsidP="007E5315">
      <w:pPr>
        <w:pStyle w:val="Default"/>
        <w:rPr>
          <w:color w:val="auto"/>
          <w:sz w:val="20"/>
          <w:szCs w:val="20"/>
        </w:rPr>
      </w:pPr>
      <w:r>
        <w:rPr>
          <w:color w:val="auto"/>
          <w:sz w:val="20"/>
          <w:szCs w:val="20"/>
        </w:rPr>
        <w:t xml:space="preserve">These projects would be the targets for new value capture mechanisms to be introduced to help fund public transport infrastructure. </w:t>
      </w:r>
    </w:p>
    <w:p w14:paraId="4396E854" w14:textId="483FE3A6" w:rsidR="005B36E3" w:rsidRDefault="005B36E3" w:rsidP="009861AC">
      <w:pPr>
        <w:pStyle w:val="Heading2"/>
      </w:pPr>
      <w:bookmarkStart w:id="89" w:name="_Toc430896857"/>
      <w:r w:rsidRPr="00F73C1B">
        <w:t>A</w:t>
      </w:r>
      <w:r>
        <w:t>delaide</w:t>
      </w:r>
      <w:bookmarkEnd w:id="86"/>
      <w:bookmarkEnd w:id="89"/>
      <w:r>
        <w:t xml:space="preserve"> </w:t>
      </w:r>
    </w:p>
    <w:p w14:paraId="0F5BB210" w14:textId="77777777" w:rsidR="00BC6029" w:rsidRDefault="00BC6029" w:rsidP="00BC6029">
      <w:pPr>
        <w:rPr>
          <w:rFonts w:eastAsiaTheme="minorHAnsi" w:cs="Helvetica"/>
          <w:lang w:val="en-AU"/>
        </w:rPr>
      </w:pPr>
      <w:r>
        <w:rPr>
          <w:rFonts w:eastAsiaTheme="minorHAnsi" w:cs="Helvetica"/>
          <w:lang w:val="en-AU"/>
        </w:rPr>
        <w:t>Key urban characteristics of Adelaide when discussing future public transport investment include:</w:t>
      </w:r>
    </w:p>
    <w:p w14:paraId="4BCAD798" w14:textId="77777777" w:rsidR="00BC6029" w:rsidRDefault="00BC6029" w:rsidP="00BC6029">
      <w:pPr>
        <w:rPr>
          <w:rFonts w:eastAsiaTheme="minorHAnsi" w:cs="Helvetica"/>
          <w:lang w:val="en-AU"/>
        </w:rPr>
      </w:pPr>
    </w:p>
    <w:p w14:paraId="3FBDBC82" w14:textId="77777777" w:rsidR="00BC6029" w:rsidRPr="00991336" w:rsidRDefault="00BC6029" w:rsidP="00791C11">
      <w:pPr>
        <w:pStyle w:val="Bullet1"/>
        <w:numPr>
          <w:ilvl w:val="0"/>
          <w:numId w:val="39"/>
        </w:numPr>
        <w:rPr>
          <w:rFonts w:eastAsiaTheme="minorHAnsi"/>
          <w:lang w:val="en-AU"/>
        </w:rPr>
      </w:pPr>
      <w:r w:rsidRPr="00991336">
        <w:rPr>
          <w:rFonts w:eastAsiaTheme="minorHAnsi" w:cs="Helvetica"/>
          <w:lang w:val="en-AU"/>
        </w:rPr>
        <w:t xml:space="preserve">Adelaide's annual growth rate is among the lowest </w:t>
      </w:r>
      <w:r>
        <w:rPr>
          <w:rFonts w:eastAsiaTheme="minorHAnsi" w:cs="Helvetica"/>
          <w:lang w:val="en-AU"/>
        </w:rPr>
        <w:t>of Australia's</w:t>
      </w:r>
      <w:r w:rsidRPr="00991336">
        <w:rPr>
          <w:rFonts w:eastAsiaTheme="minorHAnsi" w:cs="Helvetica"/>
          <w:lang w:val="en-AU"/>
        </w:rPr>
        <w:t xml:space="preserve"> capital cities</w:t>
      </w:r>
    </w:p>
    <w:p w14:paraId="6CF59C58" w14:textId="77777777" w:rsidR="00BC6029" w:rsidRPr="00991336" w:rsidRDefault="00BC6029" w:rsidP="00791C11">
      <w:pPr>
        <w:pStyle w:val="Bullet1"/>
        <w:numPr>
          <w:ilvl w:val="0"/>
          <w:numId w:val="39"/>
        </w:numPr>
        <w:rPr>
          <w:rFonts w:eastAsiaTheme="minorHAnsi"/>
          <w:lang w:val="en-AU"/>
        </w:rPr>
      </w:pPr>
      <w:r w:rsidRPr="00C809A3">
        <w:rPr>
          <w:rFonts w:eastAsiaTheme="minorHAnsi" w:cs="Helvetica"/>
          <w:lang w:val="en-AU"/>
        </w:rPr>
        <w:t xml:space="preserve">Metropolitan Adelaide is characterised by a dominance of low-density </w:t>
      </w:r>
      <w:r>
        <w:rPr>
          <w:rFonts w:eastAsiaTheme="minorHAnsi" w:cs="Helvetica"/>
          <w:lang w:val="en-AU"/>
        </w:rPr>
        <w:t xml:space="preserve">residential </w:t>
      </w:r>
      <w:r w:rsidRPr="00C809A3">
        <w:rPr>
          <w:rFonts w:eastAsiaTheme="minorHAnsi" w:cs="Helvetica"/>
          <w:lang w:val="en-AU"/>
        </w:rPr>
        <w:t>suburbs</w:t>
      </w:r>
    </w:p>
    <w:p w14:paraId="257BC2FF" w14:textId="77777777" w:rsidR="00BC6029" w:rsidRPr="00991336" w:rsidRDefault="00BC6029" w:rsidP="00791C11">
      <w:pPr>
        <w:pStyle w:val="Bullet1"/>
        <w:numPr>
          <w:ilvl w:val="0"/>
          <w:numId w:val="39"/>
        </w:numPr>
        <w:rPr>
          <w:rFonts w:eastAsiaTheme="minorHAnsi"/>
          <w:lang w:val="en-AU"/>
        </w:rPr>
      </w:pPr>
      <w:r>
        <w:rPr>
          <w:rFonts w:eastAsiaTheme="minorHAnsi" w:cs="Helvetica"/>
          <w:lang w:val="en-AU"/>
        </w:rPr>
        <w:t>the</w:t>
      </w:r>
      <w:r w:rsidRPr="00C809A3">
        <w:rPr>
          <w:rFonts w:eastAsiaTheme="minorHAnsi" w:cs="Helvetica"/>
          <w:lang w:val="en-AU"/>
        </w:rPr>
        <w:t xml:space="preserve"> majority of population </w:t>
      </w:r>
      <w:r>
        <w:rPr>
          <w:rFonts w:eastAsiaTheme="minorHAnsi" w:cs="Helvetica"/>
          <w:lang w:val="en-AU"/>
        </w:rPr>
        <w:t xml:space="preserve">growth </w:t>
      </w:r>
      <w:r w:rsidRPr="00C809A3">
        <w:rPr>
          <w:rFonts w:eastAsiaTheme="minorHAnsi" w:cs="Helvetica"/>
          <w:lang w:val="en-AU"/>
        </w:rPr>
        <w:t>for Adelaide is planned in low-density greenfield areas</w:t>
      </w:r>
      <w:r>
        <w:rPr>
          <w:rFonts w:eastAsiaTheme="minorHAnsi" w:cs="Helvetica"/>
          <w:lang w:val="en-AU"/>
        </w:rPr>
        <w:t xml:space="preserve">, with </w:t>
      </w:r>
      <w:r w:rsidRPr="00C809A3">
        <w:rPr>
          <w:rFonts w:eastAsiaTheme="minorHAnsi" w:cs="Helvetica"/>
          <w:lang w:val="en-AU"/>
        </w:rPr>
        <w:t>expansion constrained to a north-south axis</w:t>
      </w:r>
    </w:p>
    <w:p w14:paraId="17F48130" w14:textId="77777777" w:rsidR="00BC6029" w:rsidRPr="00991336" w:rsidRDefault="00BC6029" w:rsidP="00791C11">
      <w:pPr>
        <w:pStyle w:val="Bullet1"/>
        <w:numPr>
          <w:ilvl w:val="0"/>
          <w:numId w:val="39"/>
        </w:numPr>
        <w:rPr>
          <w:rFonts w:eastAsiaTheme="minorHAnsi"/>
          <w:lang w:val="en-AU"/>
        </w:rPr>
      </w:pPr>
      <w:r>
        <w:rPr>
          <w:rFonts w:eastAsiaTheme="minorHAnsi" w:cs="Helvetica"/>
          <w:lang w:val="en-AU"/>
        </w:rPr>
        <w:t xml:space="preserve">A degree of </w:t>
      </w:r>
      <w:r w:rsidRPr="00C809A3">
        <w:rPr>
          <w:rFonts w:eastAsiaTheme="minorHAnsi" w:cs="Helvetica"/>
          <w:lang w:val="en-AU"/>
        </w:rPr>
        <w:t xml:space="preserve">urban consolidation is expected, with </w:t>
      </w:r>
      <w:r>
        <w:rPr>
          <w:rFonts w:eastAsiaTheme="minorHAnsi" w:cs="Helvetica"/>
          <w:lang w:val="en-AU"/>
        </w:rPr>
        <w:t>Adelaide City</w:t>
      </w:r>
      <w:r w:rsidRPr="00C809A3">
        <w:rPr>
          <w:rFonts w:eastAsiaTheme="minorHAnsi" w:cs="Helvetica"/>
          <w:lang w:val="en-AU"/>
        </w:rPr>
        <w:t xml:space="preserve"> forecast to experience an 80 per cent growth in residential population</w:t>
      </w:r>
    </w:p>
    <w:p w14:paraId="1A0CCC08" w14:textId="77777777" w:rsidR="00BC6029" w:rsidRPr="00991336" w:rsidRDefault="00BC6029" w:rsidP="00791C11">
      <w:pPr>
        <w:pStyle w:val="Bullet1"/>
        <w:numPr>
          <w:ilvl w:val="0"/>
          <w:numId w:val="39"/>
        </w:numPr>
        <w:rPr>
          <w:rFonts w:eastAsiaTheme="minorHAnsi"/>
          <w:lang w:val="en-AU"/>
        </w:rPr>
      </w:pPr>
      <w:r w:rsidRPr="00C809A3">
        <w:rPr>
          <w:rFonts w:eastAsiaTheme="minorHAnsi" w:cs="Helvetica"/>
          <w:lang w:val="en-AU"/>
        </w:rPr>
        <w:t>Adelaide’s employment distribution is highly</w:t>
      </w:r>
      <w:r>
        <w:rPr>
          <w:rFonts w:eastAsiaTheme="minorHAnsi" w:cs="Helvetica"/>
          <w:lang w:val="en-AU"/>
        </w:rPr>
        <w:t xml:space="preserve"> monocentric, with </w:t>
      </w:r>
      <w:r w:rsidRPr="00C809A3">
        <w:rPr>
          <w:lang w:val="en-AU"/>
        </w:rPr>
        <w:t xml:space="preserve">Adelaide City’s share of total employment </w:t>
      </w:r>
      <w:r>
        <w:rPr>
          <w:lang w:val="en-AU"/>
        </w:rPr>
        <w:t xml:space="preserve">forecast to increase from 19.7% in 2011 </w:t>
      </w:r>
      <w:r w:rsidRPr="00C809A3">
        <w:rPr>
          <w:lang w:val="en-AU"/>
        </w:rPr>
        <w:t>to 22</w:t>
      </w:r>
      <w:r>
        <w:rPr>
          <w:lang w:val="en-AU"/>
        </w:rPr>
        <w:t>% in</w:t>
      </w:r>
      <w:r w:rsidRPr="00C809A3">
        <w:rPr>
          <w:lang w:val="en-AU"/>
        </w:rPr>
        <w:t xml:space="preserve"> 2031</w:t>
      </w:r>
    </w:p>
    <w:p w14:paraId="77FC0E38" w14:textId="77777777" w:rsidR="00BC6029" w:rsidRPr="00991336" w:rsidRDefault="00BC6029" w:rsidP="00791C11">
      <w:pPr>
        <w:pStyle w:val="Bullet1"/>
        <w:numPr>
          <w:ilvl w:val="0"/>
          <w:numId w:val="39"/>
        </w:numPr>
        <w:rPr>
          <w:rFonts w:eastAsiaTheme="minorHAnsi"/>
          <w:lang w:val="en-AU"/>
        </w:rPr>
      </w:pPr>
      <w:r w:rsidRPr="00C809A3">
        <w:rPr>
          <w:lang w:val="en-AU"/>
        </w:rPr>
        <w:t>In 2011, Adelaide was found to be the most car-dependent state/territory capital for journeys to work, with 84 per cent of commuters using a passenger vehicle</w:t>
      </w:r>
      <w:r>
        <w:rPr>
          <w:lang w:val="en-AU"/>
        </w:rPr>
        <w:t>.</w:t>
      </w:r>
    </w:p>
    <w:p w14:paraId="1BBA66D8" w14:textId="77777777" w:rsidR="00BC6029" w:rsidRPr="00E4454D" w:rsidRDefault="00BC6029" w:rsidP="00BC6029">
      <w:pPr>
        <w:pStyle w:val="Caption"/>
      </w:pPr>
      <w:bookmarkStart w:id="90" w:name="_Toc423072929"/>
      <w:bookmarkStart w:id="91" w:name="_Toc430896548"/>
      <w:r w:rsidRPr="00E4454D">
        <w:t xml:space="preserve">Table </w:t>
      </w:r>
      <w:r w:rsidRPr="00E4454D">
        <w:fldChar w:fldCharType="begin"/>
      </w:r>
      <w:r w:rsidRPr="00E4454D">
        <w:instrText xml:space="preserve"> SEQ Table \* ARABIC </w:instrText>
      </w:r>
      <w:r w:rsidRPr="00E4454D">
        <w:fldChar w:fldCharType="separate"/>
      </w:r>
      <w:r w:rsidR="00184C79">
        <w:rPr>
          <w:noProof/>
        </w:rPr>
        <w:t>14</w:t>
      </w:r>
      <w:r w:rsidRPr="00E4454D">
        <w:fldChar w:fldCharType="end"/>
      </w:r>
      <w:r w:rsidRPr="00E4454D">
        <w:t>.</w:t>
      </w:r>
      <w:r w:rsidRPr="00E4454D">
        <w:tab/>
      </w:r>
      <w:bookmarkEnd w:id="90"/>
      <w:r w:rsidRPr="00E4454D">
        <w:t>ADELAIDE - new public transport infrastructure</w:t>
      </w:r>
      <w:bookmarkEnd w:id="91"/>
      <w:r w:rsidRPr="00E4454D">
        <w:t xml:space="preserve"> </w:t>
      </w:r>
    </w:p>
    <w:tbl>
      <w:tblPr>
        <w:tblStyle w:val="TableGrid1"/>
        <w:tblW w:w="8821" w:type="dxa"/>
        <w:tblLook w:val="04A0" w:firstRow="1" w:lastRow="0" w:firstColumn="1" w:lastColumn="0" w:noHBand="0" w:noVBand="1"/>
      </w:tblPr>
      <w:tblGrid>
        <w:gridCol w:w="8821"/>
      </w:tblGrid>
      <w:tr w:rsidR="00BC6029" w:rsidRPr="00CF1957" w14:paraId="33236CF3" w14:textId="77777777" w:rsidTr="00E4454D">
        <w:trPr>
          <w:trHeight w:val="816"/>
        </w:trPr>
        <w:tc>
          <w:tcPr>
            <w:tcW w:w="8821" w:type="dxa"/>
          </w:tcPr>
          <w:p w14:paraId="35A11079" w14:textId="77777777" w:rsidR="00146C3E" w:rsidRPr="00146C3E" w:rsidRDefault="00146C3E" w:rsidP="00146C3E"/>
          <w:p w14:paraId="5908208B" w14:textId="1FE51F82" w:rsidR="00BC6029" w:rsidRPr="00053FF6" w:rsidRDefault="00BC6029" w:rsidP="00791C11">
            <w:pPr>
              <w:pStyle w:val="ListParagraph"/>
              <w:numPr>
                <w:ilvl w:val="0"/>
                <w:numId w:val="52"/>
              </w:numPr>
            </w:pPr>
            <w:r w:rsidRPr="00780859">
              <w:rPr>
                <w:rFonts w:asciiTheme="majorHAnsi" w:hAnsiTheme="majorHAnsi" w:cs="Arial"/>
                <w:lang w:val="en-AU" w:eastAsia="en-GB"/>
              </w:rPr>
              <w:t>AdeL</w:t>
            </w:r>
            <w:r w:rsidR="009861AC">
              <w:rPr>
                <w:rFonts w:asciiTheme="majorHAnsi" w:hAnsiTheme="majorHAnsi" w:cs="Arial"/>
                <w:lang w:val="en-AU" w:eastAsia="en-GB"/>
              </w:rPr>
              <w:t>INK</w:t>
            </w:r>
            <w:r w:rsidRPr="00780859">
              <w:rPr>
                <w:rFonts w:asciiTheme="majorHAnsi" w:hAnsiTheme="majorHAnsi" w:cs="Arial"/>
                <w:lang w:val="en-AU" w:eastAsia="en-GB"/>
              </w:rPr>
              <w:t xml:space="preserve"> light rail network </w:t>
            </w:r>
            <w:r w:rsidR="00214E11" w:rsidRPr="00780859">
              <w:rPr>
                <w:rFonts w:asciiTheme="majorHAnsi" w:hAnsiTheme="majorHAnsi" w:cs="Arial"/>
                <w:lang w:val="en-AU" w:eastAsia="en-GB"/>
              </w:rPr>
              <w:t>(</w:t>
            </w:r>
            <w:r w:rsidRPr="00053FF6">
              <w:t>ProspectLink</w:t>
            </w:r>
            <w:r>
              <w:t xml:space="preserve">, </w:t>
            </w:r>
            <w:r w:rsidRPr="00053FF6">
              <w:t>UnleyLink</w:t>
            </w:r>
            <w:r>
              <w:t xml:space="preserve">, </w:t>
            </w:r>
            <w:r w:rsidRPr="00053FF6">
              <w:t>PortLink</w:t>
            </w:r>
            <w:r>
              <w:t xml:space="preserve">, </w:t>
            </w:r>
            <w:r w:rsidRPr="00053FF6">
              <w:t>EastLink</w:t>
            </w:r>
            <w:r>
              <w:t xml:space="preserve">, </w:t>
            </w:r>
            <w:r w:rsidRPr="00053FF6">
              <w:t>WestLink</w:t>
            </w:r>
            <w:r>
              <w:t xml:space="preserve">, </w:t>
            </w:r>
            <w:r w:rsidRPr="00053FF6">
              <w:t>CityLink</w:t>
            </w:r>
            <w:r w:rsidR="00214E11">
              <w:t>)</w:t>
            </w:r>
          </w:p>
          <w:p w14:paraId="27D5578E" w14:textId="77777777" w:rsidR="00BC6029" w:rsidRPr="00780859" w:rsidRDefault="00BC6029" w:rsidP="00791C11">
            <w:pPr>
              <w:pStyle w:val="ListParagraph"/>
              <w:numPr>
                <w:ilvl w:val="0"/>
                <w:numId w:val="52"/>
              </w:numPr>
              <w:rPr>
                <w:rFonts w:asciiTheme="majorHAnsi" w:hAnsiTheme="majorHAnsi"/>
                <w:lang w:val="en-AU" w:eastAsia="en-GB"/>
              </w:rPr>
            </w:pPr>
            <w:r w:rsidRPr="00780859">
              <w:rPr>
                <w:rFonts w:asciiTheme="majorHAnsi" w:hAnsiTheme="majorHAnsi"/>
                <w:lang w:val="en-AU" w:eastAsia="en-GB"/>
              </w:rPr>
              <w:t>Rail Revitalisation projects</w:t>
            </w:r>
          </w:p>
          <w:p w14:paraId="7A6795FF" w14:textId="77777777" w:rsidR="00BC6029" w:rsidRDefault="00BC6029" w:rsidP="00791C11">
            <w:pPr>
              <w:pStyle w:val="ListParagraph"/>
              <w:numPr>
                <w:ilvl w:val="0"/>
                <w:numId w:val="52"/>
              </w:numPr>
              <w:rPr>
                <w:rFonts w:asciiTheme="majorHAnsi" w:hAnsiTheme="majorHAnsi"/>
                <w:lang w:val="en-AU" w:eastAsia="en-GB"/>
              </w:rPr>
            </w:pPr>
            <w:r w:rsidRPr="00780859">
              <w:rPr>
                <w:rFonts w:asciiTheme="majorHAnsi" w:hAnsiTheme="majorHAnsi"/>
                <w:lang w:val="en-AU" w:eastAsia="en-GB"/>
              </w:rPr>
              <w:t>O-Bahn City Access project</w:t>
            </w:r>
          </w:p>
          <w:p w14:paraId="3E8C9B02" w14:textId="77777777" w:rsidR="00146C3E" w:rsidRPr="00146C3E" w:rsidRDefault="00146C3E" w:rsidP="00146C3E">
            <w:pPr>
              <w:rPr>
                <w:rFonts w:asciiTheme="majorHAnsi" w:hAnsiTheme="majorHAnsi"/>
                <w:lang w:val="en-AU" w:eastAsia="en-GB"/>
              </w:rPr>
            </w:pPr>
          </w:p>
        </w:tc>
      </w:tr>
    </w:tbl>
    <w:p w14:paraId="71177C38" w14:textId="77777777" w:rsidR="00A0171D" w:rsidRDefault="00A0171D" w:rsidP="005B36E3"/>
    <w:p w14:paraId="2D05574C" w14:textId="33F68D94" w:rsidR="008C1C6C" w:rsidRDefault="00A0171D" w:rsidP="00A0171D">
      <w:pPr>
        <w:rPr>
          <w:rFonts w:eastAsiaTheme="minorHAnsi" w:cs="Helvetica"/>
          <w:lang w:val="en-AU"/>
        </w:rPr>
      </w:pPr>
      <w:r>
        <w:rPr>
          <w:rFonts w:eastAsiaTheme="minorHAnsi" w:cs="Helvetica"/>
          <w:lang w:val="en-AU"/>
        </w:rPr>
        <w:t>The AdeL</w:t>
      </w:r>
      <w:r w:rsidR="009861AC">
        <w:rPr>
          <w:rFonts w:eastAsiaTheme="minorHAnsi" w:cs="Helvetica"/>
          <w:lang w:val="en-AU"/>
        </w:rPr>
        <w:t>INK</w:t>
      </w:r>
      <w:r>
        <w:rPr>
          <w:rFonts w:eastAsiaTheme="minorHAnsi" w:cs="Helvetica"/>
          <w:lang w:val="en-AU"/>
        </w:rPr>
        <w:t xml:space="preserve"> </w:t>
      </w:r>
      <w:r w:rsidR="008C1C6C">
        <w:rPr>
          <w:rFonts w:eastAsiaTheme="minorHAnsi" w:cs="Helvetica"/>
          <w:lang w:val="en-AU"/>
        </w:rPr>
        <w:t>network</w:t>
      </w:r>
      <w:r>
        <w:rPr>
          <w:rFonts w:eastAsiaTheme="minorHAnsi" w:cs="Helvetica"/>
          <w:lang w:val="en-AU"/>
        </w:rPr>
        <w:t xml:space="preserve"> of light rail corridors represents a substantial investment in public transport in Adelaide</w:t>
      </w:r>
      <w:r w:rsidR="008C1C6C">
        <w:rPr>
          <w:rFonts w:eastAsiaTheme="minorHAnsi" w:cs="Helvetica"/>
          <w:lang w:val="en-AU"/>
        </w:rPr>
        <w:t xml:space="preserve"> and an excellent value capture opportunity.</w:t>
      </w:r>
    </w:p>
    <w:p w14:paraId="3DD4195B" w14:textId="09A1F271" w:rsidR="00AF7123" w:rsidRPr="00AF7123" w:rsidRDefault="00AF7123" w:rsidP="00AF7123">
      <w:pPr>
        <w:pStyle w:val="Caption"/>
        <w:rPr>
          <w:rFonts w:eastAsiaTheme="minorHAnsi" w:cs="Helvetica"/>
        </w:rPr>
      </w:pPr>
      <w:bookmarkStart w:id="92" w:name="_Ref422817045"/>
      <w:bookmarkStart w:id="93" w:name="_Toc430896562"/>
      <w:bookmarkStart w:id="94" w:name="_Toc423072920"/>
      <w:bookmarkStart w:id="95" w:name="_Toc430866526"/>
      <w:r>
        <w:t xml:space="preserve">Figure </w:t>
      </w:r>
      <w:r>
        <w:fldChar w:fldCharType="begin"/>
      </w:r>
      <w:r>
        <w:instrText xml:space="preserve"> SEQ Figure \* ARABIC </w:instrText>
      </w:r>
      <w:r>
        <w:fldChar w:fldCharType="separate"/>
      </w:r>
      <w:r w:rsidR="00184C79">
        <w:rPr>
          <w:noProof/>
        </w:rPr>
        <w:t>10</w:t>
      </w:r>
      <w:r>
        <w:fldChar w:fldCharType="end"/>
      </w:r>
      <w:bookmarkEnd w:id="92"/>
      <w:r>
        <w:t>. PROPOSED ADELINK - Adelaide Light Rail network</w:t>
      </w:r>
      <w:bookmarkEnd w:id="93"/>
      <w:r>
        <w:t xml:space="preserve"> </w:t>
      </w:r>
      <w:bookmarkEnd w:id="94"/>
      <w:bookmarkEnd w:id="95"/>
    </w:p>
    <w:p w14:paraId="49E04829" w14:textId="7BF0DCDE" w:rsidR="00865453" w:rsidRDefault="00865453" w:rsidP="00A0171D">
      <w:pPr>
        <w:rPr>
          <w:rFonts w:eastAsiaTheme="minorHAnsi" w:cs="Helvetica"/>
          <w:lang w:val="en-AU"/>
        </w:rPr>
      </w:pPr>
      <w:r w:rsidRPr="00865453">
        <w:rPr>
          <w:noProof/>
          <w:lang w:val="en-US" w:eastAsia="en-US"/>
        </w:rPr>
        <w:lastRenderedPageBreak/>
        <w:drawing>
          <wp:inline distT="0" distB="0" distL="0" distR="0" wp14:anchorId="62562C6E" wp14:editId="1EF35480">
            <wp:extent cx="3657143" cy="364761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57143" cy="3647619"/>
                    </a:xfrm>
                    <a:prstGeom prst="rect">
                      <a:avLst/>
                    </a:prstGeom>
                  </pic:spPr>
                </pic:pic>
              </a:graphicData>
            </a:graphic>
          </wp:inline>
        </w:drawing>
      </w:r>
    </w:p>
    <w:p w14:paraId="40F2C844" w14:textId="77777777" w:rsidR="008C1C6C" w:rsidRDefault="008C1C6C" w:rsidP="00A0171D">
      <w:pPr>
        <w:rPr>
          <w:rFonts w:eastAsiaTheme="minorHAnsi" w:cs="Helvetica"/>
          <w:lang w:val="en-AU"/>
        </w:rPr>
      </w:pPr>
    </w:p>
    <w:p w14:paraId="3CF9A162" w14:textId="15C61E1E" w:rsidR="00A0171D" w:rsidRDefault="00A0171D" w:rsidP="00A0171D">
      <w:pPr>
        <w:rPr>
          <w:rFonts w:eastAsiaTheme="minorHAnsi" w:cs="Helvetica"/>
          <w:lang w:val="en-AU"/>
        </w:rPr>
      </w:pPr>
      <w:r>
        <w:rPr>
          <w:rFonts w:eastAsiaTheme="minorHAnsi" w:cs="Helvetica"/>
          <w:lang w:val="en-AU"/>
        </w:rPr>
        <w:t xml:space="preserve">The light rail network </w:t>
      </w:r>
      <w:r w:rsidR="008C1C6C">
        <w:rPr>
          <w:rFonts w:eastAsiaTheme="minorHAnsi" w:cs="Helvetica"/>
          <w:lang w:val="en-AU"/>
        </w:rPr>
        <w:t>will expand</w:t>
      </w:r>
      <w:r>
        <w:rPr>
          <w:rFonts w:eastAsiaTheme="minorHAnsi" w:cs="Helvetica"/>
          <w:lang w:val="en-AU"/>
        </w:rPr>
        <w:t xml:space="preserve"> from a single line to Glenelg to a multiple-line network spanning much of the inner city. The addition of these light rail lines </w:t>
      </w:r>
      <w:r w:rsidR="008C1C6C">
        <w:rPr>
          <w:rFonts w:eastAsiaTheme="minorHAnsi" w:cs="Helvetica"/>
          <w:lang w:val="en-AU"/>
        </w:rPr>
        <w:t>will result</w:t>
      </w:r>
      <w:r>
        <w:rPr>
          <w:rFonts w:eastAsiaTheme="minorHAnsi" w:cs="Helvetica"/>
          <w:lang w:val="en-AU"/>
        </w:rPr>
        <w:t xml:space="preserve"> in a significant jump in patronage, with the light rail network anticipated to attract around 130,000 passengers in the morning peak by 2031. </w:t>
      </w:r>
    </w:p>
    <w:p w14:paraId="54D4C280" w14:textId="77777777" w:rsidR="00E4454D" w:rsidRDefault="00E4454D" w:rsidP="00A0171D">
      <w:pPr>
        <w:rPr>
          <w:rFonts w:eastAsiaTheme="minorHAnsi" w:cs="Helvetica"/>
          <w:lang w:val="en-AU"/>
        </w:rPr>
      </w:pPr>
    </w:p>
    <w:p w14:paraId="6DED8472" w14:textId="2C0035E8" w:rsidR="00A0171D" w:rsidRDefault="007756F2" w:rsidP="00A0171D">
      <w:pPr>
        <w:rPr>
          <w:rFonts w:eastAsiaTheme="minorHAnsi" w:cs="Helvetica"/>
          <w:lang w:val="en-AU"/>
        </w:rPr>
      </w:pPr>
      <w:r>
        <w:rPr>
          <w:rFonts w:eastAsiaTheme="minorHAnsi" w:cs="Helvetica"/>
          <w:lang w:val="en-AU"/>
        </w:rPr>
        <w:t>I</w:t>
      </w:r>
      <w:r w:rsidR="00A0171D">
        <w:rPr>
          <w:rFonts w:eastAsiaTheme="minorHAnsi" w:cs="Helvetica"/>
          <w:lang w:val="en-AU"/>
        </w:rPr>
        <w:t xml:space="preserve">nvestment in light rail will influence land markets </w:t>
      </w:r>
      <w:r w:rsidR="00C55899">
        <w:rPr>
          <w:rFonts w:eastAsiaTheme="minorHAnsi" w:cs="Helvetica"/>
          <w:lang w:val="en-AU"/>
        </w:rPr>
        <w:t>causing uplift in</w:t>
      </w:r>
      <w:r w:rsidR="00A0171D">
        <w:rPr>
          <w:rFonts w:eastAsiaTheme="minorHAnsi" w:cs="Helvetica"/>
          <w:lang w:val="en-AU"/>
        </w:rPr>
        <w:t xml:space="preserve"> land values</w:t>
      </w:r>
      <w:r w:rsidR="00C55899">
        <w:rPr>
          <w:rFonts w:eastAsiaTheme="minorHAnsi" w:cs="Helvetica"/>
          <w:lang w:val="en-AU"/>
        </w:rPr>
        <w:t xml:space="preserve"> and </w:t>
      </w:r>
      <w:r w:rsidR="00A0171D">
        <w:rPr>
          <w:rFonts w:eastAsiaTheme="minorHAnsi" w:cs="Helvetica"/>
          <w:lang w:val="en-AU"/>
        </w:rPr>
        <w:t xml:space="preserve">an increase in </w:t>
      </w:r>
      <w:r w:rsidR="00C55899">
        <w:rPr>
          <w:rFonts w:eastAsiaTheme="minorHAnsi" w:cs="Helvetica"/>
          <w:lang w:val="en-AU"/>
        </w:rPr>
        <w:t xml:space="preserve">urban </w:t>
      </w:r>
      <w:r w:rsidR="00A0171D">
        <w:rPr>
          <w:rFonts w:eastAsiaTheme="minorHAnsi" w:cs="Helvetica"/>
          <w:lang w:val="en-AU"/>
        </w:rPr>
        <w:t xml:space="preserve">density along light rail corridors. The clustering of people closer to employment and in areas well connected by public transport would also have implications for whole of city productivity. This type of development increases the Effective Job Density of the inner city, further strengthening agglomeration economies. In turn, this would likely improve the attractiveness of the CBD and its surrounds for firms. </w:t>
      </w:r>
    </w:p>
    <w:p w14:paraId="4BFF086B" w14:textId="77777777" w:rsidR="005B36E3" w:rsidRDefault="005B36E3" w:rsidP="009861AC">
      <w:pPr>
        <w:pStyle w:val="Heading2"/>
      </w:pPr>
      <w:bookmarkStart w:id="96" w:name="_Toc430554432"/>
      <w:bookmarkStart w:id="97" w:name="_Toc430896858"/>
      <w:r w:rsidRPr="00F73C1B">
        <w:t>B</w:t>
      </w:r>
      <w:r>
        <w:t>risbane</w:t>
      </w:r>
      <w:bookmarkEnd w:id="96"/>
      <w:r>
        <w:t xml:space="preserve"> </w:t>
      </w:r>
      <w:r w:rsidR="00955546">
        <w:t>(South East Queensland)</w:t>
      </w:r>
      <w:bookmarkEnd w:id="97"/>
    </w:p>
    <w:p w14:paraId="11F2C638" w14:textId="77777777" w:rsidR="00834213" w:rsidRDefault="00834213" w:rsidP="00834213">
      <w:pPr>
        <w:rPr>
          <w:rFonts w:eastAsiaTheme="minorHAnsi" w:cs="Helvetica"/>
          <w:lang w:val="en-AU"/>
        </w:rPr>
      </w:pPr>
      <w:r>
        <w:rPr>
          <w:rFonts w:eastAsiaTheme="minorHAnsi" w:cs="Helvetica"/>
          <w:lang w:val="en-AU"/>
        </w:rPr>
        <w:t>Key urban characteristics of Brisbane when discussing future public transport investment include:</w:t>
      </w:r>
    </w:p>
    <w:p w14:paraId="29AB018D" w14:textId="77777777" w:rsidR="001745F4" w:rsidRDefault="006542C8" w:rsidP="00791C11">
      <w:pPr>
        <w:pStyle w:val="ListParagraph"/>
        <w:numPr>
          <w:ilvl w:val="0"/>
          <w:numId w:val="50"/>
        </w:numPr>
      </w:pPr>
      <w:r>
        <w:t xml:space="preserve">Brisbane </w:t>
      </w:r>
      <w:r w:rsidR="001745F4">
        <w:t>has a population of 1.56 million with expected growth to 1.95 million people by 2026</w:t>
      </w:r>
    </w:p>
    <w:p w14:paraId="20674256" w14:textId="77777777" w:rsidR="006542C8" w:rsidRDefault="00852DD7" w:rsidP="00791C11">
      <w:pPr>
        <w:pStyle w:val="ListParagraph"/>
        <w:numPr>
          <w:ilvl w:val="0"/>
          <w:numId w:val="50"/>
        </w:numPr>
      </w:pPr>
      <w:r>
        <w:t xml:space="preserve">Brisbane CBD is the primary employment zone </w:t>
      </w:r>
      <w:r w:rsidR="008056C8">
        <w:t>of the city</w:t>
      </w:r>
    </w:p>
    <w:p w14:paraId="346894FD" w14:textId="77777777" w:rsidR="006542C8" w:rsidRDefault="006542C8" w:rsidP="00791C11">
      <w:pPr>
        <w:pStyle w:val="ListParagraph"/>
        <w:numPr>
          <w:ilvl w:val="0"/>
          <w:numId w:val="50"/>
        </w:numPr>
      </w:pPr>
      <w:r>
        <w:t xml:space="preserve">Brisbane is part of the broader South-East Queensland </w:t>
      </w:r>
      <w:r w:rsidR="00E95FCE">
        <w:t xml:space="preserve">(SEQ) </w:t>
      </w:r>
      <w:r>
        <w:t xml:space="preserve">region which has strong local governments </w:t>
      </w:r>
      <w:r w:rsidR="00F01150">
        <w:t xml:space="preserve">with the scale, balance sheet and growth </w:t>
      </w:r>
      <w:r w:rsidR="00E71569">
        <w:t xml:space="preserve">potential </w:t>
      </w:r>
      <w:r w:rsidR="00F01150">
        <w:t xml:space="preserve">to promote their own </w:t>
      </w:r>
      <w:r w:rsidR="005E4450">
        <w:t xml:space="preserve">public transport </w:t>
      </w:r>
      <w:r w:rsidR="00F01150">
        <w:t>infrastructure initiatives</w:t>
      </w:r>
    </w:p>
    <w:p w14:paraId="2B288D25" w14:textId="77777777" w:rsidR="00E95FCE" w:rsidRDefault="00E95FCE" w:rsidP="00791C11">
      <w:pPr>
        <w:pStyle w:val="ListParagraph"/>
        <w:numPr>
          <w:ilvl w:val="0"/>
          <w:numId w:val="50"/>
        </w:numPr>
      </w:pPr>
      <w:r>
        <w:t>SEQ is the third largest urban region in Australia with forecast average growth of 50,000 new residents per year over the next 20 years</w:t>
      </w:r>
    </w:p>
    <w:p w14:paraId="4DBB991C" w14:textId="77777777" w:rsidR="00F01150" w:rsidRDefault="00F01150" w:rsidP="00791C11">
      <w:pPr>
        <w:pStyle w:val="ListParagraph"/>
        <w:numPr>
          <w:ilvl w:val="0"/>
          <w:numId w:val="50"/>
        </w:numPr>
      </w:pPr>
      <w:r>
        <w:t xml:space="preserve">Gold Coast </w:t>
      </w:r>
      <w:r w:rsidR="001745F4">
        <w:t xml:space="preserve">City </w:t>
      </w:r>
      <w:r>
        <w:t>has a light rail network and will host the Commonwealth Games.</w:t>
      </w:r>
    </w:p>
    <w:p w14:paraId="30EDAAC1" w14:textId="77777777" w:rsidR="005B36E3" w:rsidRDefault="005B36E3" w:rsidP="005B36E3"/>
    <w:p w14:paraId="28BC70F3" w14:textId="77777777" w:rsidR="00955546" w:rsidRDefault="00955546" w:rsidP="005B36E3">
      <w:r>
        <w:t xml:space="preserve">Public transport </w:t>
      </w:r>
      <w:r w:rsidR="00D00227">
        <w:t>initiatives</w:t>
      </w:r>
      <w:r>
        <w:t xml:space="preserve"> in SEQ can be initiated by state government or by individual councils.</w:t>
      </w:r>
    </w:p>
    <w:p w14:paraId="6045F504" w14:textId="77777777" w:rsidR="008056C8" w:rsidRPr="00E4454D" w:rsidRDefault="008056C8" w:rsidP="008056C8">
      <w:pPr>
        <w:pStyle w:val="Caption"/>
      </w:pPr>
      <w:bookmarkStart w:id="98" w:name="_Toc430896549"/>
      <w:r w:rsidRPr="00E4454D">
        <w:t xml:space="preserve">Table </w:t>
      </w:r>
      <w:r w:rsidRPr="00E4454D">
        <w:fldChar w:fldCharType="begin"/>
      </w:r>
      <w:r w:rsidRPr="00E4454D">
        <w:instrText xml:space="preserve"> SEQ Table \* ARABIC </w:instrText>
      </w:r>
      <w:r w:rsidRPr="00E4454D">
        <w:fldChar w:fldCharType="separate"/>
      </w:r>
      <w:r w:rsidR="00184C79">
        <w:rPr>
          <w:noProof/>
        </w:rPr>
        <w:t>15</w:t>
      </w:r>
      <w:r w:rsidRPr="00E4454D">
        <w:fldChar w:fldCharType="end"/>
      </w:r>
      <w:r w:rsidRPr="00E4454D">
        <w:t>.</w:t>
      </w:r>
      <w:r w:rsidRPr="00E4454D">
        <w:tab/>
      </w:r>
      <w:r w:rsidR="00955546" w:rsidRPr="00E4454D">
        <w:t>SOUTH EAST QUEENSLAND</w:t>
      </w:r>
      <w:r w:rsidRPr="00E4454D">
        <w:t xml:space="preserve"> </w:t>
      </w:r>
      <w:r w:rsidR="00780859" w:rsidRPr="00E4454D">
        <w:t xml:space="preserve">(2031) </w:t>
      </w:r>
      <w:r w:rsidRPr="00E4454D">
        <w:t>- new public transport infrastructure</w:t>
      </w:r>
      <w:bookmarkEnd w:id="98"/>
      <w:r w:rsidRPr="00E4454D">
        <w:t xml:space="preserve"> </w:t>
      </w:r>
    </w:p>
    <w:tbl>
      <w:tblPr>
        <w:tblStyle w:val="TableGrid1"/>
        <w:tblW w:w="0" w:type="auto"/>
        <w:tblLook w:val="04A0" w:firstRow="1" w:lastRow="0" w:firstColumn="1" w:lastColumn="0" w:noHBand="0" w:noVBand="1"/>
      </w:tblPr>
      <w:tblGrid>
        <w:gridCol w:w="8472"/>
      </w:tblGrid>
      <w:tr w:rsidR="00780859" w:rsidRPr="00CF1957" w14:paraId="3ADD696B" w14:textId="77777777" w:rsidTr="00E4454D">
        <w:tc>
          <w:tcPr>
            <w:tcW w:w="8472" w:type="dxa"/>
          </w:tcPr>
          <w:p w14:paraId="179AFE52" w14:textId="77777777" w:rsidR="00146C3E" w:rsidRPr="00146C3E" w:rsidRDefault="00146C3E" w:rsidP="00146C3E"/>
          <w:p w14:paraId="76D57304" w14:textId="77777777" w:rsidR="00780859" w:rsidRDefault="00780859" w:rsidP="00791C11">
            <w:pPr>
              <w:pStyle w:val="ListParagraph"/>
              <w:numPr>
                <w:ilvl w:val="0"/>
                <w:numId w:val="51"/>
              </w:numPr>
            </w:pPr>
            <w:r w:rsidRPr="00E93744">
              <w:t>Cross River Rail</w:t>
            </w:r>
            <w:r>
              <w:t xml:space="preserve">: </w:t>
            </w:r>
            <w:r w:rsidRPr="00E93744">
              <w:t xml:space="preserve">new north–south rail line </w:t>
            </w:r>
            <w:r w:rsidR="00713E9F">
              <w:t xml:space="preserve">in Brisbane </w:t>
            </w:r>
            <w:r>
              <w:t>with</w:t>
            </w:r>
            <w:r w:rsidRPr="00E93744">
              <w:t xml:space="preserve"> stations in inner city </w:t>
            </w:r>
          </w:p>
          <w:p w14:paraId="75AA551D" w14:textId="77777777" w:rsidR="00780859" w:rsidRDefault="00780859" w:rsidP="00791C11">
            <w:pPr>
              <w:pStyle w:val="ListParagraph"/>
              <w:numPr>
                <w:ilvl w:val="0"/>
                <w:numId w:val="51"/>
              </w:numPr>
            </w:pPr>
            <w:r w:rsidRPr="00E93744">
              <w:t xml:space="preserve">Gold Coast light rail from Helensvale to Coolangatta. </w:t>
            </w:r>
          </w:p>
          <w:p w14:paraId="229032B2" w14:textId="77777777" w:rsidR="00713E9F" w:rsidRDefault="00780859" w:rsidP="00791C11">
            <w:pPr>
              <w:pStyle w:val="ListParagraph"/>
              <w:numPr>
                <w:ilvl w:val="0"/>
                <w:numId w:val="51"/>
              </w:numPr>
            </w:pPr>
            <w:r>
              <w:t>B</w:t>
            </w:r>
            <w:r w:rsidR="00713E9F">
              <w:t xml:space="preserve">risbane subway </w:t>
            </w:r>
          </w:p>
          <w:p w14:paraId="29C0C2ED" w14:textId="77777777" w:rsidR="00780859" w:rsidRDefault="00780859" w:rsidP="00791C11">
            <w:pPr>
              <w:pStyle w:val="ListParagraph"/>
              <w:numPr>
                <w:ilvl w:val="0"/>
                <w:numId w:val="51"/>
              </w:numPr>
            </w:pPr>
            <w:r w:rsidRPr="00E93744">
              <w:t>North-west rail line</w:t>
            </w:r>
            <w:r w:rsidR="00713E9F">
              <w:t>:</w:t>
            </w:r>
            <w:r w:rsidRPr="00E93744">
              <w:t xml:space="preserve"> new line from Cross River Rail to join the North Coast Line at Strathpine. </w:t>
            </w:r>
          </w:p>
          <w:p w14:paraId="10F5A591" w14:textId="77777777" w:rsidR="00146C3E" w:rsidRPr="00146C3E" w:rsidRDefault="00146C3E" w:rsidP="00146C3E"/>
        </w:tc>
      </w:tr>
    </w:tbl>
    <w:p w14:paraId="5B21FB1F" w14:textId="77777777" w:rsidR="008056C8" w:rsidRDefault="008056C8" w:rsidP="008056C8"/>
    <w:p w14:paraId="41ABB884" w14:textId="77777777" w:rsidR="00852DD7" w:rsidRDefault="00852DD7" w:rsidP="005B36E3">
      <w:r>
        <w:t xml:space="preserve">Greater Brisbane provides opportunities for urban consolidation, particularly through infill and redevelopment of areas with good accessibility to activity centres and public transport. </w:t>
      </w:r>
    </w:p>
    <w:p w14:paraId="73D27B23" w14:textId="77777777" w:rsidR="00852DD7" w:rsidRDefault="00852DD7" w:rsidP="005B36E3"/>
    <w:p w14:paraId="6CCAF016" w14:textId="77777777" w:rsidR="00780859" w:rsidRDefault="00780859" w:rsidP="005B36E3">
      <w:r>
        <w:t xml:space="preserve">A new subway is proposed to improve city transit as there will be 2.4 million trips per day in the inner city by 2031 (up from one million in 2006). An extra 100,000 people are forecast to live in inner Brisbane and employment is forecast to increase by 100% by 2031. </w:t>
      </w:r>
    </w:p>
    <w:p w14:paraId="40697E4B" w14:textId="77777777" w:rsidR="008056C8" w:rsidRDefault="008056C8" w:rsidP="005B36E3"/>
    <w:p w14:paraId="2A1ED84B" w14:textId="77777777" w:rsidR="00780859" w:rsidRDefault="00B5168C" w:rsidP="005B36E3">
      <w:r>
        <w:t>Both th</w:t>
      </w:r>
      <w:r w:rsidR="00780859">
        <w:t>e Brisbane subway and Cross River Rail represent excellent opportunities for value capture. Value Capture should be incorporated into the planning and design of new subway stations.</w:t>
      </w:r>
    </w:p>
    <w:p w14:paraId="7C5C6EF0" w14:textId="77777777" w:rsidR="005B36E3" w:rsidRDefault="005B36E3" w:rsidP="009861AC">
      <w:pPr>
        <w:pStyle w:val="Heading2"/>
      </w:pPr>
      <w:bookmarkStart w:id="99" w:name="_Toc430554433"/>
      <w:bookmarkStart w:id="100" w:name="_Toc430896859"/>
      <w:r>
        <w:t>Melbourne</w:t>
      </w:r>
      <w:bookmarkEnd w:id="99"/>
      <w:bookmarkEnd w:id="100"/>
      <w:r>
        <w:t xml:space="preserve"> </w:t>
      </w:r>
    </w:p>
    <w:p w14:paraId="0118E826" w14:textId="77777777" w:rsidR="00B649EB" w:rsidRDefault="00BC6029" w:rsidP="00B649EB">
      <w:pPr>
        <w:rPr>
          <w:rFonts w:eastAsiaTheme="minorHAnsi" w:cs="Helvetica"/>
          <w:lang w:val="en-AU"/>
        </w:rPr>
      </w:pPr>
      <w:r>
        <w:rPr>
          <w:rFonts w:eastAsiaTheme="minorHAnsi" w:cs="Helvetica"/>
          <w:lang w:val="en-AU"/>
        </w:rPr>
        <w:t>Key</w:t>
      </w:r>
      <w:r w:rsidR="00B649EB">
        <w:rPr>
          <w:rFonts w:eastAsiaTheme="minorHAnsi" w:cs="Helvetica"/>
          <w:lang w:val="en-AU"/>
        </w:rPr>
        <w:t xml:space="preserve"> </w:t>
      </w:r>
      <w:r w:rsidR="00051789">
        <w:rPr>
          <w:rFonts w:eastAsiaTheme="minorHAnsi" w:cs="Helvetica"/>
          <w:lang w:val="en-AU"/>
        </w:rPr>
        <w:t xml:space="preserve">urban </w:t>
      </w:r>
      <w:r w:rsidR="00B649EB">
        <w:rPr>
          <w:rFonts w:eastAsiaTheme="minorHAnsi" w:cs="Helvetica"/>
          <w:lang w:val="en-AU"/>
        </w:rPr>
        <w:t xml:space="preserve">characteristics of Melbourne when discussing </w:t>
      </w:r>
      <w:r w:rsidR="00051789">
        <w:rPr>
          <w:rFonts w:eastAsiaTheme="minorHAnsi" w:cs="Helvetica"/>
          <w:lang w:val="en-AU"/>
        </w:rPr>
        <w:t>future</w:t>
      </w:r>
      <w:r w:rsidR="00B649EB">
        <w:rPr>
          <w:rFonts w:eastAsiaTheme="minorHAnsi" w:cs="Helvetica"/>
          <w:lang w:val="en-AU"/>
        </w:rPr>
        <w:t xml:space="preserve"> public transport investment</w:t>
      </w:r>
      <w:r>
        <w:rPr>
          <w:rFonts w:eastAsiaTheme="minorHAnsi" w:cs="Helvetica"/>
          <w:lang w:val="en-AU"/>
        </w:rPr>
        <w:t xml:space="preserve"> include</w:t>
      </w:r>
      <w:r w:rsidR="00B649EB">
        <w:rPr>
          <w:rFonts w:eastAsiaTheme="minorHAnsi" w:cs="Helvetica"/>
          <w:lang w:val="en-AU"/>
        </w:rPr>
        <w:t>:</w:t>
      </w:r>
    </w:p>
    <w:p w14:paraId="338EB021" w14:textId="77777777" w:rsidR="00B649EB" w:rsidRDefault="00B649EB" w:rsidP="00B649EB">
      <w:pPr>
        <w:rPr>
          <w:rFonts w:eastAsiaTheme="minorHAnsi" w:cs="Helvetica"/>
          <w:lang w:val="en-AU"/>
        </w:rPr>
      </w:pPr>
    </w:p>
    <w:p w14:paraId="0407AFEB" w14:textId="77777777" w:rsidR="00B649EB" w:rsidRPr="00C242AA" w:rsidRDefault="00B649EB" w:rsidP="00791C11">
      <w:pPr>
        <w:pStyle w:val="Bullet1"/>
        <w:numPr>
          <w:ilvl w:val="0"/>
          <w:numId w:val="39"/>
        </w:numPr>
      </w:pPr>
      <w:r w:rsidRPr="00C242AA">
        <w:t>Melbourne has been growing at around 2</w:t>
      </w:r>
      <w:r>
        <w:t>%</w:t>
      </w:r>
      <w:r w:rsidRPr="00C242AA">
        <w:t xml:space="preserve"> per annum. This rate is anticipated to continue </w:t>
      </w:r>
      <w:r>
        <w:t>beyond 2030</w:t>
      </w:r>
    </w:p>
    <w:p w14:paraId="35F485C1" w14:textId="77777777" w:rsidR="00B649EB" w:rsidRPr="00E54F2E" w:rsidRDefault="00051789" w:rsidP="00791C11">
      <w:pPr>
        <w:pStyle w:val="Bullet1"/>
        <w:numPr>
          <w:ilvl w:val="0"/>
          <w:numId w:val="39"/>
        </w:numPr>
      </w:pPr>
      <w:r>
        <w:rPr>
          <w:rFonts w:eastAsiaTheme="minorHAnsi" w:cs="Helvetica"/>
          <w:lang w:val="en-AU"/>
        </w:rPr>
        <w:t>F</w:t>
      </w:r>
      <w:r w:rsidR="00B649EB" w:rsidRPr="00077D44">
        <w:rPr>
          <w:rFonts w:eastAsiaTheme="minorHAnsi" w:cs="Helvetica"/>
          <w:lang w:val="en-AU"/>
        </w:rPr>
        <w:t>uture residential development is expected to be characterised by densification of inner suburbs and widespread low-density growth in outer suburbs</w:t>
      </w:r>
    </w:p>
    <w:p w14:paraId="00BC01DD" w14:textId="77777777" w:rsidR="00B649EB" w:rsidRPr="00671D86" w:rsidRDefault="00051789" w:rsidP="00791C11">
      <w:pPr>
        <w:pStyle w:val="Bullet1"/>
        <w:numPr>
          <w:ilvl w:val="0"/>
          <w:numId w:val="39"/>
        </w:numPr>
      </w:pPr>
      <w:r>
        <w:rPr>
          <w:rFonts w:eastAsiaTheme="minorHAnsi" w:cs="Helvetica"/>
          <w:lang w:val="en-AU"/>
        </w:rPr>
        <w:t>E</w:t>
      </w:r>
      <w:r w:rsidR="00B649EB" w:rsidRPr="00E54F2E">
        <w:rPr>
          <w:rFonts w:eastAsiaTheme="minorHAnsi" w:cs="Helvetica"/>
          <w:lang w:val="en-AU"/>
        </w:rPr>
        <w:t>mployment is forecast to increasingly centralise in the CBD and surrou</w:t>
      </w:r>
      <w:r w:rsidR="00B649EB">
        <w:rPr>
          <w:rFonts w:eastAsiaTheme="minorHAnsi" w:cs="Helvetica"/>
          <w:lang w:val="en-AU"/>
        </w:rPr>
        <w:t>nding inner suburban locations</w:t>
      </w:r>
    </w:p>
    <w:p w14:paraId="47A034AE" w14:textId="77777777" w:rsidR="00B649EB" w:rsidRDefault="00051789" w:rsidP="00791C11">
      <w:pPr>
        <w:pStyle w:val="Bullet1"/>
        <w:numPr>
          <w:ilvl w:val="0"/>
          <w:numId w:val="39"/>
        </w:numPr>
      </w:pPr>
      <w:r>
        <w:t>C</w:t>
      </w:r>
      <w:r w:rsidR="00B649EB">
        <w:t xml:space="preserve">entralising employment, investment in public transport and rising road congestion is likely to result in a reduction in car use. </w:t>
      </w:r>
    </w:p>
    <w:p w14:paraId="6811D64B" w14:textId="77777777" w:rsidR="00B8299C" w:rsidRPr="00E4454D" w:rsidRDefault="00B8299C" w:rsidP="00B8299C">
      <w:pPr>
        <w:pStyle w:val="Caption"/>
      </w:pPr>
      <w:bookmarkStart w:id="101" w:name="_Ref422929559"/>
      <w:bookmarkStart w:id="102" w:name="_Toc430896550"/>
      <w:bookmarkStart w:id="103" w:name="_Toc423072928"/>
      <w:r w:rsidRPr="00E4454D">
        <w:t xml:space="preserve">Table </w:t>
      </w:r>
      <w:r w:rsidRPr="00E4454D">
        <w:fldChar w:fldCharType="begin"/>
      </w:r>
      <w:r w:rsidRPr="00E4454D">
        <w:instrText xml:space="preserve"> SEQ Table \* ARABIC </w:instrText>
      </w:r>
      <w:r w:rsidRPr="00E4454D">
        <w:fldChar w:fldCharType="separate"/>
      </w:r>
      <w:r w:rsidR="00184C79">
        <w:rPr>
          <w:noProof/>
        </w:rPr>
        <w:t>16</w:t>
      </w:r>
      <w:r w:rsidRPr="00E4454D">
        <w:fldChar w:fldCharType="end"/>
      </w:r>
      <w:bookmarkEnd w:id="101"/>
      <w:r w:rsidRPr="00E4454D">
        <w:t>.</w:t>
      </w:r>
      <w:r w:rsidRPr="00E4454D">
        <w:tab/>
      </w:r>
      <w:r w:rsidR="00BC6029" w:rsidRPr="00E4454D">
        <w:t>melbourne - new</w:t>
      </w:r>
      <w:r w:rsidRPr="00E4454D">
        <w:t xml:space="preserve"> public transport infrastructure</w:t>
      </w:r>
      <w:bookmarkEnd w:id="102"/>
      <w:r w:rsidRPr="00E4454D">
        <w:t xml:space="preserve"> </w:t>
      </w:r>
      <w:bookmarkEnd w:id="103"/>
    </w:p>
    <w:tbl>
      <w:tblPr>
        <w:tblStyle w:val="GridTable4-Accent21"/>
        <w:tblW w:w="0" w:type="auto"/>
        <w:tblLook w:val="04A0" w:firstRow="1" w:lastRow="0" w:firstColumn="1" w:lastColumn="0" w:noHBand="0" w:noVBand="1"/>
      </w:tblPr>
      <w:tblGrid>
        <w:gridCol w:w="4252"/>
        <w:gridCol w:w="4252"/>
      </w:tblGrid>
      <w:tr w:rsidR="00B8299C" w:rsidRPr="00E4454D" w14:paraId="0282B053" w14:textId="77777777" w:rsidTr="00E4454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252" w:type="dxa"/>
          </w:tcPr>
          <w:p w14:paraId="0F56F3CF" w14:textId="77777777" w:rsidR="00B8299C" w:rsidRPr="00E4454D" w:rsidRDefault="00B8299C" w:rsidP="002342C5">
            <w:pPr>
              <w:rPr>
                <w:rFonts w:asciiTheme="majorHAnsi" w:hAnsiTheme="majorHAnsi"/>
                <w:sz w:val="18"/>
                <w:szCs w:val="18"/>
              </w:rPr>
            </w:pPr>
            <w:r w:rsidRPr="00E4454D">
              <w:rPr>
                <w:rFonts w:asciiTheme="majorHAnsi" w:hAnsiTheme="majorHAnsi"/>
                <w:sz w:val="18"/>
                <w:szCs w:val="18"/>
              </w:rPr>
              <w:t>Short Term</w:t>
            </w:r>
          </w:p>
        </w:tc>
        <w:tc>
          <w:tcPr>
            <w:tcW w:w="4252" w:type="dxa"/>
          </w:tcPr>
          <w:p w14:paraId="15D409A5" w14:textId="77777777" w:rsidR="00B8299C" w:rsidRPr="00E4454D" w:rsidRDefault="00B8299C" w:rsidP="00B8299C">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E4454D">
              <w:rPr>
                <w:rFonts w:asciiTheme="majorHAnsi" w:hAnsiTheme="majorHAnsi"/>
                <w:sz w:val="18"/>
                <w:szCs w:val="18"/>
              </w:rPr>
              <w:t xml:space="preserve">Long Term </w:t>
            </w:r>
          </w:p>
        </w:tc>
      </w:tr>
      <w:tr w:rsidR="00B8299C" w:rsidRPr="00E4454D" w14:paraId="7CAF81E4"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AB30829" w14:textId="77777777" w:rsidR="00B8299C" w:rsidRPr="00E4454D" w:rsidRDefault="00B8299C" w:rsidP="00B8299C">
            <w:pPr>
              <w:rPr>
                <w:rFonts w:asciiTheme="majorHAnsi" w:hAnsiTheme="majorHAnsi" w:cs="Arial"/>
                <w:b w:val="0"/>
                <w:color w:val="000000"/>
                <w:sz w:val="18"/>
                <w:szCs w:val="18"/>
                <w:lang w:val="en-US"/>
              </w:rPr>
            </w:pPr>
            <w:r w:rsidRPr="00E4454D">
              <w:rPr>
                <w:rFonts w:asciiTheme="majorHAnsi" w:hAnsiTheme="majorHAnsi" w:cs="Arial"/>
                <w:b w:val="0"/>
                <w:color w:val="000000"/>
                <w:sz w:val="18"/>
                <w:szCs w:val="18"/>
                <w:lang w:val="en-US"/>
              </w:rPr>
              <w:t>Melbourne Metro rail tunnel</w:t>
            </w:r>
          </w:p>
          <w:p w14:paraId="178BEF19" w14:textId="55735B47" w:rsidR="00B8299C" w:rsidRPr="00E4454D" w:rsidRDefault="00B8299C" w:rsidP="00E4454D">
            <w:pPr>
              <w:rPr>
                <w:rFonts w:asciiTheme="majorHAnsi" w:hAnsiTheme="majorHAnsi"/>
                <w:b w:val="0"/>
                <w:color w:val="000000"/>
                <w:sz w:val="18"/>
                <w:szCs w:val="18"/>
              </w:rPr>
            </w:pPr>
          </w:p>
        </w:tc>
        <w:tc>
          <w:tcPr>
            <w:tcW w:w="4252" w:type="dxa"/>
          </w:tcPr>
          <w:p w14:paraId="6E6040FC" w14:textId="77777777" w:rsidR="00B8299C" w:rsidRPr="00E4454D" w:rsidRDefault="00B8299C" w:rsidP="002342C5">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r w:rsidRPr="00E4454D">
              <w:rPr>
                <w:rFonts w:asciiTheme="majorHAnsi" w:hAnsiTheme="majorHAnsi" w:cs="Arial"/>
                <w:color w:val="000000"/>
                <w:sz w:val="18"/>
                <w:szCs w:val="18"/>
                <w:lang w:val="en-US"/>
              </w:rPr>
              <w:t>Mernda rail extension and station</w:t>
            </w:r>
          </w:p>
          <w:p w14:paraId="7DA9F882" w14:textId="13616344" w:rsidR="00B8299C" w:rsidRPr="00E4454D" w:rsidRDefault="00B8299C" w:rsidP="002342C5">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p>
        </w:tc>
      </w:tr>
      <w:tr w:rsidR="00E4454D" w:rsidRPr="00E4454D" w14:paraId="07755F82" w14:textId="77777777" w:rsidTr="00E4454D">
        <w:tc>
          <w:tcPr>
            <w:cnfStyle w:val="001000000000" w:firstRow="0" w:lastRow="0" w:firstColumn="1" w:lastColumn="0" w:oddVBand="0" w:evenVBand="0" w:oddHBand="0" w:evenHBand="0" w:firstRowFirstColumn="0" w:firstRowLastColumn="0" w:lastRowFirstColumn="0" w:lastRowLastColumn="0"/>
            <w:tcW w:w="4252" w:type="dxa"/>
          </w:tcPr>
          <w:p w14:paraId="6EF62FBD" w14:textId="77777777" w:rsidR="00E4454D" w:rsidRPr="00E4454D" w:rsidRDefault="00E4454D" w:rsidP="00E4454D">
            <w:pPr>
              <w:rPr>
                <w:rFonts w:asciiTheme="majorHAnsi" w:hAnsiTheme="majorHAnsi"/>
                <w:b w:val="0"/>
                <w:color w:val="000000" w:themeColor="text1"/>
                <w:sz w:val="18"/>
                <w:szCs w:val="18"/>
              </w:rPr>
            </w:pPr>
            <w:r w:rsidRPr="00E4454D">
              <w:rPr>
                <w:rFonts w:asciiTheme="majorHAnsi" w:hAnsiTheme="majorHAnsi"/>
                <w:b w:val="0"/>
                <w:color w:val="000000" w:themeColor="text1"/>
                <w:sz w:val="18"/>
                <w:szCs w:val="18"/>
              </w:rPr>
              <w:t xml:space="preserve">Regional Rail Link </w:t>
            </w:r>
          </w:p>
          <w:p w14:paraId="4FA613AC" w14:textId="77777777" w:rsidR="00E4454D" w:rsidRPr="00E4454D" w:rsidRDefault="00E4454D" w:rsidP="00B8299C">
            <w:pPr>
              <w:rPr>
                <w:rFonts w:asciiTheme="majorHAnsi" w:hAnsiTheme="majorHAnsi" w:cs="Arial"/>
                <w:color w:val="000000"/>
                <w:sz w:val="18"/>
                <w:szCs w:val="18"/>
                <w:lang w:val="en-US"/>
              </w:rPr>
            </w:pPr>
          </w:p>
        </w:tc>
        <w:tc>
          <w:tcPr>
            <w:tcW w:w="4252" w:type="dxa"/>
          </w:tcPr>
          <w:p w14:paraId="314D8F0B" w14:textId="1A29D1F8" w:rsidR="00E4454D" w:rsidRPr="00E4454D" w:rsidRDefault="00E4454D" w:rsidP="002342C5">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lang w:val="en-US"/>
              </w:rPr>
            </w:pPr>
            <w:r w:rsidRPr="00E4454D">
              <w:rPr>
                <w:rFonts w:asciiTheme="majorHAnsi" w:hAnsiTheme="majorHAnsi" w:cs="Arial"/>
                <w:color w:val="000000"/>
                <w:sz w:val="18"/>
                <w:szCs w:val="18"/>
                <w:lang w:val="en-US"/>
              </w:rPr>
              <w:t>Additional stations on multiple lines</w:t>
            </w:r>
          </w:p>
        </w:tc>
      </w:tr>
      <w:tr w:rsidR="00E4454D" w:rsidRPr="00E4454D" w14:paraId="71D0FF42"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18A8D578" w14:textId="5168CC4B" w:rsidR="00E4454D" w:rsidRPr="00E4454D" w:rsidRDefault="00E4454D" w:rsidP="00E4454D">
            <w:pPr>
              <w:rPr>
                <w:rFonts w:asciiTheme="majorHAnsi" w:hAnsiTheme="majorHAnsi" w:cs="Arial"/>
                <w:color w:val="000000"/>
                <w:sz w:val="18"/>
                <w:szCs w:val="18"/>
                <w:lang w:val="en-US"/>
              </w:rPr>
            </w:pPr>
            <w:r w:rsidRPr="00E4454D">
              <w:rPr>
                <w:rFonts w:asciiTheme="majorHAnsi" w:hAnsiTheme="majorHAnsi"/>
                <w:b w:val="0"/>
                <w:color w:val="000000" w:themeColor="text1"/>
                <w:sz w:val="18"/>
                <w:szCs w:val="18"/>
              </w:rPr>
              <w:t xml:space="preserve">South Morang rail extension and station Electrification to Sunbury </w:t>
            </w:r>
          </w:p>
        </w:tc>
        <w:tc>
          <w:tcPr>
            <w:tcW w:w="4252" w:type="dxa"/>
          </w:tcPr>
          <w:p w14:paraId="20121C36" w14:textId="77777777" w:rsidR="00E4454D" w:rsidRPr="00E4454D" w:rsidRDefault="00E4454D" w:rsidP="002342C5">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p>
        </w:tc>
      </w:tr>
      <w:tr w:rsidR="00E4454D" w:rsidRPr="00E4454D" w14:paraId="00B38D20" w14:textId="77777777" w:rsidTr="00E4454D">
        <w:tc>
          <w:tcPr>
            <w:cnfStyle w:val="001000000000" w:firstRow="0" w:lastRow="0" w:firstColumn="1" w:lastColumn="0" w:oddVBand="0" w:evenVBand="0" w:oddHBand="0" w:evenHBand="0" w:firstRowFirstColumn="0" w:firstRowLastColumn="0" w:lastRowFirstColumn="0" w:lastRowLastColumn="0"/>
            <w:tcW w:w="4252" w:type="dxa"/>
          </w:tcPr>
          <w:p w14:paraId="0095D51F" w14:textId="45818C08" w:rsidR="00E4454D" w:rsidRPr="00E4454D" w:rsidRDefault="00E4454D" w:rsidP="00B8299C">
            <w:pPr>
              <w:rPr>
                <w:rFonts w:asciiTheme="majorHAnsi" w:hAnsiTheme="majorHAnsi" w:cs="Arial"/>
                <w:color w:val="000000"/>
                <w:sz w:val="18"/>
                <w:szCs w:val="18"/>
                <w:lang w:val="en-US"/>
              </w:rPr>
            </w:pPr>
            <w:r w:rsidRPr="00E4454D">
              <w:rPr>
                <w:rFonts w:asciiTheme="majorHAnsi" w:hAnsiTheme="majorHAnsi"/>
                <w:b w:val="0"/>
                <w:color w:val="000000" w:themeColor="text1"/>
                <w:sz w:val="18"/>
                <w:szCs w:val="18"/>
              </w:rPr>
              <w:t>Additional stations</w:t>
            </w:r>
            <w:r w:rsidRPr="00E4454D">
              <w:rPr>
                <w:rFonts w:asciiTheme="majorHAnsi" w:hAnsiTheme="majorHAnsi" w:cs="Arial"/>
                <w:b w:val="0"/>
                <w:color w:val="000000"/>
                <w:sz w:val="18"/>
                <w:szCs w:val="18"/>
                <w:lang w:val="en-US"/>
              </w:rPr>
              <w:t xml:space="preserve"> on multiple lines – urban renewal opportunities</w:t>
            </w:r>
          </w:p>
        </w:tc>
        <w:tc>
          <w:tcPr>
            <w:tcW w:w="4252" w:type="dxa"/>
          </w:tcPr>
          <w:p w14:paraId="0F1DAE47" w14:textId="77777777" w:rsidR="00E4454D" w:rsidRPr="00E4454D" w:rsidRDefault="00E4454D" w:rsidP="002342C5">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lang w:val="en-US"/>
              </w:rPr>
            </w:pPr>
          </w:p>
        </w:tc>
      </w:tr>
    </w:tbl>
    <w:p w14:paraId="741712F8" w14:textId="77777777" w:rsidR="00B8299C" w:rsidRDefault="00B8299C" w:rsidP="005B36E3"/>
    <w:p w14:paraId="343F99C6" w14:textId="77777777" w:rsidR="00E34E46" w:rsidRDefault="00E34E46" w:rsidP="00E34E46">
      <w:pPr>
        <w:rPr>
          <w:lang w:val="en-AU"/>
        </w:rPr>
      </w:pPr>
      <w:r>
        <w:t>The Melbourne Metro rail tunnel is the most significant proposal from the point of view of value capture opportunities. It will significantly expand the capacity and reliability of the existing rail network, allowing for additional services to be run during peak hour. As Melbourne’s rail network is</w:t>
      </w:r>
      <w:r>
        <w:rPr>
          <w:lang w:val="en-AU"/>
        </w:rPr>
        <w:t xml:space="preserve"> predominately radial and focused on the CBD, this will improve labour market accessibility to the CBD and strengthen agglomeration economies - increasing productivity, land values and enabling higher density development. </w:t>
      </w:r>
    </w:p>
    <w:p w14:paraId="06FB0724" w14:textId="77777777" w:rsidR="00E34E46" w:rsidRDefault="00E34E46" w:rsidP="00E34E46">
      <w:pPr>
        <w:rPr>
          <w:lang w:val="en-AU"/>
        </w:rPr>
      </w:pPr>
    </w:p>
    <w:p w14:paraId="674DAB1F" w14:textId="77777777" w:rsidR="00065341" w:rsidRDefault="00E34E46" w:rsidP="00E34E46">
      <w:pPr>
        <w:rPr>
          <w:lang w:val="en-AU"/>
        </w:rPr>
      </w:pPr>
      <w:r>
        <w:rPr>
          <w:lang w:val="en-AU"/>
        </w:rPr>
        <w:t xml:space="preserve">In addition to the increased clustering of population and employment in the CBD, the delivery of new stations in the inner city would have significant </w:t>
      </w:r>
      <w:r w:rsidR="00065341">
        <w:rPr>
          <w:lang w:val="en-AU"/>
        </w:rPr>
        <w:t>value capture potential.</w:t>
      </w:r>
    </w:p>
    <w:p w14:paraId="29AAA333" w14:textId="77777777" w:rsidR="00065341" w:rsidRDefault="00065341" w:rsidP="00E34E46">
      <w:pPr>
        <w:rPr>
          <w:lang w:val="en-AU"/>
        </w:rPr>
      </w:pPr>
    </w:p>
    <w:p w14:paraId="12439453" w14:textId="77777777" w:rsidR="006A1B24" w:rsidRDefault="00E34E46" w:rsidP="00E34E46">
      <w:pPr>
        <w:rPr>
          <w:lang w:val="en-AU"/>
        </w:rPr>
      </w:pPr>
      <w:r>
        <w:rPr>
          <w:lang w:val="en-AU"/>
        </w:rPr>
        <w:t>The accessibility of locations currently outside the CBD such as City North (around Melbou</w:t>
      </w:r>
      <w:r w:rsidR="006A1B24">
        <w:rPr>
          <w:lang w:val="en-AU"/>
        </w:rPr>
        <w:t>rne University), Arden Macaulay</w:t>
      </w:r>
      <w:r>
        <w:rPr>
          <w:lang w:val="en-AU"/>
        </w:rPr>
        <w:t xml:space="preserve"> and St Kilda Road would substantially rise with the construction of </w:t>
      </w:r>
      <w:r w:rsidR="006A1B24">
        <w:t>Melbourne Metro</w:t>
      </w:r>
      <w:r>
        <w:rPr>
          <w:lang w:val="en-AU"/>
        </w:rPr>
        <w:t>, resulting in higher densities. Locations along this corridor, such as Footscray and Sunshine in Melbourne’s west are also likely to have increased development as a result of improved access</w:t>
      </w:r>
      <w:r w:rsidR="006A1B24">
        <w:rPr>
          <w:lang w:val="en-AU"/>
        </w:rPr>
        <w:t xml:space="preserve"> to the CBD.</w:t>
      </w:r>
    </w:p>
    <w:p w14:paraId="459E01DA" w14:textId="77777777" w:rsidR="005B36E3" w:rsidRDefault="006A1B24" w:rsidP="009861AC">
      <w:pPr>
        <w:pStyle w:val="Heading2"/>
      </w:pPr>
      <w:bookmarkStart w:id="104" w:name="_Toc430554434"/>
      <w:bookmarkStart w:id="105" w:name="_Toc430896860"/>
      <w:r>
        <w:t>P</w:t>
      </w:r>
      <w:r w:rsidR="005B36E3">
        <w:t>erth</w:t>
      </w:r>
      <w:bookmarkEnd w:id="104"/>
      <w:bookmarkEnd w:id="105"/>
      <w:r w:rsidR="005B36E3">
        <w:t xml:space="preserve"> </w:t>
      </w:r>
    </w:p>
    <w:p w14:paraId="59B9EFE5" w14:textId="77777777" w:rsidR="00E912F8" w:rsidRDefault="00E912F8" w:rsidP="00E912F8">
      <w:pPr>
        <w:rPr>
          <w:rFonts w:eastAsiaTheme="minorHAnsi" w:cs="Helvetica"/>
          <w:lang w:val="en-AU"/>
        </w:rPr>
      </w:pPr>
      <w:r>
        <w:rPr>
          <w:rFonts w:eastAsiaTheme="minorHAnsi" w:cs="Helvetica"/>
          <w:lang w:val="en-AU"/>
        </w:rPr>
        <w:t>Key urban characteristics of Perth relevant when discussing future public transport investment include:</w:t>
      </w:r>
    </w:p>
    <w:p w14:paraId="4D350D04" w14:textId="77777777" w:rsidR="00E912F8" w:rsidRPr="00E912F8" w:rsidRDefault="00E912F8" w:rsidP="00E912F8"/>
    <w:p w14:paraId="074130B7" w14:textId="77777777" w:rsidR="00E912F8" w:rsidRDefault="00E912F8" w:rsidP="00791C11">
      <w:pPr>
        <w:pStyle w:val="Bullet1"/>
        <w:numPr>
          <w:ilvl w:val="0"/>
          <w:numId w:val="39"/>
        </w:numPr>
      </w:pPr>
      <w:r>
        <w:t>Perth has exhibited strong population growth over the past few decades, with high growth expected to continue</w:t>
      </w:r>
      <w:r w:rsidR="00A9401E">
        <w:t xml:space="preserve"> despite the end of the mining boom</w:t>
      </w:r>
    </w:p>
    <w:p w14:paraId="6AF6A349" w14:textId="77777777" w:rsidR="00E912F8" w:rsidRDefault="00E912F8" w:rsidP="00791C11">
      <w:pPr>
        <w:pStyle w:val="Bullet1"/>
        <w:numPr>
          <w:ilvl w:val="0"/>
          <w:numId w:val="39"/>
        </w:numPr>
      </w:pPr>
      <w:r>
        <w:lastRenderedPageBreak/>
        <w:t>The Swan River constitutes a natural barrier between the metropolitan north and south of Perth</w:t>
      </w:r>
      <w:r w:rsidR="00A9401E">
        <w:t xml:space="preserve"> with the CBD on the north side</w:t>
      </w:r>
    </w:p>
    <w:p w14:paraId="12E31A50" w14:textId="77777777" w:rsidR="00E912F8" w:rsidRDefault="00E912F8" w:rsidP="00791C11">
      <w:pPr>
        <w:pStyle w:val="Bullet1"/>
        <w:numPr>
          <w:ilvl w:val="0"/>
          <w:numId w:val="39"/>
        </w:numPr>
      </w:pPr>
      <w:r>
        <w:t xml:space="preserve">Many high growth residential areas of Perth are </w:t>
      </w:r>
      <w:r w:rsidRPr="000D42D0">
        <w:t>distant from the city centre</w:t>
      </w:r>
      <w:r w:rsidR="00A9401E">
        <w:t xml:space="preserve"> such as</w:t>
      </w:r>
      <w:r w:rsidRPr="000D42D0">
        <w:t xml:space="preserve"> Wanneroo </w:t>
      </w:r>
      <w:r w:rsidR="00A9401E">
        <w:t>(</w:t>
      </w:r>
      <w:r w:rsidRPr="000D42D0">
        <w:t>25</w:t>
      </w:r>
      <w:r w:rsidR="00A9401E">
        <w:t xml:space="preserve"> km from CBD)</w:t>
      </w:r>
      <w:r w:rsidRPr="000D42D0">
        <w:t xml:space="preserve"> and Mandurah </w:t>
      </w:r>
      <w:r w:rsidR="00A9401E">
        <w:t>(+</w:t>
      </w:r>
      <w:r w:rsidRPr="000D42D0">
        <w:t xml:space="preserve">30 </w:t>
      </w:r>
      <w:r w:rsidR="00A9401E">
        <w:t xml:space="preserve">km </w:t>
      </w:r>
      <w:r w:rsidRPr="000D42D0">
        <w:t>from the CBD</w:t>
      </w:r>
      <w:r w:rsidR="00A9401E">
        <w:t>)</w:t>
      </w:r>
    </w:p>
    <w:p w14:paraId="2D752D08" w14:textId="77777777" w:rsidR="00E912F8" w:rsidRPr="00CF6EF1" w:rsidRDefault="00A9401E" w:rsidP="00791C11">
      <w:pPr>
        <w:pStyle w:val="Bullet1"/>
        <w:numPr>
          <w:ilvl w:val="0"/>
          <w:numId w:val="39"/>
        </w:numPr>
      </w:pPr>
      <w:r>
        <w:t>I</w:t>
      </w:r>
      <w:r w:rsidR="00E912F8" w:rsidRPr="00CF6EF1">
        <w:t xml:space="preserve">nner city regions such as Cottesloe-Claremont, Fremantle, South Perth and Canning are expected to experience </w:t>
      </w:r>
      <w:r>
        <w:t>lower population growth</w:t>
      </w:r>
    </w:p>
    <w:p w14:paraId="034D47B4" w14:textId="77777777" w:rsidR="00E912F8" w:rsidRDefault="00E912F8" w:rsidP="00791C11">
      <w:pPr>
        <w:pStyle w:val="Bullet1"/>
        <w:numPr>
          <w:ilvl w:val="0"/>
          <w:numId w:val="39"/>
        </w:numPr>
      </w:pPr>
      <w:r>
        <w:t xml:space="preserve">Employment growth is forecast to be strongest in Perth City, with jobs growth in outer areas not growing at the same rate as </w:t>
      </w:r>
      <w:r w:rsidR="00A9401E">
        <w:t>population.</w:t>
      </w:r>
    </w:p>
    <w:p w14:paraId="46C475EB" w14:textId="77777777" w:rsidR="00DE5061" w:rsidRPr="00E4454D" w:rsidRDefault="00DE5061" w:rsidP="00DE5061">
      <w:pPr>
        <w:pStyle w:val="Caption"/>
      </w:pPr>
      <w:bookmarkStart w:id="106" w:name="_Toc430896551"/>
      <w:r w:rsidRPr="00E4454D">
        <w:t xml:space="preserve">Table </w:t>
      </w:r>
      <w:r w:rsidRPr="00E4454D">
        <w:fldChar w:fldCharType="begin"/>
      </w:r>
      <w:r w:rsidRPr="00E4454D">
        <w:instrText xml:space="preserve"> SEQ Table \* ARABIC </w:instrText>
      </w:r>
      <w:r w:rsidRPr="00E4454D">
        <w:fldChar w:fldCharType="separate"/>
      </w:r>
      <w:r w:rsidR="00184C79">
        <w:rPr>
          <w:noProof/>
        </w:rPr>
        <w:t>17</w:t>
      </w:r>
      <w:r w:rsidRPr="00E4454D">
        <w:fldChar w:fldCharType="end"/>
      </w:r>
      <w:r w:rsidRPr="00E4454D">
        <w:t>.</w:t>
      </w:r>
      <w:r w:rsidRPr="00E4454D">
        <w:tab/>
        <w:t>PERTh - new public transport infrastructure</w:t>
      </w:r>
      <w:bookmarkEnd w:id="106"/>
      <w:r w:rsidRPr="00E4454D">
        <w:t xml:space="preserve"> </w:t>
      </w:r>
    </w:p>
    <w:tbl>
      <w:tblPr>
        <w:tblStyle w:val="GridTable4-Accent21"/>
        <w:tblW w:w="0" w:type="auto"/>
        <w:tblLook w:val="04A0" w:firstRow="1" w:lastRow="0" w:firstColumn="1" w:lastColumn="0" w:noHBand="0" w:noVBand="1"/>
      </w:tblPr>
      <w:tblGrid>
        <w:gridCol w:w="4252"/>
        <w:gridCol w:w="4252"/>
      </w:tblGrid>
      <w:tr w:rsidR="00DE5061" w:rsidRPr="00E4454D" w14:paraId="3FD55985" w14:textId="77777777" w:rsidTr="00E4454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252" w:type="dxa"/>
          </w:tcPr>
          <w:p w14:paraId="0410E607" w14:textId="77777777" w:rsidR="00DE5061" w:rsidRPr="00E4454D" w:rsidRDefault="00DE5061" w:rsidP="00DE5061">
            <w:pPr>
              <w:rPr>
                <w:rFonts w:asciiTheme="majorHAnsi" w:hAnsiTheme="majorHAnsi"/>
                <w:sz w:val="18"/>
                <w:szCs w:val="18"/>
              </w:rPr>
            </w:pPr>
            <w:r w:rsidRPr="00E4454D">
              <w:rPr>
                <w:rFonts w:asciiTheme="majorHAnsi" w:hAnsiTheme="majorHAnsi"/>
                <w:sz w:val="18"/>
                <w:szCs w:val="18"/>
              </w:rPr>
              <w:t>Short Term</w:t>
            </w:r>
          </w:p>
        </w:tc>
        <w:tc>
          <w:tcPr>
            <w:tcW w:w="4252" w:type="dxa"/>
          </w:tcPr>
          <w:p w14:paraId="1755561D" w14:textId="77777777" w:rsidR="00DE5061" w:rsidRPr="00E4454D" w:rsidRDefault="00DE5061" w:rsidP="00DE5061">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E4454D">
              <w:rPr>
                <w:rFonts w:asciiTheme="majorHAnsi" w:hAnsiTheme="majorHAnsi"/>
                <w:sz w:val="18"/>
                <w:szCs w:val="18"/>
              </w:rPr>
              <w:t xml:space="preserve">Long Term </w:t>
            </w:r>
          </w:p>
        </w:tc>
      </w:tr>
      <w:tr w:rsidR="00DE5061" w:rsidRPr="00E4454D" w14:paraId="40D1525E"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76D82BFD" w14:textId="77777777" w:rsidR="00DE5061" w:rsidRPr="00E4454D" w:rsidRDefault="00DE5061" w:rsidP="002342C5">
            <w:pPr>
              <w:rPr>
                <w:b w:val="0"/>
                <w:sz w:val="18"/>
                <w:szCs w:val="18"/>
              </w:rPr>
            </w:pPr>
            <w:r w:rsidRPr="00E4454D">
              <w:rPr>
                <w:b w:val="0"/>
                <w:sz w:val="18"/>
                <w:szCs w:val="18"/>
              </w:rPr>
              <w:t>MAX Light Rail Project</w:t>
            </w:r>
          </w:p>
          <w:p w14:paraId="0657DFA3" w14:textId="116FCCB3" w:rsidR="00DE5061" w:rsidRPr="00E4454D" w:rsidRDefault="00DE5061" w:rsidP="00E4454D">
            <w:pPr>
              <w:rPr>
                <w:b w:val="0"/>
                <w:sz w:val="18"/>
                <w:szCs w:val="18"/>
              </w:rPr>
            </w:pPr>
          </w:p>
        </w:tc>
        <w:tc>
          <w:tcPr>
            <w:tcW w:w="4252" w:type="dxa"/>
          </w:tcPr>
          <w:p w14:paraId="742B1587" w14:textId="77777777" w:rsidR="00DE5061" w:rsidRPr="00E4454D" w:rsidRDefault="007756F2" w:rsidP="002342C5">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r w:rsidRPr="00E4454D">
              <w:rPr>
                <w:rFonts w:asciiTheme="majorHAnsi" w:hAnsiTheme="majorHAnsi" w:cs="Arial"/>
                <w:color w:val="000000"/>
                <w:sz w:val="18"/>
                <w:szCs w:val="18"/>
                <w:lang w:val="en-US"/>
              </w:rPr>
              <w:t>E</w:t>
            </w:r>
            <w:r w:rsidR="00DE5061" w:rsidRPr="00E4454D">
              <w:rPr>
                <w:rFonts w:asciiTheme="majorHAnsi" w:hAnsiTheme="majorHAnsi" w:cs="Arial"/>
                <w:color w:val="000000"/>
                <w:sz w:val="18"/>
                <w:szCs w:val="18"/>
                <w:lang w:val="en-US"/>
              </w:rPr>
              <w:t>xtensions to the MAX light rail network:</w:t>
            </w:r>
          </w:p>
          <w:p w14:paraId="33E5C76B" w14:textId="77777777" w:rsidR="00DE5061" w:rsidRPr="00E4454D" w:rsidRDefault="00DE5061" w:rsidP="002342C5">
            <w:pPr>
              <w:pStyle w:val="Bullet2"/>
              <w:cnfStyle w:val="000000100000" w:firstRow="0" w:lastRow="0" w:firstColumn="0" w:lastColumn="0" w:oddVBand="0" w:evenVBand="0" w:oddHBand="1" w:evenHBand="0" w:firstRowFirstColumn="0" w:firstRowLastColumn="0" w:lastRowFirstColumn="0" w:lastRowLastColumn="0"/>
              <w:rPr>
                <w:sz w:val="18"/>
                <w:szCs w:val="18"/>
                <w:lang w:val="en-US"/>
              </w:rPr>
            </w:pPr>
            <w:r w:rsidRPr="00E4454D">
              <w:rPr>
                <w:sz w:val="18"/>
                <w:szCs w:val="18"/>
                <w:lang w:val="en-US"/>
              </w:rPr>
              <w:t>Stirling (north)</w:t>
            </w:r>
          </w:p>
          <w:p w14:paraId="11201297" w14:textId="77777777" w:rsidR="00DE5061" w:rsidRPr="00E4454D" w:rsidRDefault="00DE5061" w:rsidP="002342C5">
            <w:pPr>
              <w:pStyle w:val="Bullet2"/>
              <w:cnfStyle w:val="000000100000" w:firstRow="0" w:lastRow="0" w:firstColumn="0" w:lastColumn="0" w:oddVBand="0" w:evenVBand="0" w:oddHBand="1" w:evenHBand="0" w:firstRowFirstColumn="0" w:firstRowLastColumn="0" w:lastRowFirstColumn="0" w:lastRowLastColumn="0"/>
              <w:rPr>
                <w:sz w:val="18"/>
                <w:szCs w:val="18"/>
                <w:lang w:val="en-US"/>
              </w:rPr>
            </w:pPr>
            <w:r w:rsidRPr="00E4454D">
              <w:rPr>
                <w:sz w:val="18"/>
                <w:szCs w:val="18"/>
                <w:lang w:val="en-US"/>
              </w:rPr>
              <w:t>Oats Street and Curtin University (south)</w:t>
            </w:r>
          </w:p>
          <w:p w14:paraId="1675DF9C" w14:textId="77777777" w:rsidR="00DE5061" w:rsidRPr="00E4454D" w:rsidRDefault="00DE5061" w:rsidP="002342C5">
            <w:pPr>
              <w:pStyle w:val="Bullet2"/>
              <w:cnfStyle w:val="000000100000" w:firstRow="0" w:lastRow="0" w:firstColumn="0" w:lastColumn="0" w:oddVBand="0" w:evenVBand="0" w:oddHBand="1" w:evenHBand="0" w:firstRowFirstColumn="0" w:firstRowLastColumn="0" w:lastRowFirstColumn="0" w:lastRowLastColumn="0"/>
              <w:rPr>
                <w:sz w:val="18"/>
                <w:szCs w:val="18"/>
                <w:lang w:val="en-US"/>
              </w:rPr>
            </w:pPr>
            <w:r w:rsidRPr="00E4454D">
              <w:rPr>
                <w:sz w:val="18"/>
                <w:szCs w:val="18"/>
                <w:lang w:val="en-US"/>
              </w:rPr>
              <w:t>UWA (west)</w:t>
            </w:r>
          </w:p>
          <w:p w14:paraId="504D4EB5" w14:textId="55A3EEB4" w:rsidR="00DE5061" w:rsidRPr="00E4454D" w:rsidRDefault="00DE5061" w:rsidP="002342C5">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r w:rsidRPr="00E4454D">
              <w:rPr>
                <w:rFonts w:asciiTheme="majorHAnsi" w:hAnsiTheme="majorHAnsi" w:cs="Arial"/>
                <w:color w:val="000000"/>
                <w:sz w:val="18"/>
                <w:szCs w:val="18"/>
                <w:lang w:val="en-US"/>
              </w:rPr>
              <w:t xml:space="preserve"> </w:t>
            </w:r>
          </w:p>
        </w:tc>
      </w:tr>
      <w:tr w:rsidR="00E4454D" w:rsidRPr="00E4454D" w14:paraId="728EB904" w14:textId="77777777" w:rsidTr="00E4454D">
        <w:tc>
          <w:tcPr>
            <w:cnfStyle w:val="001000000000" w:firstRow="0" w:lastRow="0" w:firstColumn="1" w:lastColumn="0" w:oddVBand="0" w:evenVBand="0" w:oddHBand="0" w:evenHBand="0" w:firstRowFirstColumn="0" w:firstRowLastColumn="0" w:lastRowFirstColumn="0" w:lastRowLastColumn="0"/>
            <w:tcW w:w="4252" w:type="dxa"/>
          </w:tcPr>
          <w:p w14:paraId="6B5A4B74" w14:textId="77777777" w:rsidR="00E4454D" w:rsidRPr="00E4454D" w:rsidRDefault="00E4454D" w:rsidP="00E4454D">
            <w:pPr>
              <w:rPr>
                <w:b w:val="0"/>
                <w:sz w:val="18"/>
                <w:szCs w:val="18"/>
              </w:rPr>
            </w:pPr>
            <w:r w:rsidRPr="00E4454D">
              <w:rPr>
                <w:b w:val="0"/>
                <w:sz w:val="18"/>
                <w:szCs w:val="18"/>
              </w:rPr>
              <w:t>Forrestfield-Airport Rail Link</w:t>
            </w:r>
          </w:p>
          <w:p w14:paraId="65AC751D" w14:textId="77777777" w:rsidR="00E4454D" w:rsidRPr="00E4454D" w:rsidRDefault="00E4454D" w:rsidP="002342C5">
            <w:pPr>
              <w:rPr>
                <w:b w:val="0"/>
                <w:sz w:val="18"/>
                <w:szCs w:val="18"/>
              </w:rPr>
            </w:pPr>
          </w:p>
        </w:tc>
        <w:tc>
          <w:tcPr>
            <w:tcW w:w="4252" w:type="dxa"/>
          </w:tcPr>
          <w:p w14:paraId="0D0948DC" w14:textId="68291A1C" w:rsidR="00E4454D" w:rsidRPr="00E4454D" w:rsidRDefault="00E4454D" w:rsidP="00E4454D">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lang w:val="en-US"/>
              </w:rPr>
            </w:pPr>
            <w:r w:rsidRPr="00E4454D">
              <w:rPr>
                <w:rFonts w:asciiTheme="majorHAnsi" w:hAnsiTheme="majorHAnsi" w:cs="Arial"/>
                <w:color w:val="000000"/>
                <w:sz w:val="18"/>
                <w:szCs w:val="18"/>
                <w:lang w:val="en-US"/>
              </w:rPr>
              <w:t xml:space="preserve">Rail extensions north on Joondalup Line and East on </w:t>
            </w:r>
          </w:p>
          <w:p w14:paraId="2415C762" w14:textId="3B322C63" w:rsidR="00E4454D" w:rsidRPr="00E4454D" w:rsidRDefault="00E4454D" w:rsidP="00E4454D">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lang w:val="en-US"/>
              </w:rPr>
            </w:pPr>
          </w:p>
        </w:tc>
      </w:tr>
      <w:tr w:rsidR="00E4454D" w:rsidRPr="00E4454D" w14:paraId="6333F5DC"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6F7FF98" w14:textId="090CA9DA" w:rsidR="00E4454D" w:rsidRPr="00E4454D" w:rsidRDefault="00E4454D" w:rsidP="002342C5">
            <w:pPr>
              <w:rPr>
                <w:b w:val="0"/>
                <w:sz w:val="18"/>
                <w:szCs w:val="18"/>
              </w:rPr>
            </w:pPr>
            <w:r w:rsidRPr="00E4454D">
              <w:rPr>
                <w:b w:val="0"/>
                <w:sz w:val="18"/>
                <w:szCs w:val="18"/>
              </w:rPr>
              <w:t>Clarkson – Butler rail extension</w:t>
            </w:r>
          </w:p>
        </w:tc>
        <w:tc>
          <w:tcPr>
            <w:tcW w:w="4252" w:type="dxa"/>
          </w:tcPr>
          <w:p w14:paraId="0BDB9C96" w14:textId="77777777" w:rsidR="00E4454D" w:rsidRPr="00E4454D" w:rsidRDefault="00E4454D" w:rsidP="00E4454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r w:rsidRPr="00E4454D">
              <w:rPr>
                <w:rFonts w:asciiTheme="majorHAnsi" w:hAnsiTheme="majorHAnsi" w:cs="Arial"/>
                <w:color w:val="000000"/>
                <w:sz w:val="18"/>
                <w:szCs w:val="18"/>
                <w:lang w:val="en-US"/>
              </w:rPr>
              <w:t xml:space="preserve">Armadale Line </w:t>
            </w:r>
          </w:p>
          <w:p w14:paraId="03154CE7" w14:textId="15DA2C0C" w:rsidR="00E4454D" w:rsidRPr="00E4454D" w:rsidRDefault="00E4454D" w:rsidP="00E4454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p>
        </w:tc>
      </w:tr>
    </w:tbl>
    <w:p w14:paraId="3951A71B" w14:textId="77777777" w:rsidR="00DE5061" w:rsidRDefault="00DE5061" w:rsidP="005B36E3"/>
    <w:p w14:paraId="0C84912D" w14:textId="77777777" w:rsidR="00EB3A1D" w:rsidRDefault="00EB3A1D" w:rsidP="00EB3A1D">
      <w:bookmarkStart w:id="107" w:name="_Ref422831010"/>
      <w:bookmarkStart w:id="108" w:name="_Toc423072923"/>
      <w:r>
        <w:t xml:space="preserve">MAX Light Rail will improve public transport connectivity to the CBD resulting in increased urban densities over. Many of the proposed routes are adjacent to major attractors including universities, hospitals, and major employment precincts. Much of this area is also relatively low density despite its proximity to the central city. </w:t>
      </w:r>
    </w:p>
    <w:p w14:paraId="54C22112" w14:textId="57002851" w:rsidR="007756F2" w:rsidRDefault="007756F2" w:rsidP="007756F2">
      <w:pPr>
        <w:pStyle w:val="Caption"/>
      </w:pPr>
      <w:bookmarkStart w:id="109" w:name="_Toc430896563"/>
      <w:r>
        <w:t xml:space="preserve">Figure </w:t>
      </w:r>
      <w:r>
        <w:fldChar w:fldCharType="begin"/>
      </w:r>
      <w:r>
        <w:instrText xml:space="preserve"> SEQ Figure \* ARABIC </w:instrText>
      </w:r>
      <w:r>
        <w:fldChar w:fldCharType="separate"/>
      </w:r>
      <w:r w:rsidR="00184C79">
        <w:rPr>
          <w:noProof/>
        </w:rPr>
        <w:t>11</w:t>
      </w:r>
      <w:r>
        <w:fldChar w:fldCharType="end"/>
      </w:r>
      <w:bookmarkEnd w:id="107"/>
      <w:r w:rsidR="00E4454D">
        <w:t xml:space="preserve">. </w:t>
      </w:r>
      <w:r>
        <w:t xml:space="preserve">Perth </w:t>
      </w:r>
      <w:r w:rsidR="00EB3A1D">
        <w:t xml:space="preserve">– </w:t>
      </w:r>
      <w:r w:rsidR="001D4EA8">
        <w:t>PROPOSED MAX</w:t>
      </w:r>
      <w:r w:rsidR="00EB3A1D">
        <w:t xml:space="preserve"> </w:t>
      </w:r>
      <w:r>
        <w:t>Light Rail Network</w:t>
      </w:r>
      <w:bookmarkEnd w:id="109"/>
      <w:r>
        <w:t xml:space="preserve"> </w:t>
      </w:r>
      <w:bookmarkEnd w:id="108"/>
    </w:p>
    <w:tbl>
      <w:tblPr>
        <w:tblStyle w:val="TableGrid"/>
        <w:tblW w:w="0" w:type="auto"/>
        <w:tblLook w:val="04A0" w:firstRow="1" w:lastRow="0" w:firstColumn="1" w:lastColumn="0" w:noHBand="0" w:noVBand="1"/>
      </w:tblPr>
      <w:tblGrid>
        <w:gridCol w:w="5328"/>
        <w:gridCol w:w="3598"/>
      </w:tblGrid>
      <w:tr w:rsidR="007756F2" w14:paraId="54E713CE" w14:textId="77777777" w:rsidTr="002342C5">
        <w:tc>
          <w:tcPr>
            <w:tcW w:w="4252" w:type="dxa"/>
          </w:tcPr>
          <w:p w14:paraId="6F0CA01A" w14:textId="77777777" w:rsidR="007756F2" w:rsidRDefault="007756F2" w:rsidP="002342C5">
            <w:pPr>
              <w:ind w:hanging="108"/>
            </w:pPr>
          </w:p>
          <w:p w14:paraId="526704F9" w14:textId="77777777" w:rsidR="001D4EA8" w:rsidRDefault="001D4EA8" w:rsidP="002342C5">
            <w:pPr>
              <w:ind w:hanging="108"/>
            </w:pPr>
          </w:p>
          <w:p w14:paraId="367B9272" w14:textId="1BC42E7C" w:rsidR="001D4EA8" w:rsidRDefault="001D4EA8" w:rsidP="001D4EA8">
            <w:pPr>
              <w:ind w:hanging="108"/>
              <w:jc w:val="center"/>
            </w:pPr>
            <w:r>
              <w:rPr>
                <w:noProof/>
                <w:lang w:val="en-US" w:eastAsia="en-US"/>
              </w:rPr>
              <w:drawing>
                <wp:inline distT="0" distB="0" distL="0" distR="0" wp14:anchorId="5037FC5A" wp14:editId="631AEF42">
                  <wp:extent cx="3314700" cy="37187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319990" cy="3724703"/>
                          </a:xfrm>
                          <a:prstGeom prst="rect">
                            <a:avLst/>
                          </a:prstGeom>
                        </pic:spPr>
                      </pic:pic>
                    </a:graphicData>
                  </a:graphic>
                </wp:inline>
              </w:drawing>
            </w:r>
          </w:p>
        </w:tc>
        <w:tc>
          <w:tcPr>
            <w:tcW w:w="4252" w:type="dxa"/>
          </w:tcPr>
          <w:p w14:paraId="3DADF043" w14:textId="77777777" w:rsidR="007756F2" w:rsidRDefault="007756F2" w:rsidP="002342C5"/>
        </w:tc>
      </w:tr>
    </w:tbl>
    <w:p w14:paraId="3FEF9B08" w14:textId="77777777" w:rsidR="007756F2" w:rsidRDefault="007756F2" w:rsidP="007756F2"/>
    <w:p w14:paraId="661B4989" w14:textId="77777777" w:rsidR="003B6004" w:rsidRDefault="003B6004" w:rsidP="003B6004">
      <w:pPr>
        <w:rPr>
          <w:lang w:val="en-AU"/>
        </w:rPr>
      </w:pPr>
      <w:r>
        <w:rPr>
          <w:lang w:val="en-AU"/>
        </w:rPr>
        <w:t>The construction of the MAX Light Rail is expected to have a significant impact on the distribution</w:t>
      </w:r>
      <w:r w:rsidR="002342C5">
        <w:rPr>
          <w:lang w:val="en-AU"/>
        </w:rPr>
        <w:t xml:space="preserve"> and</w:t>
      </w:r>
      <w:r>
        <w:rPr>
          <w:lang w:val="en-AU"/>
        </w:rPr>
        <w:t xml:space="preserve"> type of employment in Perth. This is particularly the case if the light rail network is well integrated into the </w:t>
      </w:r>
      <w:r>
        <w:rPr>
          <w:lang w:val="en-AU"/>
        </w:rPr>
        <w:lastRenderedPageBreak/>
        <w:t xml:space="preserve">heavy rail network, as this </w:t>
      </w:r>
      <w:r w:rsidR="002342C5">
        <w:rPr>
          <w:lang w:val="en-AU"/>
        </w:rPr>
        <w:t>will provide</w:t>
      </w:r>
      <w:r>
        <w:rPr>
          <w:lang w:val="en-AU"/>
        </w:rPr>
        <w:t xml:space="preserve"> greater access to Perth's broader labour market. </w:t>
      </w:r>
      <w:r w:rsidR="002342C5">
        <w:rPr>
          <w:lang w:val="en-AU"/>
        </w:rPr>
        <w:t>This will</w:t>
      </w:r>
      <w:r>
        <w:rPr>
          <w:lang w:val="en-AU"/>
        </w:rPr>
        <w:t xml:space="preserve"> lead to an increase in </w:t>
      </w:r>
      <w:r w:rsidR="002342C5">
        <w:rPr>
          <w:lang w:val="en-AU"/>
        </w:rPr>
        <w:t xml:space="preserve">critical mass and </w:t>
      </w:r>
      <w:r>
        <w:rPr>
          <w:lang w:val="en-AU"/>
        </w:rPr>
        <w:t>productivity</w:t>
      </w:r>
      <w:r w:rsidR="002342C5">
        <w:rPr>
          <w:lang w:val="en-AU"/>
        </w:rPr>
        <w:t xml:space="preserve"> of the professional services</w:t>
      </w:r>
      <w:r>
        <w:rPr>
          <w:lang w:val="en-AU"/>
        </w:rPr>
        <w:t xml:space="preserve">. </w:t>
      </w:r>
    </w:p>
    <w:p w14:paraId="3FE0FF7C" w14:textId="77777777" w:rsidR="005B36E3" w:rsidRDefault="002342C5" w:rsidP="009861AC">
      <w:pPr>
        <w:pStyle w:val="Heading2"/>
      </w:pPr>
      <w:bookmarkStart w:id="110" w:name="_Toc430554435"/>
      <w:bookmarkStart w:id="111" w:name="_Toc430896861"/>
      <w:r>
        <w:t>S</w:t>
      </w:r>
      <w:r w:rsidR="005B36E3">
        <w:t>ydney</w:t>
      </w:r>
      <w:bookmarkEnd w:id="110"/>
      <w:bookmarkEnd w:id="111"/>
      <w:r w:rsidR="005B36E3">
        <w:t xml:space="preserve"> </w:t>
      </w:r>
    </w:p>
    <w:p w14:paraId="35B61569" w14:textId="77777777" w:rsidR="00834213" w:rsidRDefault="00834213" w:rsidP="00834213">
      <w:pPr>
        <w:rPr>
          <w:rFonts w:eastAsiaTheme="minorHAnsi" w:cs="Helvetica"/>
          <w:lang w:val="en-AU"/>
        </w:rPr>
      </w:pPr>
      <w:r>
        <w:rPr>
          <w:rFonts w:eastAsiaTheme="minorHAnsi" w:cs="Helvetica"/>
          <w:lang w:val="en-AU"/>
        </w:rPr>
        <w:t>Key urban characteristics of Sydney when discussing future public transport investment include:</w:t>
      </w:r>
    </w:p>
    <w:p w14:paraId="25601D0F" w14:textId="77777777" w:rsidR="00834213" w:rsidRDefault="00834213" w:rsidP="00834213">
      <w:pPr>
        <w:rPr>
          <w:rFonts w:eastAsiaTheme="minorHAnsi" w:cs="Helvetica"/>
          <w:lang w:val="en-AU"/>
        </w:rPr>
      </w:pPr>
    </w:p>
    <w:p w14:paraId="73479FF6" w14:textId="77777777" w:rsidR="00504FCD" w:rsidRDefault="00777581" w:rsidP="00791C11">
      <w:pPr>
        <w:pStyle w:val="BodyText"/>
        <w:numPr>
          <w:ilvl w:val="0"/>
          <w:numId w:val="49"/>
        </w:numPr>
        <w:ind w:right="201"/>
        <w:rPr>
          <w:rFonts w:asciiTheme="majorHAnsi" w:hAnsiTheme="majorHAnsi"/>
          <w:spacing w:val="-1"/>
        </w:rPr>
      </w:pPr>
      <w:r w:rsidRPr="00504FCD">
        <w:rPr>
          <w:rFonts w:asciiTheme="majorHAnsi" w:hAnsiTheme="majorHAnsi"/>
          <w:spacing w:val="-1"/>
        </w:rPr>
        <w:t>Greater Sydney is on a growth path t</w:t>
      </w:r>
      <w:r w:rsidR="00851EA8" w:rsidRPr="00504FCD">
        <w:rPr>
          <w:rFonts w:asciiTheme="majorHAnsi" w:hAnsiTheme="majorHAnsi"/>
          <w:spacing w:val="-1"/>
        </w:rPr>
        <w:t>hat will see population</w:t>
      </w:r>
      <w:r w:rsidRPr="00504FCD">
        <w:rPr>
          <w:rFonts w:asciiTheme="majorHAnsi" w:hAnsiTheme="majorHAnsi"/>
          <w:spacing w:val="-1"/>
        </w:rPr>
        <w:t xml:space="preserve"> increase </w:t>
      </w:r>
      <w:r w:rsidR="00E133EC" w:rsidRPr="00504FCD">
        <w:rPr>
          <w:rFonts w:asciiTheme="majorHAnsi" w:hAnsiTheme="majorHAnsi"/>
          <w:spacing w:val="-1"/>
        </w:rPr>
        <w:t>by 2</w:t>
      </w:r>
      <w:r w:rsidRPr="00504FCD">
        <w:rPr>
          <w:rFonts w:asciiTheme="majorHAnsi" w:hAnsiTheme="majorHAnsi"/>
          <w:spacing w:val="-1"/>
        </w:rPr>
        <w:t xml:space="preserve"> million people </w:t>
      </w:r>
      <w:r w:rsidR="00E133EC" w:rsidRPr="00504FCD">
        <w:rPr>
          <w:rFonts w:asciiTheme="majorHAnsi" w:hAnsiTheme="majorHAnsi"/>
          <w:spacing w:val="-1"/>
        </w:rPr>
        <w:t>i</w:t>
      </w:r>
      <w:r w:rsidR="00C30B18" w:rsidRPr="00504FCD">
        <w:rPr>
          <w:rFonts w:asciiTheme="majorHAnsi" w:hAnsiTheme="majorHAnsi"/>
          <w:spacing w:val="-1"/>
        </w:rPr>
        <w:t>n the next 20 year</w:t>
      </w:r>
    </w:p>
    <w:p w14:paraId="1DD0A691" w14:textId="77777777" w:rsidR="00834213" w:rsidRPr="00504FCD" w:rsidRDefault="00E133EC" w:rsidP="00791C11">
      <w:pPr>
        <w:pStyle w:val="BodyText"/>
        <w:numPr>
          <w:ilvl w:val="0"/>
          <w:numId w:val="49"/>
        </w:numPr>
        <w:ind w:right="201"/>
        <w:rPr>
          <w:rFonts w:asciiTheme="majorHAnsi" w:hAnsiTheme="majorHAnsi"/>
          <w:spacing w:val="-1"/>
        </w:rPr>
      </w:pPr>
      <w:r w:rsidRPr="00504FCD">
        <w:rPr>
          <w:rFonts w:asciiTheme="majorHAnsi" w:hAnsiTheme="majorHAnsi"/>
          <w:spacing w:val="-1"/>
        </w:rPr>
        <w:t>This has massive consequences for the city, which is geograph</w:t>
      </w:r>
      <w:r w:rsidR="00C30B18" w:rsidRPr="00504FCD">
        <w:rPr>
          <w:rFonts w:asciiTheme="majorHAnsi" w:hAnsiTheme="majorHAnsi"/>
          <w:spacing w:val="-1"/>
        </w:rPr>
        <w:t>ically-constrained on all sites</w:t>
      </w:r>
      <w:r w:rsidR="00851EA8" w:rsidRPr="00504FCD">
        <w:rPr>
          <w:rFonts w:asciiTheme="majorHAnsi" w:hAnsiTheme="majorHAnsi"/>
          <w:spacing w:val="-1"/>
        </w:rPr>
        <w:t xml:space="preserve"> </w:t>
      </w:r>
    </w:p>
    <w:p w14:paraId="6892C870" w14:textId="77777777" w:rsidR="00484A4B" w:rsidRDefault="00484A4B" w:rsidP="00791C11">
      <w:pPr>
        <w:pStyle w:val="BodyText"/>
        <w:numPr>
          <w:ilvl w:val="0"/>
          <w:numId w:val="49"/>
        </w:numPr>
        <w:ind w:right="201"/>
        <w:rPr>
          <w:rFonts w:asciiTheme="majorHAnsi" w:hAnsiTheme="majorHAnsi"/>
          <w:spacing w:val="-1"/>
        </w:rPr>
      </w:pPr>
      <w:r>
        <w:rPr>
          <w:rFonts w:asciiTheme="majorHAnsi" w:hAnsiTheme="majorHAnsi"/>
          <w:spacing w:val="-1"/>
        </w:rPr>
        <w:t>Development will be forced upwards rather than outwards in Sydney resulting in greater urban density than other Australian cities</w:t>
      </w:r>
    </w:p>
    <w:p w14:paraId="622060A1" w14:textId="77777777" w:rsidR="000D631B" w:rsidRDefault="000D631B" w:rsidP="00791C11">
      <w:pPr>
        <w:pStyle w:val="BodyText"/>
        <w:numPr>
          <w:ilvl w:val="0"/>
          <w:numId w:val="49"/>
        </w:numPr>
        <w:ind w:right="201"/>
        <w:rPr>
          <w:rFonts w:asciiTheme="majorHAnsi" w:hAnsiTheme="majorHAnsi"/>
          <w:spacing w:val="-1"/>
        </w:rPr>
      </w:pPr>
      <w:r>
        <w:rPr>
          <w:rFonts w:asciiTheme="majorHAnsi" w:hAnsiTheme="majorHAnsi"/>
          <w:spacing w:val="-1"/>
        </w:rPr>
        <w:t xml:space="preserve">Sydney has </w:t>
      </w:r>
      <w:r w:rsidR="003A541B">
        <w:rPr>
          <w:rFonts w:asciiTheme="majorHAnsi" w:hAnsiTheme="majorHAnsi"/>
          <w:spacing w:val="-1"/>
        </w:rPr>
        <w:t xml:space="preserve">multiple </w:t>
      </w:r>
      <w:r>
        <w:rPr>
          <w:rFonts w:asciiTheme="majorHAnsi" w:hAnsiTheme="majorHAnsi"/>
          <w:spacing w:val="-1"/>
        </w:rPr>
        <w:t>sub-regional centres (such as Parramatta) with strong employment potential that can accommodate future urban growth</w:t>
      </w:r>
    </w:p>
    <w:p w14:paraId="0F27E891" w14:textId="77777777" w:rsidR="00504FCD" w:rsidRDefault="003D15D3" w:rsidP="00791C11">
      <w:pPr>
        <w:pStyle w:val="BodyText"/>
        <w:numPr>
          <w:ilvl w:val="0"/>
          <w:numId w:val="49"/>
        </w:numPr>
        <w:ind w:right="201"/>
        <w:rPr>
          <w:rFonts w:asciiTheme="majorHAnsi" w:hAnsiTheme="majorHAnsi"/>
          <w:spacing w:val="-1"/>
        </w:rPr>
      </w:pPr>
      <w:r>
        <w:rPr>
          <w:rFonts w:asciiTheme="majorHAnsi" w:hAnsiTheme="majorHAnsi"/>
          <w:spacing w:val="-1"/>
        </w:rPr>
        <w:t xml:space="preserve">Sydney’s </w:t>
      </w:r>
      <w:r w:rsidR="00F41B17">
        <w:rPr>
          <w:rFonts w:asciiTheme="majorHAnsi" w:hAnsiTheme="majorHAnsi"/>
          <w:spacing w:val="-1"/>
        </w:rPr>
        <w:t xml:space="preserve">public </w:t>
      </w:r>
      <w:r>
        <w:rPr>
          <w:rFonts w:asciiTheme="majorHAnsi" w:hAnsiTheme="majorHAnsi"/>
          <w:spacing w:val="-1"/>
        </w:rPr>
        <w:t>transport corridors will become genuine mass transit hubs</w:t>
      </w:r>
    </w:p>
    <w:p w14:paraId="0911C19F" w14:textId="77777777" w:rsidR="0012604D" w:rsidRDefault="00504FCD" w:rsidP="00791C11">
      <w:pPr>
        <w:pStyle w:val="BodyText"/>
        <w:numPr>
          <w:ilvl w:val="0"/>
          <w:numId w:val="49"/>
        </w:numPr>
        <w:ind w:right="201"/>
        <w:rPr>
          <w:rFonts w:asciiTheme="majorHAnsi" w:hAnsiTheme="majorHAnsi"/>
          <w:spacing w:val="-1"/>
        </w:rPr>
      </w:pPr>
      <w:r>
        <w:rPr>
          <w:rFonts w:asciiTheme="majorHAnsi" w:hAnsiTheme="majorHAnsi"/>
          <w:spacing w:val="-1"/>
        </w:rPr>
        <w:t xml:space="preserve">Badgerys Creek Airport has the potential to change urban development and employment </w:t>
      </w:r>
      <w:r w:rsidR="00DF68A2">
        <w:rPr>
          <w:rFonts w:asciiTheme="majorHAnsi" w:hAnsiTheme="majorHAnsi"/>
          <w:spacing w:val="-1"/>
        </w:rPr>
        <w:t>patterns</w:t>
      </w:r>
      <w:r w:rsidR="003D15D3">
        <w:rPr>
          <w:rFonts w:asciiTheme="majorHAnsi" w:hAnsiTheme="majorHAnsi"/>
          <w:spacing w:val="-1"/>
        </w:rPr>
        <w:t xml:space="preserve">. </w:t>
      </w:r>
    </w:p>
    <w:p w14:paraId="093D940E" w14:textId="77777777" w:rsidR="0012604D" w:rsidRDefault="0012604D" w:rsidP="0012604D">
      <w:pPr>
        <w:pStyle w:val="BodyText"/>
        <w:ind w:right="201"/>
        <w:rPr>
          <w:rFonts w:asciiTheme="majorHAnsi" w:hAnsiTheme="majorHAnsi"/>
        </w:rPr>
      </w:pPr>
    </w:p>
    <w:p w14:paraId="1A65A5C5" w14:textId="77777777" w:rsidR="00850C74" w:rsidRDefault="00850C74" w:rsidP="00E4454D">
      <w:pPr>
        <w:pStyle w:val="BodyText"/>
        <w:ind w:left="0" w:right="201"/>
        <w:rPr>
          <w:rFonts w:asciiTheme="majorHAnsi" w:hAnsiTheme="majorHAnsi"/>
        </w:rPr>
      </w:pPr>
      <w:r>
        <w:rPr>
          <w:rFonts w:asciiTheme="majorHAnsi" w:hAnsiTheme="majorHAnsi"/>
        </w:rPr>
        <w:t xml:space="preserve">Sydney has a suite of high cost public transport infrastructure projects which are being planned and built in the next </w:t>
      </w:r>
      <w:r w:rsidR="00BA57F9">
        <w:rPr>
          <w:rFonts w:asciiTheme="majorHAnsi" w:hAnsiTheme="majorHAnsi"/>
        </w:rPr>
        <w:t>10</w:t>
      </w:r>
      <w:r>
        <w:rPr>
          <w:rFonts w:asciiTheme="majorHAnsi" w:hAnsiTheme="majorHAnsi"/>
        </w:rPr>
        <w:t xml:space="preserve"> years.</w:t>
      </w:r>
    </w:p>
    <w:p w14:paraId="48953163" w14:textId="77777777" w:rsidR="00BD54B9" w:rsidRDefault="00BD54B9" w:rsidP="00BD54B9">
      <w:pPr>
        <w:pStyle w:val="Caption"/>
      </w:pPr>
      <w:bookmarkStart w:id="112" w:name="_Toc430896552"/>
      <w:r w:rsidRPr="00E4454D">
        <w:t xml:space="preserve">Table </w:t>
      </w:r>
      <w:r w:rsidRPr="00E4454D">
        <w:fldChar w:fldCharType="begin"/>
      </w:r>
      <w:r w:rsidRPr="00E4454D">
        <w:instrText xml:space="preserve"> SEQ Table \* ARABIC </w:instrText>
      </w:r>
      <w:r w:rsidRPr="00E4454D">
        <w:fldChar w:fldCharType="separate"/>
      </w:r>
      <w:r w:rsidR="00184C79">
        <w:rPr>
          <w:noProof/>
        </w:rPr>
        <w:t>18</w:t>
      </w:r>
      <w:r w:rsidRPr="00E4454D">
        <w:fldChar w:fldCharType="end"/>
      </w:r>
      <w:r w:rsidRPr="00E4454D">
        <w:t>.</w:t>
      </w:r>
      <w:r w:rsidRPr="00E4454D">
        <w:tab/>
        <w:t>Sydney - new public transport infrastructure</w:t>
      </w:r>
      <w:bookmarkEnd w:id="112"/>
      <w:r w:rsidRPr="00E4454D">
        <w:t xml:space="preserve"> </w:t>
      </w:r>
    </w:p>
    <w:tbl>
      <w:tblPr>
        <w:tblStyle w:val="GridTable4-Accent21"/>
        <w:tblW w:w="0" w:type="auto"/>
        <w:tblLook w:val="04A0" w:firstRow="1" w:lastRow="0" w:firstColumn="1" w:lastColumn="0" w:noHBand="0" w:noVBand="1"/>
      </w:tblPr>
      <w:tblGrid>
        <w:gridCol w:w="4252"/>
        <w:gridCol w:w="4252"/>
      </w:tblGrid>
      <w:tr w:rsidR="00E4454D" w:rsidRPr="00E4454D" w14:paraId="7F7DCE33" w14:textId="77777777" w:rsidTr="00E4454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252" w:type="dxa"/>
          </w:tcPr>
          <w:p w14:paraId="345D9A2F" w14:textId="77777777" w:rsidR="00E4454D" w:rsidRPr="00E4454D" w:rsidRDefault="00E4454D" w:rsidP="00E4454D">
            <w:pPr>
              <w:rPr>
                <w:rFonts w:asciiTheme="majorHAnsi" w:hAnsiTheme="majorHAnsi"/>
                <w:sz w:val="18"/>
                <w:szCs w:val="18"/>
              </w:rPr>
            </w:pPr>
            <w:r w:rsidRPr="00E4454D">
              <w:rPr>
                <w:rFonts w:asciiTheme="majorHAnsi" w:hAnsiTheme="majorHAnsi"/>
                <w:sz w:val="18"/>
                <w:szCs w:val="18"/>
              </w:rPr>
              <w:t>Short Term</w:t>
            </w:r>
          </w:p>
        </w:tc>
        <w:tc>
          <w:tcPr>
            <w:tcW w:w="4252" w:type="dxa"/>
          </w:tcPr>
          <w:p w14:paraId="05F0BC8B" w14:textId="77777777" w:rsidR="00E4454D" w:rsidRPr="00E4454D" w:rsidRDefault="00E4454D" w:rsidP="00E4454D">
            <w:pP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E4454D">
              <w:rPr>
                <w:rFonts w:asciiTheme="majorHAnsi" w:hAnsiTheme="majorHAnsi"/>
                <w:sz w:val="18"/>
                <w:szCs w:val="18"/>
              </w:rPr>
              <w:t xml:space="preserve">Long Term </w:t>
            </w:r>
          </w:p>
        </w:tc>
      </w:tr>
      <w:tr w:rsidR="00E4454D" w:rsidRPr="00E4454D" w14:paraId="46BBCDBE"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C6C5B6E" w14:textId="77777777" w:rsidR="00E4454D" w:rsidRPr="00E4454D" w:rsidRDefault="00E4454D" w:rsidP="00E4454D">
            <w:pPr>
              <w:rPr>
                <w:b w:val="0"/>
              </w:rPr>
            </w:pPr>
            <w:r w:rsidRPr="00E4454D">
              <w:rPr>
                <w:b w:val="0"/>
              </w:rPr>
              <w:t>Sydney Light Rail extension (UNSW, Randwick)</w:t>
            </w:r>
          </w:p>
          <w:p w14:paraId="2DB7F6DF" w14:textId="5C62C5BC" w:rsidR="00E4454D" w:rsidRPr="00E4454D" w:rsidRDefault="00E4454D" w:rsidP="00E4454D">
            <w:pPr>
              <w:rPr>
                <w:b w:val="0"/>
                <w:sz w:val="18"/>
                <w:szCs w:val="18"/>
              </w:rPr>
            </w:pPr>
          </w:p>
        </w:tc>
        <w:tc>
          <w:tcPr>
            <w:tcW w:w="4252" w:type="dxa"/>
          </w:tcPr>
          <w:p w14:paraId="456B6594" w14:textId="77777777" w:rsidR="00E4454D" w:rsidRPr="00E4454D" w:rsidRDefault="00E4454D" w:rsidP="00E4454D">
            <w:pPr>
              <w:cnfStyle w:val="000000100000" w:firstRow="0" w:lastRow="0" w:firstColumn="0" w:lastColumn="0" w:oddVBand="0" w:evenVBand="0" w:oddHBand="1" w:evenHBand="0" w:firstRowFirstColumn="0" w:firstRowLastColumn="0" w:lastRowFirstColumn="0" w:lastRowLastColumn="0"/>
            </w:pPr>
            <w:r w:rsidRPr="00E4454D">
              <w:t>South West Rail extension (Badgerys Creek)</w:t>
            </w:r>
          </w:p>
          <w:p w14:paraId="35DBA7A9" w14:textId="6A61104E" w:rsidR="00E4454D" w:rsidRPr="00E4454D" w:rsidRDefault="00E4454D" w:rsidP="00E4454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p>
        </w:tc>
      </w:tr>
      <w:tr w:rsidR="00E4454D" w:rsidRPr="00E4454D" w14:paraId="68EA9DA6" w14:textId="77777777" w:rsidTr="00E4454D">
        <w:tc>
          <w:tcPr>
            <w:cnfStyle w:val="001000000000" w:firstRow="0" w:lastRow="0" w:firstColumn="1" w:lastColumn="0" w:oddVBand="0" w:evenVBand="0" w:oddHBand="0" w:evenHBand="0" w:firstRowFirstColumn="0" w:firstRowLastColumn="0" w:lastRowFirstColumn="0" w:lastRowLastColumn="0"/>
            <w:tcW w:w="4252" w:type="dxa"/>
          </w:tcPr>
          <w:p w14:paraId="5448A61F" w14:textId="77777777" w:rsidR="00E4454D" w:rsidRPr="00E4454D" w:rsidRDefault="00E4454D" w:rsidP="00E4454D">
            <w:pPr>
              <w:rPr>
                <w:b w:val="0"/>
              </w:rPr>
            </w:pPr>
            <w:r w:rsidRPr="00E4454D">
              <w:rPr>
                <w:b w:val="0"/>
              </w:rPr>
              <w:t>Sydney Metro (Bankstown)</w:t>
            </w:r>
          </w:p>
          <w:p w14:paraId="4037B74A" w14:textId="3FE9E6FE" w:rsidR="00E4454D" w:rsidRPr="00E4454D" w:rsidRDefault="00E4454D" w:rsidP="00E4454D">
            <w:pPr>
              <w:rPr>
                <w:b w:val="0"/>
                <w:sz w:val="18"/>
                <w:szCs w:val="18"/>
              </w:rPr>
            </w:pPr>
          </w:p>
        </w:tc>
        <w:tc>
          <w:tcPr>
            <w:tcW w:w="4252" w:type="dxa"/>
          </w:tcPr>
          <w:p w14:paraId="2DD0622C" w14:textId="77777777" w:rsidR="00E4454D" w:rsidRPr="00E4454D" w:rsidRDefault="00E4454D" w:rsidP="00E4454D">
            <w:pPr>
              <w:cnfStyle w:val="000000000000" w:firstRow="0" w:lastRow="0" w:firstColumn="0" w:lastColumn="0" w:oddVBand="0" w:evenVBand="0" w:oddHBand="0" w:evenHBand="0" w:firstRowFirstColumn="0" w:firstRowLastColumn="0" w:lastRowFirstColumn="0" w:lastRowLastColumn="0"/>
            </w:pPr>
            <w:r w:rsidRPr="00E4454D">
              <w:t>Green Square light rail</w:t>
            </w:r>
          </w:p>
          <w:p w14:paraId="193A3407" w14:textId="77777777" w:rsidR="00E4454D" w:rsidRPr="00E4454D" w:rsidRDefault="00E4454D" w:rsidP="00E4454D">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lang w:val="en-US"/>
              </w:rPr>
            </w:pPr>
          </w:p>
        </w:tc>
      </w:tr>
      <w:tr w:rsidR="00E4454D" w:rsidRPr="00E4454D" w14:paraId="779AB76A" w14:textId="77777777" w:rsidTr="00E4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0B4F7B57" w14:textId="77777777" w:rsidR="00E4454D" w:rsidRPr="00E4454D" w:rsidRDefault="00E4454D" w:rsidP="00E4454D">
            <w:pPr>
              <w:rPr>
                <w:b w:val="0"/>
              </w:rPr>
            </w:pPr>
            <w:r w:rsidRPr="00E4454D">
              <w:rPr>
                <w:b w:val="0"/>
              </w:rPr>
              <w:t xml:space="preserve">North West Rail </w:t>
            </w:r>
          </w:p>
          <w:p w14:paraId="0BAED07C" w14:textId="4A5AB599" w:rsidR="00E4454D" w:rsidRPr="00E4454D" w:rsidRDefault="00E4454D" w:rsidP="00E4454D">
            <w:pPr>
              <w:rPr>
                <w:b w:val="0"/>
                <w:sz w:val="18"/>
                <w:szCs w:val="18"/>
              </w:rPr>
            </w:pPr>
          </w:p>
        </w:tc>
        <w:tc>
          <w:tcPr>
            <w:tcW w:w="4252" w:type="dxa"/>
          </w:tcPr>
          <w:p w14:paraId="06AEB677" w14:textId="11EB1B91" w:rsidR="00E4454D" w:rsidRPr="00E4454D" w:rsidRDefault="00E4454D" w:rsidP="00E4454D">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18"/>
                <w:szCs w:val="18"/>
                <w:lang w:val="en-US"/>
              </w:rPr>
            </w:pPr>
            <w:r w:rsidRPr="00E4454D">
              <w:t>Parramatta Light Rail Stage 2</w:t>
            </w:r>
          </w:p>
        </w:tc>
      </w:tr>
      <w:tr w:rsidR="00E4454D" w:rsidRPr="00E4454D" w14:paraId="5C2B40A5" w14:textId="77777777" w:rsidTr="00E4454D">
        <w:tc>
          <w:tcPr>
            <w:cnfStyle w:val="001000000000" w:firstRow="0" w:lastRow="0" w:firstColumn="1" w:lastColumn="0" w:oddVBand="0" w:evenVBand="0" w:oddHBand="0" w:evenHBand="0" w:firstRowFirstColumn="0" w:firstRowLastColumn="0" w:lastRowFirstColumn="0" w:lastRowLastColumn="0"/>
            <w:tcW w:w="4252" w:type="dxa"/>
          </w:tcPr>
          <w:p w14:paraId="057B4297" w14:textId="0E966E80" w:rsidR="00E4454D" w:rsidRPr="00E4454D" w:rsidRDefault="00E4454D" w:rsidP="00E43415">
            <w:pPr>
              <w:rPr>
                <w:b w:val="0"/>
                <w:sz w:val="18"/>
                <w:szCs w:val="18"/>
              </w:rPr>
            </w:pPr>
            <w:r w:rsidRPr="00E4454D">
              <w:rPr>
                <w:b w:val="0"/>
              </w:rPr>
              <w:t>Parramatta</w:t>
            </w:r>
            <w:r w:rsidR="00E43415">
              <w:rPr>
                <w:b w:val="0"/>
              </w:rPr>
              <w:t>-Epping Rail Link</w:t>
            </w:r>
          </w:p>
        </w:tc>
        <w:tc>
          <w:tcPr>
            <w:tcW w:w="4252" w:type="dxa"/>
          </w:tcPr>
          <w:p w14:paraId="411BA239" w14:textId="7D167FFB" w:rsidR="00E4454D" w:rsidRPr="000B7B55" w:rsidRDefault="00E43415" w:rsidP="00E4454D">
            <w:pP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18"/>
                <w:szCs w:val="18"/>
                <w:lang w:val="en-US"/>
              </w:rPr>
            </w:pPr>
            <w:r w:rsidRPr="000B7B55">
              <w:t>Western Sydney Airport</w:t>
            </w:r>
          </w:p>
        </w:tc>
      </w:tr>
    </w:tbl>
    <w:p w14:paraId="3B231D4C" w14:textId="77777777" w:rsidR="00BD54B9" w:rsidRDefault="00BD54B9" w:rsidP="0012604D">
      <w:pPr>
        <w:pStyle w:val="BodyText"/>
        <w:ind w:right="201"/>
        <w:rPr>
          <w:rFonts w:asciiTheme="majorHAnsi" w:hAnsiTheme="majorHAnsi"/>
        </w:rPr>
      </w:pPr>
    </w:p>
    <w:p w14:paraId="4D27C77F" w14:textId="77777777" w:rsidR="0012604D" w:rsidRDefault="00851EA8" w:rsidP="00E4454D">
      <w:pPr>
        <w:pStyle w:val="BodyText"/>
        <w:ind w:left="0" w:right="201"/>
        <w:rPr>
          <w:rFonts w:asciiTheme="majorHAnsi" w:hAnsiTheme="majorHAnsi"/>
          <w:spacing w:val="-1"/>
        </w:rPr>
      </w:pPr>
      <w:r>
        <w:rPr>
          <w:rFonts w:asciiTheme="majorHAnsi" w:hAnsiTheme="majorHAnsi"/>
          <w:spacing w:val="-1"/>
        </w:rPr>
        <w:t xml:space="preserve">Sydney’s current job density </w:t>
      </w:r>
      <w:r w:rsidR="005B39E5">
        <w:rPr>
          <w:rFonts w:asciiTheme="majorHAnsi" w:hAnsiTheme="majorHAnsi"/>
          <w:spacing w:val="-1"/>
        </w:rPr>
        <w:t xml:space="preserve">pattern </w:t>
      </w:r>
      <w:r>
        <w:rPr>
          <w:rFonts w:asciiTheme="majorHAnsi" w:hAnsiTheme="majorHAnsi"/>
          <w:spacing w:val="-1"/>
        </w:rPr>
        <w:t xml:space="preserve">has a high concentration of jobs in the CBD. </w:t>
      </w:r>
      <w:r w:rsidR="0012604D">
        <w:rPr>
          <w:rFonts w:asciiTheme="majorHAnsi" w:hAnsiTheme="majorHAnsi"/>
          <w:spacing w:val="-1"/>
        </w:rPr>
        <w:t>Sydney is particularly strong in the financial and professional services sectors which are job magnets for the city.</w:t>
      </w:r>
      <w:r w:rsidR="00932932">
        <w:rPr>
          <w:rFonts w:asciiTheme="majorHAnsi" w:hAnsiTheme="majorHAnsi"/>
          <w:spacing w:val="-1"/>
        </w:rPr>
        <w:t xml:space="preserve"> The table shows that Sydney dominates the 7 categories of these sectors nationally.</w:t>
      </w:r>
    </w:p>
    <w:p w14:paraId="0E049C2D" w14:textId="77777777" w:rsidR="00E4454D" w:rsidRDefault="00E4454D" w:rsidP="005B36E3">
      <w:pPr>
        <w:pStyle w:val="BodyText"/>
        <w:ind w:right="201"/>
        <w:rPr>
          <w:rFonts w:asciiTheme="majorHAnsi" w:hAnsiTheme="majorHAnsi"/>
          <w:spacing w:val="-1"/>
        </w:rPr>
      </w:pPr>
    </w:p>
    <w:p w14:paraId="61E81B59" w14:textId="556A3F3E" w:rsidR="00E4454D" w:rsidRDefault="00E4454D" w:rsidP="00E4454D">
      <w:pPr>
        <w:pStyle w:val="Caption"/>
        <w:rPr>
          <w:rFonts w:asciiTheme="majorHAnsi" w:hAnsiTheme="majorHAnsi"/>
          <w:spacing w:val="-1"/>
        </w:rPr>
      </w:pPr>
      <w:bookmarkStart w:id="113" w:name="_Toc430896564"/>
      <w:r>
        <w:t xml:space="preserve">Figure </w:t>
      </w:r>
      <w:r>
        <w:fldChar w:fldCharType="begin"/>
      </w:r>
      <w:r>
        <w:instrText xml:space="preserve"> SEQ Figure \* ARABIC </w:instrText>
      </w:r>
      <w:r>
        <w:fldChar w:fldCharType="separate"/>
      </w:r>
      <w:r w:rsidR="00184C79">
        <w:rPr>
          <w:noProof/>
        </w:rPr>
        <w:t>12</w:t>
      </w:r>
      <w:r>
        <w:fldChar w:fldCharType="end"/>
      </w:r>
      <w:r>
        <w:t xml:space="preserve">. </w:t>
      </w:r>
      <w:r w:rsidR="006E57F0">
        <w:t>australian cities proportion of financial services sector</w:t>
      </w:r>
      <w:bookmarkEnd w:id="113"/>
    </w:p>
    <w:p w14:paraId="0A1D39A4" w14:textId="77777777" w:rsidR="00932932" w:rsidRDefault="00932932" w:rsidP="005B36E3">
      <w:pPr>
        <w:pStyle w:val="BodyText"/>
        <w:ind w:right="201"/>
        <w:rPr>
          <w:rFonts w:asciiTheme="majorHAnsi" w:hAnsiTheme="majorHAnsi"/>
          <w:spacing w:val="-1"/>
        </w:rPr>
      </w:pPr>
      <w:r w:rsidRPr="00932932">
        <w:rPr>
          <w:rFonts w:asciiTheme="majorHAnsi" w:hAnsiTheme="majorHAnsi"/>
          <w:noProof/>
          <w:spacing w:val="-1"/>
        </w:rPr>
        <w:lastRenderedPageBreak/>
        <w:drawing>
          <wp:inline distT="0" distB="0" distL="0" distR="0" wp14:anchorId="69A6281B" wp14:editId="265D87A6">
            <wp:extent cx="5530850" cy="3616325"/>
            <wp:effectExtent l="0" t="0" r="0" b="317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5530850" cy="3616325"/>
                    </a:xfrm>
                    <a:prstGeom prst="rect">
                      <a:avLst/>
                    </a:prstGeom>
                  </pic:spPr>
                </pic:pic>
              </a:graphicData>
            </a:graphic>
          </wp:inline>
        </w:drawing>
      </w:r>
    </w:p>
    <w:p w14:paraId="3B709B44" w14:textId="50B83C76" w:rsidR="00595776" w:rsidRPr="007C30F7" w:rsidRDefault="00595776" w:rsidP="00595776">
      <w:pPr>
        <w:pStyle w:val="TableSource0"/>
      </w:pPr>
      <w:r w:rsidRPr="007C30F7">
        <w:t xml:space="preserve">Source: </w:t>
      </w:r>
      <w:r>
        <w:t>SGS Economics and Planning, 2015</w:t>
      </w:r>
    </w:p>
    <w:p w14:paraId="6B4E71CC" w14:textId="77777777" w:rsidR="00595776" w:rsidRPr="00595776" w:rsidRDefault="00595776" w:rsidP="005B36E3">
      <w:pPr>
        <w:pStyle w:val="BodyText"/>
        <w:ind w:right="201"/>
        <w:rPr>
          <w:rFonts w:asciiTheme="majorHAnsi" w:hAnsiTheme="majorHAnsi"/>
          <w:spacing w:val="-1"/>
          <w:lang w:val="en-GB"/>
        </w:rPr>
      </w:pPr>
    </w:p>
    <w:p w14:paraId="3E3F861D" w14:textId="77777777" w:rsidR="00E4454D" w:rsidRDefault="00E4454D" w:rsidP="00E4454D">
      <w:pPr>
        <w:pStyle w:val="BodyText"/>
        <w:ind w:left="0" w:right="201"/>
        <w:rPr>
          <w:rFonts w:asciiTheme="majorHAnsi" w:hAnsiTheme="majorHAnsi"/>
          <w:spacing w:val="-1"/>
        </w:rPr>
      </w:pPr>
    </w:p>
    <w:p w14:paraId="0DF356B0" w14:textId="77777777" w:rsidR="005B39E5" w:rsidRDefault="00851EA8" w:rsidP="00E4454D">
      <w:pPr>
        <w:pStyle w:val="BodyText"/>
        <w:ind w:left="0" w:right="201"/>
        <w:rPr>
          <w:rFonts w:asciiTheme="majorHAnsi" w:hAnsiTheme="majorHAnsi"/>
          <w:spacing w:val="-1"/>
        </w:rPr>
      </w:pPr>
      <w:r>
        <w:rPr>
          <w:rFonts w:asciiTheme="majorHAnsi" w:hAnsiTheme="majorHAnsi"/>
          <w:spacing w:val="-1"/>
        </w:rPr>
        <w:t xml:space="preserve">Unlike other Australian cities, </w:t>
      </w:r>
      <w:r w:rsidR="005B39E5">
        <w:rPr>
          <w:rFonts w:asciiTheme="majorHAnsi" w:hAnsiTheme="majorHAnsi"/>
          <w:spacing w:val="-1"/>
        </w:rPr>
        <w:t xml:space="preserve">however, </w:t>
      </w:r>
      <w:r>
        <w:rPr>
          <w:rFonts w:asciiTheme="majorHAnsi" w:hAnsiTheme="majorHAnsi"/>
          <w:spacing w:val="-1"/>
        </w:rPr>
        <w:t xml:space="preserve">Sydney does have </w:t>
      </w:r>
      <w:r w:rsidR="005B39E5">
        <w:rPr>
          <w:rFonts w:asciiTheme="majorHAnsi" w:hAnsiTheme="majorHAnsi"/>
          <w:spacing w:val="-1"/>
        </w:rPr>
        <w:t xml:space="preserve">major </w:t>
      </w:r>
      <w:r>
        <w:rPr>
          <w:rFonts w:asciiTheme="majorHAnsi" w:hAnsiTheme="majorHAnsi"/>
          <w:spacing w:val="-1"/>
        </w:rPr>
        <w:t>regional centers led by Parramatta</w:t>
      </w:r>
      <w:r w:rsidR="00631025">
        <w:rPr>
          <w:rFonts w:asciiTheme="majorHAnsi" w:hAnsiTheme="majorHAnsi"/>
          <w:spacing w:val="-1"/>
        </w:rPr>
        <w:t xml:space="preserve">, which </w:t>
      </w:r>
      <w:r>
        <w:rPr>
          <w:rFonts w:asciiTheme="majorHAnsi" w:hAnsiTheme="majorHAnsi"/>
          <w:spacing w:val="-1"/>
        </w:rPr>
        <w:t xml:space="preserve">has become Sydney’s second CBD. </w:t>
      </w:r>
      <w:r w:rsidR="005B39E5">
        <w:rPr>
          <w:rFonts w:asciiTheme="majorHAnsi" w:hAnsiTheme="majorHAnsi"/>
          <w:spacing w:val="-1"/>
        </w:rPr>
        <w:t xml:space="preserve">This </w:t>
      </w:r>
      <w:r w:rsidR="0012604D">
        <w:rPr>
          <w:rFonts w:asciiTheme="majorHAnsi" w:hAnsiTheme="majorHAnsi"/>
          <w:spacing w:val="-1"/>
        </w:rPr>
        <w:t xml:space="preserve">will </w:t>
      </w:r>
      <w:r w:rsidR="005B39E5">
        <w:rPr>
          <w:rFonts w:asciiTheme="majorHAnsi" w:hAnsiTheme="majorHAnsi"/>
          <w:spacing w:val="-1"/>
        </w:rPr>
        <w:t xml:space="preserve">create a broad base for </w:t>
      </w:r>
      <w:r w:rsidR="00006F97">
        <w:rPr>
          <w:rFonts w:asciiTheme="majorHAnsi" w:hAnsiTheme="majorHAnsi"/>
          <w:spacing w:val="-1"/>
        </w:rPr>
        <w:t xml:space="preserve">future </w:t>
      </w:r>
      <w:r w:rsidR="00631025">
        <w:rPr>
          <w:rFonts w:asciiTheme="majorHAnsi" w:hAnsiTheme="majorHAnsi"/>
          <w:spacing w:val="-1"/>
        </w:rPr>
        <w:t xml:space="preserve">urban </w:t>
      </w:r>
      <w:r w:rsidR="005B39E5">
        <w:rPr>
          <w:rFonts w:asciiTheme="majorHAnsi" w:hAnsiTheme="majorHAnsi"/>
          <w:spacing w:val="-1"/>
        </w:rPr>
        <w:t xml:space="preserve">development with urban renewal in </w:t>
      </w:r>
      <w:r w:rsidR="0012604D">
        <w:rPr>
          <w:rFonts w:asciiTheme="majorHAnsi" w:hAnsiTheme="majorHAnsi"/>
          <w:spacing w:val="-1"/>
        </w:rPr>
        <w:t xml:space="preserve">areas close to the </w:t>
      </w:r>
      <w:r w:rsidR="005B39E5">
        <w:rPr>
          <w:rFonts w:asciiTheme="majorHAnsi" w:hAnsiTheme="majorHAnsi"/>
          <w:spacing w:val="-1"/>
        </w:rPr>
        <w:t xml:space="preserve">city areas and new </w:t>
      </w:r>
      <w:r w:rsidR="0012604D">
        <w:rPr>
          <w:rFonts w:asciiTheme="majorHAnsi" w:hAnsiTheme="majorHAnsi"/>
          <w:spacing w:val="-1"/>
        </w:rPr>
        <w:t>development</w:t>
      </w:r>
      <w:r w:rsidR="005B39E5">
        <w:rPr>
          <w:rFonts w:asciiTheme="majorHAnsi" w:hAnsiTheme="majorHAnsi"/>
          <w:spacing w:val="-1"/>
        </w:rPr>
        <w:t xml:space="preserve"> in </w:t>
      </w:r>
      <w:r w:rsidR="00631025">
        <w:rPr>
          <w:rFonts w:asciiTheme="majorHAnsi" w:hAnsiTheme="majorHAnsi"/>
          <w:spacing w:val="-1"/>
        </w:rPr>
        <w:t xml:space="preserve">designated regional centers such as </w:t>
      </w:r>
      <w:r w:rsidR="005B39E5">
        <w:rPr>
          <w:rFonts w:asciiTheme="majorHAnsi" w:hAnsiTheme="majorHAnsi"/>
          <w:spacing w:val="-1"/>
        </w:rPr>
        <w:t>Parramatta</w:t>
      </w:r>
      <w:r w:rsidR="00631025">
        <w:rPr>
          <w:rFonts w:asciiTheme="majorHAnsi" w:hAnsiTheme="majorHAnsi"/>
          <w:spacing w:val="-1"/>
        </w:rPr>
        <w:t>,</w:t>
      </w:r>
      <w:r w:rsidR="005B39E5">
        <w:rPr>
          <w:rFonts w:asciiTheme="majorHAnsi" w:hAnsiTheme="majorHAnsi"/>
          <w:spacing w:val="-1"/>
        </w:rPr>
        <w:t xml:space="preserve"> Liverpool, Penrith, Macquarie Park and Norwest.</w:t>
      </w:r>
      <w:r w:rsidR="00484A4B">
        <w:rPr>
          <w:rFonts w:asciiTheme="majorHAnsi" w:hAnsiTheme="majorHAnsi"/>
          <w:spacing w:val="-1"/>
        </w:rPr>
        <w:t xml:space="preserve"> The North-West and South-West growth areas are feeding into these centres.</w:t>
      </w:r>
    </w:p>
    <w:p w14:paraId="3486E061" w14:textId="77777777" w:rsidR="00E4454D" w:rsidRDefault="00E4454D" w:rsidP="005B36E3">
      <w:pPr>
        <w:pStyle w:val="BodyText"/>
        <w:ind w:right="201"/>
        <w:rPr>
          <w:rFonts w:asciiTheme="majorHAnsi" w:hAnsiTheme="majorHAnsi"/>
          <w:spacing w:val="-1"/>
        </w:rPr>
      </w:pPr>
    </w:p>
    <w:p w14:paraId="4B515EC0" w14:textId="46E06665" w:rsidR="005B39E5" w:rsidRDefault="00595776" w:rsidP="005B39E5">
      <w:pPr>
        <w:pStyle w:val="Caption"/>
      </w:pPr>
      <w:bookmarkStart w:id="114" w:name="_Toc430896565"/>
      <w:r>
        <w:t>F</w:t>
      </w:r>
      <w:r w:rsidR="005B39E5">
        <w:t xml:space="preserve">igure </w:t>
      </w:r>
      <w:r w:rsidR="005B39E5">
        <w:fldChar w:fldCharType="begin"/>
      </w:r>
      <w:r w:rsidR="005B39E5">
        <w:instrText xml:space="preserve"> SEQ Figure \* ARABIC </w:instrText>
      </w:r>
      <w:r w:rsidR="005B39E5">
        <w:fldChar w:fldCharType="separate"/>
      </w:r>
      <w:r w:rsidR="00184C79">
        <w:rPr>
          <w:noProof/>
        </w:rPr>
        <w:t>13</w:t>
      </w:r>
      <w:r w:rsidR="005B39E5">
        <w:fldChar w:fldCharType="end"/>
      </w:r>
      <w:r w:rsidR="00E4454D">
        <w:t xml:space="preserve">. </w:t>
      </w:r>
      <w:r w:rsidR="005B39E5">
        <w:t>sydney – job distribution</w:t>
      </w:r>
      <w:bookmarkEnd w:id="114"/>
      <w:r w:rsidR="005B39E5">
        <w:t xml:space="preserve"> </w:t>
      </w:r>
    </w:p>
    <w:p w14:paraId="0BACCA2A" w14:textId="77777777" w:rsidR="005B39E5" w:rsidRDefault="005B39E5" w:rsidP="005B36E3">
      <w:pPr>
        <w:pStyle w:val="BodyText"/>
        <w:ind w:right="201"/>
        <w:rPr>
          <w:rFonts w:asciiTheme="majorHAnsi" w:hAnsiTheme="majorHAnsi"/>
          <w:spacing w:val="-1"/>
        </w:rPr>
      </w:pPr>
    </w:p>
    <w:p w14:paraId="7ED45BA3" w14:textId="77777777" w:rsidR="00851EA8" w:rsidRDefault="00851EA8" w:rsidP="005B36E3">
      <w:pPr>
        <w:pStyle w:val="BodyText"/>
        <w:ind w:right="201"/>
        <w:rPr>
          <w:rFonts w:asciiTheme="majorHAnsi" w:hAnsiTheme="majorHAnsi"/>
          <w:spacing w:val="-1"/>
        </w:rPr>
      </w:pPr>
      <w:r w:rsidRPr="00851EA8">
        <w:rPr>
          <w:noProof/>
        </w:rPr>
        <w:drawing>
          <wp:inline distT="0" distB="0" distL="0" distR="0" wp14:anchorId="6D29BE19" wp14:editId="5AAFA958">
            <wp:extent cx="4838700" cy="338653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843467" cy="3389871"/>
                    </a:xfrm>
                    <a:prstGeom prst="rect">
                      <a:avLst/>
                    </a:prstGeom>
                  </pic:spPr>
                </pic:pic>
              </a:graphicData>
            </a:graphic>
          </wp:inline>
        </w:drawing>
      </w:r>
    </w:p>
    <w:p w14:paraId="4E2E8FC6" w14:textId="26BE714A" w:rsidR="00595776" w:rsidRPr="007C30F7" w:rsidRDefault="00595776" w:rsidP="00595776">
      <w:pPr>
        <w:pStyle w:val="TableSource0"/>
      </w:pPr>
      <w:r w:rsidRPr="007C30F7">
        <w:lastRenderedPageBreak/>
        <w:t xml:space="preserve">Source: </w:t>
      </w:r>
      <w:r>
        <w:t>SGS Economics and Planning, 2015</w:t>
      </w:r>
    </w:p>
    <w:p w14:paraId="20007FAB" w14:textId="77777777" w:rsidR="00595776" w:rsidRPr="00595776" w:rsidRDefault="00595776" w:rsidP="005B36E3">
      <w:pPr>
        <w:pStyle w:val="BodyText"/>
        <w:ind w:right="201"/>
        <w:rPr>
          <w:rFonts w:asciiTheme="majorHAnsi" w:hAnsiTheme="majorHAnsi"/>
          <w:spacing w:val="-1"/>
          <w:lang w:val="en-GB"/>
        </w:rPr>
      </w:pPr>
    </w:p>
    <w:p w14:paraId="33CC66C4" w14:textId="77777777" w:rsidR="0012604D" w:rsidRDefault="0012604D" w:rsidP="005B36E3">
      <w:pPr>
        <w:pStyle w:val="BodyText"/>
        <w:ind w:right="201"/>
        <w:rPr>
          <w:rFonts w:asciiTheme="majorHAnsi" w:hAnsiTheme="majorHAnsi"/>
        </w:rPr>
      </w:pPr>
    </w:p>
    <w:p w14:paraId="438F2C11" w14:textId="77777777" w:rsidR="0012604D" w:rsidRDefault="00006F97" w:rsidP="0012604D">
      <w:pPr>
        <w:pStyle w:val="BodyText"/>
        <w:ind w:right="201"/>
        <w:rPr>
          <w:rFonts w:asciiTheme="majorHAnsi" w:hAnsiTheme="majorHAnsi"/>
          <w:spacing w:val="-1"/>
        </w:rPr>
      </w:pPr>
      <w:r>
        <w:rPr>
          <w:rFonts w:asciiTheme="majorHAnsi" w:hAnsiTheme="majorHAnsi"/>
          <w:spacing w:val="-1"/>
        </w:rPr>
        <w:t>Sydney</w:t>
      </w:r>
      <w:r w:rsidR="00F41B17">
        <w:rPr>
          <w:rFonts w:asciiTheme="majorHAnsi" w:hAnsiTheme="majorHAnsi"/>
          <w:spacing w:val="-1"/>
        </w:rPr>
        <w:t xml:space="preserve"> CBD</w:t>
      </w:r>
      <w:r>
        <w:rPr>
          <w:rFonts w:asciiTheme="majorHAnsi" w:hAnsiTheme="majorHAnsi"/>
          <w:spacing w:val="-1"/>
        </w:rPr>
        <w:t xml:space="preserve">’s high level of financial services jobs </w:t>
      </w:r>
      <w:r w:rsidR="00F41B17">
        <w:rPr>
          <w:rFonts w:asciiTheme="majorHAnsi" w:hAnsiTheme="majorHAnsi"/>
          <w:spacing w:val="-1"/>
        </w:rPr>
        <w:t>combined with</w:t>
      </w:r>
      <w:r>
        <w:rPr>
          <w:rFonts w:asciiTheme="majorHAnsi" w:hAnsiTheme="majorHAnsi"/>
          <w:spacing w:val="-1"/>
        </w:rPr>
        <w:t xml:space="preserve"> multiple regional </w:t>
      </w:r>
      <w:r w:rsidR="00F41B17">
        <w:rPr>
          <w:rFonts w:asciiTheme="majorHAnsi" w:hAnsiTheme="majorHAnsi"/>
          <w:spacing w:val="-1"/>
        </w:rPr>
        <w:t>hubs</w:t>
      </w:r>
      <w:r>
        <w:rPr>
          <w:rFonts w:asciiTheme="majorHAnsi" w:hAnsiTheme="majorHAnsi"/>
          <w:spacing w:val="-1"/>
        </w:rPr>
        <w:t xml:space="preserve"> will create diverse, multiple opportunities for value capture</w:t>
      </w:r>
      <w:r w:rsidR="0095493E">
        <w:rPr>
          <w:rFonts w:asciiTheme="majorHAnsi" w:hAnsiTheme="majorHAnsi"/>
          <w:spacing w:val="-1"/>
        </w:rPr>
        <w:t xml:space="preserve"> in the future</w:t>
      </w:r>
      <w:r>
        <w:rPr>
          <w:rFonts w:asciiTheme="majorHAnsi" w:hAnsiTheme="majorHAnsi"/>
          <w:spacing w:val="-1"/>
        </w:rPr>
        <w:t xml:space="preserve">. They will need to be </w:t>
      </w:r>
      <w:r w:rsidR="0012604D">
        <w:rPr>
          <w:rFonts w:asciiTheme="majorHAnsi" w:hAnsiTheme="majorHAnsi"/>
          <w:spacing w:val="-1"/>
        </w:rPr>
        <w:t>specifically tailored to individual development scenarios.</w:t>
      </w:r>
      <w:r w:rsidR="0095493E">
        <w:rPr>
          <w:rFonts w:asciiTheme="majorHAnsi" w:hAnsiTheme="majorHAnsi"/>
          <w:spacing w:val="-1"/>
        </w:rPr>
        <w:t xml:space="preserve"> Of all Australian cities, Sydney most resembles its economic competitors in Asia such as Singapore and Hong Kong. </w:t>
      </w:r>
    </w:p>
    <w:p w14:paraId="0E34850D" w14:textId="77777777" w:rsidR="00E43415" w:rsidRDefault="00E43415" w:rsidP="0012604D">
      <w:pPr>
        <w:pStyle w:val="BodyText"/>
        <w:ind w:right="201"/>
        <w:rPr>
          <w:rFonts w:asciiTheme="majorHAnsi" w:hAnsiTheme="majorHAnsi"/>
          <w:spacing w:val="-1"/>
        </w:rPr>
      </w:pPr>
    </w:p>
    <w:p w14:paraId="460A9F18" w14:textId="77777777" w:rsidR="00E43415" w:rsidRPr="000B7B55" w:rsidRDefault="00E43415" w:rsidP="00E43415">
      <w:pPr>
        <w:rPr>
          <w:b/>
          <w:szCs w:val="20"/>
        </w:rPr>
      </w:pPr>
      <w:r w:rsidRPr="00E43415">
        <w:rPr>
          <w:b/>
          <w:szCs w:val="20"/>
        </w:rPr>
        <w:t>Western Sydney Airport</w:t>
      </w:r>
      <w:r w:rsidRPr="000B7B55">
        <w:rPr>
          <w:b/>
          <w:szCs w:val="20"/>
        </w:rPr>
        <w:t xml:space="preserve"> (Badgery’s Creek)</w:t>
      </w:r>
    </w:p>
    <w:p w14:paraId="5231B667" w14:textId="77777777" w:rsidR="00E43415" w:rsidRPr="000B7B55" w:rsidRDefault="00E43415" w:rsidP="00E43415">
      <w:pPr>
        <w:rPr>
          <w:szCs w:val="20"/>
        </w:rPr>
      </w:pPr>
    </w:p>
    <w:p w14:paraId="2086339D" w14:textId="75897E91" w:rsidR="00E43415" w:rsidRDefault="000B7B55" w:rsidP="00E43415">
      <w:pPr>
        <w:rPr>
          <w:rFonts w:cs="Helvetica"/>
          <w:color w:val="292929"/>
          <w:szCs w:val="20"/>
        </w:rPr>
      </w:pPr>
      <w:r>
        <w:rPr>
          <w:szCs w:val="20"/>
        </w:rPr>
        <w:t xml:space="preserve">A special case for value capture can be made for rail funding for the new Western Sydney Airport. </w:t>
      </w:r>
      <w:r w:rsidR="00E43415" w:rsidRPr="000B7B55">
        <w:rPr>
          <w:szCs w:val="20"/>
        </w:rPr>
        <w:t xml:space="preserve">The Australian Government has announced the construction of the new Western Sydney Airport (“WSA”) at Badgery’s Creek. </w:t>
      </w:r>
      <w:r w:rsidR="00E43415" w:rsidRPr="000B7B55">
        <w:rPr>
          <w:rFonts w:cs="Helvetica"/>
          <w:color w:val="292929"/>
          <w:szCs w:val="20"/>
        </w:rPr>
        <w:t>The Australian and NSW governments have already committed more than $3.6 billion to a 10-year road investment plan for Western Sydney. Roads funding has been the focus to date. The first steps towards building WSA include:</w:t>
      </w:r>
    </w:p>
    <w:p w14:paraId="3E8CE89F" w14:textId="77777777" w:rsidR="000B7B55" w:rsidRPr="000B7B55" w:rsidRDefault="000B7B55" w:rsidP="00E43415">
      <w:pPr>
        <w:rPr>
          <w:rFonts w:cs="Helvetica"/>
          <w:color w:val="292929"/>
          <w:szCs w:val="20"/>
        </w:rPr>
      </w:pPr>
    </w:p>
    <w:p w14:paraId="5776C3FC" w14:textId="77777777" w:rsidR="00E43415" w:rsidRPr="000B7B55" w:rsidRDefault="00E43415" w:rsidP="00E43415">
      <w:pPr>
        <w:numPr>
          <w:ilvl w:val="0"/>
          <w:numId w:val="63"/>
        </w:numPr>
        <w:shd w:val="clear" w:color="auto" w:fill="FFFFFF"/>
        <w:ind w:left="357" w:hanging="357"/>
        <w:textAlignment w:val="baseline"/>
        <w:rPr>
          <w:rFonts w:cs="Helvetica"/>
          <w:color w:val="292929"/>
          <w:szCs w:val="20"/>
        </w:rPr>
      </w:pPr>
      <w:r w:rsidRPr="000B7B55">
        <w:rPr>
          <w:rFonts w:cs="Helvetica"/>
          <w:color w:val="292929"/>
          <w:szCs w:val="20"/>
        </w:rPr>
        <w:t>Work has begun on Stage 1 of the Bringelly Road upgrade and Werrington Arterial Road.</w:t>
      </w:r>
    </w:p>
    <w:p w14:paraId="02496BFF" w14:textId="77777777" w:rsidR="00E43415" w:rsidRPr="000B7B55" w:rsidRDefault="00E43415" w:rsidP="00E43415">
      <w:pPr>
        <w:numPr>
          <w:ilvl w:val="0"/>
          <w:numId w:val="63"/>
        </w:numPr>
        <w:shd w:val="clear" w:color="auto" w:fill="FFFFFF"/>
        <w:ind w:left="357" w:hanging="357"/>
        <w:textAlignment w:val="baseline"/>
        <w:rPr>
          <w:rFonts w:cs="Helvetica"/>
          <w:color w:val="292929"/>
          <w:szCs w:val="20"/>
        </w:rPr>
      </w:pPr>
      <w:r w:rsidRPr="000B7B55">
        <w:rPr>
          <w:rFonts w:cs="Helvetica"/>
          <w:color w:val="292929"/>
          <w:szCs w:val="20"/>
        </w:rPr>
        <w:t>A rail corridor and station on the airport site is being planned.</w:t>
      </w:r>
    </w:p>
    <w:p w14:paraId="55C0DA1F" w14:textId="77777777" w:rsidR="00E43415" w:rsidRPr="000B7B55" w:rsidRDefault="00E43415" w:rsidP="00E43415">
      <w:pPr>
        <w:numPr>
          <w:ilvl w:val="0"/>
          <w:numId w:val="63"/>
        </w:numPr>
        <w:shd w:val="clear" w:color="auto" w:fill="FFFFFF"/>
        <w:ind w:left="357" w:hanging="357"/>
        <w:textAlignment w:val="baseline"/>
        <w:rPr>
          <w:rFonts w:cs="Helvetica"/>
          <w:szCs w:val="20"/>
        </w:rPr>
      </w:pPr>
      <w:r w:rsidRPr="000B7B55">
        <w:rPr>
          <w:rFonts w:cs="Helvetica"/>
          <w:szCs w:val="20"/>
        </w:rPr>
        <w:t>An</w:t>
      </w:r>
      <w:r w:rsidRPr="000B7B55">
        <w:rPr>
          <w:rStyle w:val="apple-converted-space"/>
          <w:rFonts w:cs="Helvetica"/>
          <w:szCs w:val="20"/>
        </w:rPr>
        <w:t> </w:t>
      </w:r>
      <w:hyperlink r:id="rId40" w:anchor="anc_eis" w:history="1">
        <w:r w:rsidRPr="000B7B55">
          <w:rPr>
            <w:rStyle w:val="Hyperlink"/>
            <w:rFonts w:cs="Helvetica"/>
            <w:color w:val="auto"/>
            <w:sz w:val="20"/>
            <w:szCs w:val="20"/>
            <w:bdr w:val="none" w:sz="0" w:space="0" w:color="auto" w:frame="1"/>
          </w:rPr>
          <w:t>Environmental Impact Statement</w:t>
        </w:r>
      </w:hyperlink>
      <w:r w:rsidRPr="00E43415">
        <w:rPr>
          <w:rStyle w:val="apple-converted-space"/>
          <w:rFonts w:cs="Helvetica"/>
          <w:szCs w:val="20"/>
        </w:rPr>
        <w:t> </w:t>
      </w:r>
      <w:r w:rsidRPr="000B7B55">
        <w:rPr>
          <w:rFonts w:cs="Helvetica"/>
          <w:szCs w:val="20"/>
        </w:rPr>
        <w:t>is currently being prepared. The community will have an opportunity to comment on the draft later in 2015.</w:t>
      </w:r>
    </w:p>
    <w:p w14:paraId="627CB1DA" w14:textId="77777777" w:rsidR="00E43415" w:rsidRPr="000B7B55" w:rsidRDefault="00E43415" w:rsidP="00E43415">
      <w:pPr>
        <w:numPr>
          <w:ilvl w:val="0"/>
          <w:numId w:val="63"/>
        </w:numPr>
        <w:shd w:val="clear" w:color="auto" w:fill="FFFFFF"/>
        <w:ind w:left="357" w:hanging="357"/>
        <w:textAlignment w:val="baseline"/>
        <w:rPr>
          <w:rFonts w:cs="Helvetica"/>
          <w:szCs w:val="20"/>
        </w:rPr>
      </w:pPr>
      <w:r w:rsidRPr="000B7B55">
        <w:rPr>
          <w:rFonts w:cs="Helvetica"/>
          <w:szCs w:val="20"/>
        </w:rPr>
        <w:t>An</w:t>
      </w:r>
      <w:r w:rsidRPr="000B7B55">
        <w:rPr>
          <w:rStyle w:val="apple-converted-space"/>
          <w:rFonts w:cs="Helvetica"/>
          <w:szCs w:val="20"/>
        </w:rPr>
        <w:t> </w:t>
      </w:r>
      <w:hyperlink r:id="rId41" w:history="1">
        <w:r w:rsidRPr="000B7B55">
          <w:rPr>
            <w:rStyle w:val="Hyperlink"/>
            <w:rFonts w:cs="Helvetica"/>
            <w:color w:val="auto"/>
            <w:sz w:val="20"/>
            <w:szCs w:val="20"/>
            <w:bdr w:val="none" w:sz="0" w:space="0" w:color="auto" w:frame="1"/>
          </w:rPr>
          <w:t>Airport Plan</w:t>
        </w:r>
      </w:hyperlink>
      <w:r w:rsidRPr="00E43415">
        <w:rPr>
          <w:rStyle w:val="apple-converted-space"/>
          <w:rFonts w:cs="Helvetica"/>
          <w:szCs w:val="20"/>
        </w:rPr>
        <w:t> </w:t>
      </w:r>
      <w:r w:rsidRPr="000B7B55">
        <w:rPr>
          <w:rFonts w:cs="Helvetica"/>
          <w:szCs w:val="20"/>
        </w:rPr>
        <w:t>is also being developed and will be released later this year with the draft Environmental Impact Statement.</w:t>
      </w:r>
    </w:p>
    <w:p w14:paraId="64BFD9D3" w14:textId="77777777" w:rsidR="00E43415" w:rsidRPr="000B7B55" w:rsidRDefault="00E43415" w:rsidP="00E43415">
      <w:pPr>
        <w:shd w:val="clear" w:color="auto" w:fill="FFFFFF"/>
        <w:textAlignment w:val="baseline"/>
        <w:rPr>
          <w:rFonts w:cs="Helvetica"/>
          <w:szCs w:val="20"/>
        </w:rPr>
      </w:pPr>
    </w:p>
    <w:p w14:paraId="2F14677E" w14:textId="77777777" w:rsidR="00E43415" w:rsidRPr="000B7B55" w:rsidRDefault="00E43415" w:rsidP="00E43415">
      <w:pPr>
        <w:pStyle w:val="NormalWeb"/>
        <w:shd w:val="clear" w:color="auto" w:fill="FFFFFF"/>
        <w:spacing w:before="0" w:beforeAutospacing="0" w:after="0" w:afterAutospacing="0"/>
        <w:textAlignment w:val="baseline"/>
        <w:rPr>
          <w:rFonts w:asciiTheme="minorHAnsi" w:hAnsiTheme="minorHAnsi" w:cs="Helvetica"/>
          <w:color w:val="292929"/>
          <w:sz w:val="20"/>
          <w:szCs w:val="20"/>
        </w:rPr>
      </w:pPr>
      <w:r w:rsidRPr="000B7B55">
        <w:rPr>
          <w:rFonts w:asciiTheme="minorHAnsi" w:hAnsiTheme="minorHAnsi" w:cs="Helvetica"/>
          <w:color w:val="292929"/>
          <w:sz w:val="20"/>
          <w:szCs w:val="20"/>
        </w:rPr>
        <w:t>It is expected work on the site will commence in 2016 with airport operations planned to commence in the mid-2020s.</w:t>
      </w:r>
    </w:p>
    <w:p w14:paraId="3CD31F92" w14:textId="77777777" w:rsidR="00E43415" w:rsidRDefault="00E43415" w:rsidP="00E43415">
      <w:pPr>
        <w:rPr>
          <w:szCs w:val="20"/>
        </w:rPr>
      </w:pPr>
    </w:p>
    <w:p w14:paraId="5A385471" w14:textId="77777777" w:rsidR="00303661" w:rsidRDefault="00303661" w:rsidP="00E43415">
      <w:pPr>
        <w:rPr>
          <w:szCs w:val="20"/>
        </w:rPr>
      </w:pPr>
    </w:p>
    <w:p w14:paraId="158C30BA" w14:textId="788926F3" w:rsidR="00303661" w:rsidRDefault="00303661" w:rsidP="00303661">
      <w:pPr>
        <w:pStyle w:val="Caption"/>
      </w:pPr>
      <w:r>
        <w:t xml:space="preserve">Figure </w:t>
      </w:r>
      <w:r>
        <w:fldChar w:fldCharType="begin"/>
      </w:r>
      <w:r>
        <w:instrText xml:space="preserve"> SEQ Figure \* ARABIC </w:instrText>
      </w:r>
      <w:r>
        <w:fldChar w:fldCharType="separate"/>
      </w:r>
      <w:r w:rsidR="00184C79">
        <w:rPr>
          <w:noProof/>
        </w:rPr>
        <w:t>14</w:t>
      </w:r>
      <w:r>
        <w:fldChar w:fldCharType="end"/>
      </w:r>
      <w:r>
        <w:t xml:space="preserve">. western sydney airport rail link options </w:t>
      </w:r>
    </w:p>
    <w:p w14:paraId="3E0C58A7" w14:textId="77777777" w:rsidR="00303661" w:rsidRPr="00E43415" w:rsidRDefault="00303661" w:rsidP="00E43415">
      <w:pPr>
        <w:rPr>
          <w:szCs w:val="20"/>
        </w:rPr>
      </w:pPr>
    </w:p>
    <w:p w14:paraId="0A6EF2DE" w14:textId="77777777" w:rsidR="00E43415" w:rsidRPr="000B7B55" w:rsidRDefault="00E43415" w:rsidP="004B0C82">
      <w:pPr>
        <w:jc w:val="center"/>
        <w:rPr>
          <w:szCs w:val="20"/>
        </w:rPr>
      </w:pPr>
      <w:r w:rsidRPr="000B7B55">
        <w:rPr>
          <w:noProof/>
          <w:szCs w:val="20"/>
          <w:lang w:val="en-US" w:eastAsia="en-US"/>
        </w:rPr>
        <w:drawing>
          <wp:inline distT="0" distB="0" distL="0" distR="0" wp14:anchorId="435B6F39" wp14:editId="25C6AEEE">
            <wp:extent cx="2524417" cy="3567430"/>
            <wp:effectExtent l="0" t="0" r="9525"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527598" cy="3571926"/>
                    </a:xfrm>
                    <a:prstGeom prst="rect">
                      <a:avLst/>
                    </a:prstGeom>
                    <a:ln>
                      <a:noFill/>
                    </a:ln>
                    <a:extLst>
                      <a:ext uri="{53640926-AAD7-44d8-BBD7-CCE9431645EC}">
                        <a14:shadowObscured xmlns:a14="http://schemas.microsoft.com/office/drawing/2010/main"/>
                      </a:ext>
                    </a:extLst>
                  </pic:spPr>
                </pic:pic>
              </a:graphicData>
            </a:graphic>
          </wp:inline>
        </w:drawing>
      </w:r>
    </w:p>
    <w:p w14:paraId="582F745E" w14:textId="77777777" w:rsidR="00E43415" w:rsidRPr="000B7B55" w:rsidRDefault="00E43415" w:rsidP="00E43415">
      <w:pPr>
        <w:rPr>
          <w:szCs w:val="20"/>
        </w:rPr>
      </w:pPr>
    </w:p>
    <w:p w14:paraId="5D67E56B" w14:textId="77777777" w:rsidR="00E43415" w:rsidRPr="000B7B55" w:rsidRDefault="00E43415" w:rsidP="00E43415">
      <w:pPr>
        <w:rPr>
          <w:szCs w:val="20"/>
        </w:rPr>
      </w:pPr>
      <w:r w:rsidRPr="000B7B55">
        <w:rPr>
          <w:szCs w:val="20"/>
        </w:rPr>
        <w:t xml:space="preserve">The development of rail infrastructure to WSA is an ideal opportunity for value capture mechanisms to be introduced to provide co-funding sources as airport industries are developed and urban development takes place. Property values should start rising consistently in the corridor over a long period of time. The </w:t>
      </w:r>
      <w:r w:rsidRPr="000B7B55">
        <w:rPr>
          <w:szCs w:val="20"/>
        </w:rPr>
        <w:lastRenderedPageBreak/>
        <w:t>proposed rail route for WSA will link with Leppington and the South West Rail Link (SWRL), which is due for completion in 2015. The extension of the SWRL to WSA could also offer new cross-regional links if it is extended to other main train lines (Main South, Western). This would create stronger connections to Parramatta and Penrith providing access and jobs with WSA and BWSEA. A fast train option should also be considered.</w:t>
      </w:r>
    </w:p>
    <w:p w14:paraId="48A8BC8F" w14:textId="77777777" w:rsidR="00E43415" w:rsidRPr="000B7B55" w:rsidRDefault="00E43415" w:rsidP="00E43415">
      <w:pPr>
        <w:rPr>
          <w:szCs w:val="20"/>
        </w:rPr>
      </w:pPr>
    </w:p>
    <w:p w14:paraId="75D9319B" w14:textId="77777777" w:rsidR="00E43415" w:rsidRPr="000B7B55" w:rsidRDefault="00E43415" w:rsidP="00E43415">
      <w:pPr>
        <w:rPr>
          <w:szCs w:val="20"/>
        </w:rPr>
      </w:pPr>
      <w:r w:rsidRPr="000B7B55">
        <w:rPr>
          <w:szCs w:val="20"/>
        </w:rPr>
        <w:t xml:space="preserve">Value capture would increase the potential for rail to SWA to be fast-tracked and may ensure that the best option is built to link with Western Sydney and Sydney CBD. </w:t>
      </w:r>
    </w:p>
    <w:p w14:paraId="2F902A05" w14:textId="77777777" w:rsidR="00E43415" w:rsidRPr="000B7B55" w:rsidRDefault="00E43415" w:rsidP="00E43415">
      <w:pPr>
        <w:rPr>
          <w:szCs w:val="20"/>
        </w:rPr>
      </w:pPr>
    </w:p>
    <w:p w14:paraId="2850EB31" w14:textId="77777777" w:rsidR="00E43415" w:rsidRPr="000B7B55" w:rsidRDefault="00E43415" w:rsidP="00E43415">
      <w:pPr>
        <w:rPr>
          <w:szCs w:val="20"/>
        </w:rPr>
      </w:pPr>
      <w:r w:rsidRPr="000B7B55">
        <w:rPr>
          <w:szCs w:val="20"/>
        </w:rPr>
        <w:t xml:space="preserve">The WSA is located within the Greater Western Sydney Employment Area (”GWSEA”), which is expected to comprise approximately 500 hectares of employment land with 12,000 jobs. </w:t>
      </w:r>
    </w:p>
    <w:p w14:paraId="0FE101B1" w14:textId="77777777" w:rsidR="00E43415" w:rsidRPr="000B7B55" w:rsidRDefault="00E43415" w:rsidP="0012604D">
      <w:pPr>
        <w:pStyle w:val="BodyText"/>
        <w:ind w:right="201"/>
        <w:rPr>
          <w:rFonts w:asciiTheme="majorHAnsi" w:hAnsiTheme="majorHAnsi"/>
          <w:spacing w:val="-1"/>
        </w:rPr>
      </w:pPr>
    </w:p>
    <w:p w14:paraId="4DF68ADF" w14:textId="77777777" w:rsidR="0095493E" w:rsidRDefault="00672AC6" w:rsidP="008F2B77">
      <w:pPr>
        <w:pStyle w:val="Heading2"/>
      </w:pPr>
      <w:bookmarkStart w:id="115" w:name="_Toc430896862"/>
      <w:r>
        <w:t>C</w:t>
      </w:r>
      <w:r w:rsidR="0095493E">
        <w:t>onclusion</w:t>
      </w:r>
      <w:bookmarkEnd w:id="115"/>
      <w:r w:rsidR="0095493E">
        <w:t xml:space="preserve"> </w:t>
      </w:r>
    </w:p>
    <w:p w14:paraId="0A93DED8" w14:textId="77777777" w:rsidR="002E433E" w:rsidRDefault="002E433E" w:rsidP="005B36E3">
      <w:pPr>
        <w:rPr>
          <w:rFonts w:asciiTheme="majorHAnsi" w:hAnsiTheme="majorHAnsi"/>
          <w:szCs w:val="20"/>
        </w:rPr>
      </w:pPr>
      <w:r>
        <w:rPr>
          <w:rFonts w:asciiTheme="majorHAnsi" w:hAnsiTheme="majorHAnsi"/>
          <w:szCs w:val="20"/>
        </w:rPr>
        <w:t xml:space="preserve">There are a broad range of </w:t>
      </w:r>
      <w:r w:rsidR="00C90678">
        <w:rPr>
          <w:rFonts w:asciiTheme="majorHAnsi" w:hAnsiTheme="majorHAnsi"/>
          <w:szCs w:val="20"/>
        </w:rPr>
        <w:t xml:space="preserve">proposed </w:t>
      </w:r>
      <w:r>
        <w:rPr>
          <w:rFonts w:asciiTheme="majorHAnsi" w:hAnsiTheme="majorHAnsi"/>
          <w:szCs w:val="20"/>
        </w:rPr>
        <w:t xml:space="preserve">public transport infrastructure projects across </w:t>
      </w:r>
      <w:r w:rsidR="00397F43">
        <w:rPr>
          <w:rFonts w:asciiTheme="majorHAnsi" w:hAnsiTheme="majorHAnsi"/>
          <w:szCs w:val="20"/>
        </w:rPr>
        <w:t xml:space="preserve">major </w:t>
      </w:r>
      <w:r>
        <w:rPr>
          <w:rFonts w:asciiTheme="majorHAnsi" w:hAnsiTheme="majorHAnsi"/>
          <w:szCs w:val="20"/>
        </w:rPr>
        <w:t xml:space="preserve">Australia </w:t>
      </w:r>
      <w:r w:rsidR="00397F43">
        <w:rPr>
          <w:rFonts w:asciiTheme="majorHAnsi" w:hAnsiTheme="majorHAnsi"/>
          <w:szCs w:val="20"/>
        </w:rPr>
        <w:t xml:space="preserve">cities </w:t>
      </w:r>
      <w:r>
        <w:rPr>
          <w:rFonts w:asciiTheme="majorHAnsi" w:hAnsiTheme="majorHAnsi"/>
          <w:szCs w:val="20"/>
        </w:rPr>
        <w:t>which could be planned and developed to incorporat</w:t>
      </w:r>
      <w:r w:rsidR="00397F43">
        <w:rPr>
          <w:rFonts w:asciiTheme="majorHAnsi" w:hAnsiTheme="majorHAnsi"/>
          <w:szCs w:val="20"/>
        </w:rPr>
        <w:t>e value capture mechanisms which would significantly decrease capital costs. Of particular relevance are:</w:t>
      </w:r>
    </w:p>
    <w:p w14:paraId="65D8B7DE" w14:textId="77777777" w:rsidR="00397F43" w:rsidRDefault="00397F43" w:rsidP="005B36E3">
      <w:pPr>
        <w:rPr>
          <w:rFonts w:asciiTheme="majorHAnsi" w:hAnsiTheme="majorHAnsi"/>
          <w:szCs w:val="20"/>
        </w:rPr>
      </w:pPr>
    </w:p>
    <w:p w14:paraId="4612B0B7" w14:textId="55129F8B" w:rsidR="00C90678" w:rsidRPr="00C90678" w:rsidRDefault="00C90678" w:rsidP="00791C11">
      <w:pPr>
        <w:pStyle w:val="ListParagraph"/>
        <w:numPr>
          <w:ilvl w:val="0"/>
          <w:numId w:val="55"/>
        </w:numPr>
        <w:rPr>
          <w:rFonts w:asciiTheme="majorHAnsi" w:hAnsiTheme="majorHAnsi"/>
          <w:szCs w:val="20"/>
        </w:rPr>
      </w:pPr>
      <w:r w:rsidRPr="00780859">
        <w:rPr>
          <w:rFonts w:asciiTheme="majorHAnsi" w:hAnsiTheme="majorHAnsi" w:cs="Arial"/>
          <w:lang w:val="en-AU" w:eastAsia="en-GB"/>
        </w:rPr>
        <w:t xml:space="preserve">AdeLink </w:t>
      </w:r>
      <w:r w:rsidR="0023586C">
        <w:rPr>
          <w:rFonts w:asciiTheme="majorHAnsi" w:hAnsiTheme="majorHAnsi" w:cs="Arial"/>
          <w:lang w:val="en-AU" w:eastAsia="en-GB"/>
        </w:rPr>
        <w:t>L</w:t>
      </w:r>
      <w:r w:rsidRPr="00780859">
        <w:rPr>
          <w:rFonts w:asciiTheme="majorHAnsi" w:hAnsiTheme="majorHAnsi" w:cs="Arial"/>
          <w:lang w:val="en-AU" w:eastAsia="en-GB"/>
        </w:rPr>
        <w:t xml:space="preserve">ight </w:t>
      </w:r>
      <w:r w:rsidR="0023586C">
        <w:rPr>
          <w:rFonts w:asciiTheme="majorHAnsi" w:hAnsiTheme="majorHAnsi" w:cs="Arial"/>
          <w:lang w:val="en-AU" w:eastAsia="en-GB"/>
        </w:rPr>
        <w:t>R</w:t>
      </w:r>
      <w:r w:rsidRPr="00780859">
        <w:rPr>
          <w:rFonts w:asciiTheme="majorHAnsi" w:hAnsiTheme="majorHAnsi" w:cs="Arial"/>
          <w:lang w:val="en-AU" w:eastAsia="en-GB"/>
        </w:rPr>
        <w:t xml:space="preserve">ail </w:t>
      </w:r>
      <w:r w:rsidR="0023586C">
        <w:rPr>
          <w:rFonts w:asciiTheme="majorHAnsi" w:hAnsiTheme="majorHAnsi" w:cs="Arial"/>
          <w:lang w:val="en-AU" w:eastAsia="en-GB"/>
        </w:rPr>
        <w:t>N</w:t>
      </w:r>
      <w:r w:rsidRPr="00780859">
        <w:rPr>
          <w:rFonts w:asciiTheme="majorHAnsi" w:hAnsiTheme="majorHAnsi" w:cs="Arial"/>
          <w:lang w:val="en-AU" w:eastAsia="en-GB"/>
        </w:rPr>
        <w:t xml:space="preserve">etwork </w:t>
      </w:r>
    </w:p>
    <w:p w14:paraId="561239FD" w14:textId="77777777" w:rsidR="00C90678" w:rsidRDefault="00C90678" w:rsidP="00791C11">
      <w:pPr>
        <w:pStyle w:val="ListParagraph"/>
        <w:numPr>
          <w:ilvl w:val="0"/>
          <w:numId w:val="55"/>
        </w:numPr>
      </w:pPr>
      <w:r w:rsidRPr="00E93744">
        <w:t>Cross River Rail</w:t>
      </w:r>
      <w:r>
        <w:t xml:space="preserve"> (Brisbane)</w:t>
      </w:r>
      <w:r w:rsidRPr="00E93744">
        <w:t xml:space="preserve"> </w:t>
      </w:r>
    </w:p>
    <w:p w14:paraId="14479320" w14:textId="24F4A1D8" w:rsidR="00C90678" w:rsidRDefault="00C90678" w:rsidP="00791C11">
      <w:pPr>
        <w:pStyle w:val="ListParagraph"/>
        <w:numPr>
          <w:ilvl w:val="0"/>
          <w:numId w:val="55"/>
        </w:numPr>
      </w:pPr>
      <w:r w:rsidRPr="00E93744">
        <w:t xml:space="preserve">Gold Coast </w:t>
      </w:r>
      <w:r w:rsidR="0023586C">
        <w:t>L</w:t>
      </w:r>
      <w:r w:rsidRPr="00E93744">
        <w:t xml:space="preserve">ight </w:t>
      </w:r>
      <w:r w:rsidR="0023586C">
        <w:t>R</w:t>
      </w:r>
      <w:r w:rsidRPr="00E93744">
        <w:t>ail</w:t>
      </w:r>
      <w:r>
        <w:t xml:space="preserve"> (Stage 2)</w:t>
      </w:r>
      <w:r w:rsidRPr="00E93744">
        <w:t xml:space="preserve"> </w:t>
      </w:r>
    </w:p>
    <w:p w14:paraId="18E401E7" w14:textId="57F19C48" w:rsidR="00C90678" w:rsidRDefault="00C90678" w:rsidP="00791C11">
      <w:pPr>
        <w:pStyle w:val="ListParagraph"/>
        <w:numPr>
          <w:ilvl w:val="0"/>
          <w:numId w:val="55"/>
        </w:numPr>
      </w:pPr>
      <w:r>
        <w:t xml:space="preserve">Brisbane </w:t>
      </w:r>
      <w:r w:rsidR="0023586C">
        <w:t>S</w:t>
      </w:r>
      <w:r>
        <w:t xml:space="preserve">ubway </w:t>
      </w:r>
    </w:p>
    <w:p w14:paraId="7E29B522" w14:textId="77777777" w:rsidR="00397F43" w:rsidRDefault="00397F43" w:rsidP="00791C11">
      <w:pPr>
        <w:pStyle w:val="ListParagraph"/>
        <w:numPr>
          <w:ilvl w:val="0"/>
          <w:numId w:val="55"/>
        </w:numPr>
        <w:rPr>
          <w:rFonts w:asciiTheme="majorHAnsi" w:hAnsiTheme="majorHAnsi"/>
          <w:szCs w:val="20"/>
        </w:rPr>
      </w:pPr>
      <w:r>
        <w:rPr>
          <w:rFonts w:asciiTheme="majorHAnsi" w:hAnsiTheme="majorHAnsi"/>
          <w:szCs w:val="20"/>
        </w:rPr>
        <w:t>Melbourne Metro</w:t>
      </w:r>
    </w:p>
    <w:p w14:paraId="2116DEBA" w14:textId="77777777" w:rsidR="00C90678" w:rsidRDefault="00C90678" w:rsidP="00791C11">
      <w:pPr>
        <w:pStyle w:val="ListParagraph"/>
        <w:numPr>
          <w:ilvl w:val="0"/>
          <w:numId w:val="55"/>
        </w:numPr>
      </w:pPr>
      <w:r>
        <w:t>MAX Light Rail Project (Perth)</w:t>
      </w:r>
    </w:p>
    <w:p w14:paraId="3A00622F" w14:textId="77777777" w:rsidR="000B4E15" w:rsidRDefault="00397F43" w:rsidP="00791C11">
      <w:pPr>
        <w:pStyle w:val="ListParagraph"/>
        <w:numPr>
          <w:ilvl w:val="0"/>
          <w:numId w:val="55"/>
        </w:numPr>
        <w:rPr>
          <w:rFonts w:asciiTheme="majorHAnsi" w:hAnsiTheme="majorHAnsi"/>
          <w:szCs w:val="20"/>
        </w:rPr>
      </w:pPr>
      <w:r>
        <w:rPr>
          <w:rFonts w:asciiTheme="majorHAnsi" w:hAnsiTheme="majorHAnsi"/>
          <w:szCs w:val="20"/>
        </w:rPr>
        <w:t xml:space="preserve">Sydney </w:t>
      </w:r>
      <w:r w:rsidR="00C90678">
        <w:rPr>
          <w:rFonts w:asciiTheme="majorHAnsi" w:hAnsiTheme="majorHAnsi"/>
          <w:szCs w:val="20"/>
        </w:rPr>
        <w:t>Light Rai</w:t>
      </w:r>
      <w:r w:rsidR="0023586C">
        <w:rPr>
          <w:rFonts w:asciiTheme="majorHAnsi" w:hAnsiTheme="majorHAnsi"/>
          <w:szCs w:val="20"/>
        </w:rPr>
        <w:t>l</w:t>
      </w:r>
    </w:p>
    <w:p w14:paraId="056B4557" w14:textId="0DAD7A07" w:rsidR="009531B2" w:rsidRDefault="000B4E15" w:rsidP="00791C11">
      <w:pPr>
        <w:pStyle w:val="ListParagraph"/>
        <w:numPr>
          <w:ilvl w:val="0"/>
          <w:numId w:val="55"/>
        </w:numPr>
        <w:rPr>
          <w:rFonts w:asciiTheme="majorHAnsi" w:hAnsiTheme="majorHAnsi"/>
          <w:szCs w:val="20"/>
        </w:rPr>
      </w:pPr>
      <w:r>
        <w:rPr>
          <w:rFonts w:asciiTheme="majorHAnsi" w:hAnsiTheme="majorHAnsi"/>
          <w:szCs w:val="20"/>
        </w:rPr>
        <w:t>Western Sydney Airport rail link</w:t>
      </w:r>
      <w:r w:rsidR="009531B2">
        <w:rPr>
          <w:rFonts w:asciiTheme="majorHAnsi" w:hAnsiTheme="majorHAnsi"/>
          <w:szCs w:val="20"/>
        </w:rPr>
        <w:t>.</w:t>
      </w:r>
    </w:p>
    <w:p w14:paraId="7F4FBDD1" w14:textId="77777777" w:rsidR="009531B2" w:rsidRDefault="009531B2" w:rsidP="009531B2">
      <w:pPr>
        <w:rPr>
          <w:rFonts w:asciiTheme="majorHAnsi" w:hAnsiTheme="majorHAnsi"/>
          <w:szCs w:val="20"/>
        </w:rPr>
      </w:pPr>
    </w:p>
    <w:p w14:paraId="3132095E" w14:textId="77777777" w:rsidR="009531B2" w:rsidRDefault="009531B2" w:rsidP="009531B2">
      <w:pPr>
        <w:rPr>
          <w:rFonts w:asciiTheme="majorHAnsi" w:hAnsiTheme="majorHAnsi"/>
          <w:szCs w:val="20"/>
        </w:rPr>
      </w:pPr>
      <w:r w:rsidRPr="009531B2">
        <w:rPr>
          <w:rFonts w:asciiTheme="majorHAnsi" w:hAnsiTheme="majorHAnsi"/>
          <w:szCs w:val="20"/>
        </w:rPr>
        <w:t xml:space="preserve">These projects </w:t>
      </w:r>
      <w:r>
        <w:rPr>
          <w:rFonts w:asciiTheme="majorHAnsi" w:hAnsiTheme="majorHAnsi"/>
          <w:szCs w:val="20"/>
        </w:rPr>
        <w:t xml:space="preserve">all have the potential to introduce value capture mechanisms to offset the upfront capital cost of building new public transport infrastructure. </w:t>
      </w:r>
    </w:p>
    <w:p w14:paraId="679E1A29" w14:textId="77777777" w:rsidR="009531B2" w:rsidRDefault="009531B2" w:rsidP="009531B2">
      <w:pPr>
        <w:rPr>
          <w:rFonts w:asciiTheme="majorHAnsi" w:hAnsiTheme="majorHAnsi"/>
          <w:szCs w:val="20"/>
        </w:rPr>
      </w:pPr>
    </w:p>
    <w:p w14:paraId="375E8DE2" w14:textId="77777777" w:rsidR="00397F43" w:rsidRPr="00397F43" w:rsidRDefault="009531B2" w:rsidP="009531B2">
      <w:pPr>
        <w:rPr>
          <w:rFonts w:asciiTheme="majorHAnsi" w:hAnsiTheme="majorHAnsi"/>
          <w:szCs w:val="20"/>
        </w:rPr>
      </w:pPr>
      <w:r>
        <w:rPr>
          <w:rFonts w:asciiTheme="majorHAnsi" w:hAnsiTheme="majorHAnsi"/>
          <w:szCs w:val="20"/>
        </w:rPr>
        <w:t>Value capture mechanisms should form an integral part of project development with full integration of proposed measures into the business case as per the examples of Crossrail and Hudson Yards.</w:t>
      </w:r>
    </w:p>
    <w:p w14:paraId="4175DBA9" w14:textId="77777777" w:rsidR="00397F43" w:rsidRPr="00397F43" w:rsidRDefault="00397F43" w:rsidP="00791C11">
      <w:pPr>
        <w:pStyle w:val="ListParagraph"/>
        <w:numPr>
          <w:ilvl w:val="0"/>
          <w:numId w:val="54"/>
        </w:numPr>
        <w:rPr>
          <w:rFonts w:asciiTheme="majorHAnsi" w:hAnsiTheme="majorHAnsi"/>
          <w:szCs w:val="20"/>
        </w:rPr>
        <w:sectPr w:rsidR="00397F43" w:rsidRPr="00397F43" w:rsidSect="00B6347F">
          <w:footerReference w:type="default" r:id="rId43"/>
          <w:pgSz w:w="11910" w:h="16840"/>
          <w:pgMar w:top="1580" w:right="1600" w:bottom="1060" w:left="1600" w:header="0" w:footer="907" w:gutter="0"/>
          <w:pgNumType w:start="3"/>
          <w:cols w:space="720"/>
          <w:docGrid w:linePitch="272"/>
        </w:sectPr>
      </w:pPr>
    </w:p>
    <w:p w14:paraId="6178C3F3" w14:textId="77777777" w:rsidR="009A5B2D" w:rsidRDefault="00496F6D" w:rsidP="009A5B2D">
      <w:pPr>
        <w:pStyle w:val="Heading1"/>
      </w:pPr>
      <w:bookmarkStart w:id="116" w:name="_Toc430896863"/>
      <w:r>
        <w:lastRenderedPageBreak/>
        <w:t>embedding value capture</w:t>
      </w:r>
      <w:r w:rsidR="008E6B27">
        <w:t xml:space="preserve"> in australia</w:t>
      </w:r>
      <w:bookmarkEnd w:id="116"/>
      <w:r>
        <w:t xml:space="preserve"> </w:t>
      </w:r>
    </w:p>
    <w:p w14:paraId="71022E25" w14:textId="77777777" w:rsidR="008C3AB0" w:rsidRDefault="008C3AB0" w:rsidP="008C3AB0">
      <w:pPr>
        <w:pStyle w:val="BodyText"/>
        <w:spacing w:line="247" w:lineRule="auto"/>
        <w:ind w:left="0" w:right="-1"/>
        <w:rPr>
          <w:rFonts w:asciiTheme="minorHAnsi" w:hAnsiTheme="minorHAnsi"/>
          <w:color w:val="231F20"/>
          <w:w w:val="105"/>
        </w:rPr>
      </w:pPr>
    </w:p>
    <w:p w14:paraId="7BB13EB8" w14:textId="44304B1E" w:rsidR="008C3AB0" w:rsidRPr="00E4454D" w:rsidRDefault="008C3AB0" w:rsidP="00E4454D">
      <w:r w:rsidRPr="00E4454D">
        <w:t>An Australian value capture system would require an active partnership of Commonwealth, state and local governments</w:t>
      </w:r>
      <w:r w:rsidR="00265FA3" w:rsidRPr="00E4454D">
        <w:t xml:space="preserve"> to ensure that v</w:t>
      </w:r>
      <w:r w:rsidRPr="00E4454D">
        <w:t xml:space="preserve">alue capture principles </w:t>
      </w:r>
      <w:r w:rsidR="00265FA3" w:rsidRPr="00E4454D">
        <w:t>and mechanisms were</w:t>
      </w:r>
      <w:r w:rsidRPr="00E4454D">
        <w:t xml:space="preserve"> integrated into procurement strategies, taxation systems and land use planning across jurisdictions. The national consistency achieved by Infrastructure Australia </w:t>
      </w:r>
      <w:r w:rsidR="00D0057A">
        <w:t xml:space="preserve">and COAG </w:t>
      </w:r>
      <w:r w:rsidRPr="00E4454D">
        <w:t>in relation to PPPs would need to be extended to value capture</w:t>
      </w:r>
      <w:r w:rsidR="00AE6114">
        <w:t xml:space="preserve"> so that there was a level playing field and a system in place to reward innovation</w:t>
      </w:r>
      <w:r w:rsidRPr="00E4454D">
        <w:t xml:space="preserve">. </w:t>
      </w:r>
    </w:p>
    <w:p w14:paraId="59C00DA8" w14:textId="77777777" w:rsidR="008C3AB0" w:rsidRPr="00E4454D" w:rsidRDefault="008C3AB0" w:rsidP="00E4454D"/>
    <w:p w14:paraId="37D8C6C4" w14:textId="650FF76C" w:rsidR="008C3AB0" w:rsidRPr="00E4454D" w:rsidRDefault="008C3AB0" w:rsidP="00E4454D">
      <w:r w:rsidRPr="00E4454D">
        <w:t xml:space="preserve">Examining value capture opportunities should become a standard and accepted part of every public transport infrastructure proposal in Australia. Every proposal should be required to examine a full </w:t>
      </w:r>
      <w:r w:rsidR="005454AE" w:rsidRPr="00E4454D">
        <w:t>suite</w:t>
      </w:r>
      <w:r w:rsidRPr="00E4454D">
        <w:t xml:space="preserve"> of value capture options in </w:t>
      </w:r>
      <w:r w:rsidR="008901F8" w:rsidRPr="00E4454D">
        <w:t>the</w:t>
      </w:r>
      <w:r w:rsidRPr="00E4454D">
        <w:t xml:space="preserve"> business case and develop an appropriate, integrated set of value capture mechanisms that can be implemented to help fund the project. Forecasts of economic benefit</w:t>
      </w:r>
      <w:r w:rsidR="0037478A" w:rsidRPr="00E4454D">
        <w:t>s</w:t>
      </w:r>
      <w:r w:rsidRPr="00E4454D">
        <w:t xml:space="preserve">, uplift in property values and capital funding </w:t>
      </w:r>
      <w:r w:rsidR="0037478A" w:rsidRPr="00E4454D">
        <w:t>levels from</w:t>
      </w:r>
      <w:r w:rsidRPr="00E4454D">
        <w:t xml:space="preserve"> value capture should be </w:t>
      </w:r>
      <w:r w:rsidR="009142CA" w:rsidRPr="00E4454D">
        <w:t>incorporated into</w:t>
      </w:r>
      <w:r w:rsidRPr="00E4454D">
        <w:t xml:space="preserve"> the economic and financial appraisal</w:t>
      </w:r>
      <w:r w:rsidR="0037478A" w:rsidRPr="00E4454D">
        <w:t>s</w:t>
      </w:r>
      <w:r w:rsidRPr="00E4454D">
        <w:t xml:space="preserve"> of </w:t>
      </w:r>
      <w:r w:rsidR="0037478A" w:rsidRPr="00E4454D">
        <w:t xml:space="preserve">all public transport infrastructure </w:t>
      </w:r>
      <w:r w:rsidR="009142CA" w:rsidRPr="00E4454D">
        <w:t>proposals</w:t>
      </w:r>
      <w:r w:rsidRPr="00E4454D">
        <w:t xml:space="preserve">. </w:t>
      </w:r>
    </w:p>
    <w:p w14:paraId="124E13CA" w14:textId="77777777" w:rsidR="0037478A" w:rsidRPr="00E4454D" w:rsidRDefault="0037478A" w:rsidP="00E4454D"/>
    <w:p w14:paraId="22A912B5" w14:textId="53A51E42" w:rsidR="0037478A" w:rsidRDefault="00A762D0" w:rsidP="00E4454D">
      <w:r w:rsidRPr="00E4454D">
        <w:t>T</w:t>
      </w:r>
      <w:r w:rsidR="0037478A" w:rsidRPr="00E4454D">
        <w:t>he Commonwealth Government</w:t>
      </w:r>
      <w:r w:rsidRPr="00E4454D">
        <w:t xml:space="preserve"> </w:t>
      </w:r>
      <w:r w:rsidR="00DC57AF">
        <w:t>should</w:t>
      </w:r>
      <w:r w:rsidR="00CE2278" w:rsidRPr="00E4454D">
        <w:t xml:space="preserve"> encourage value capture by </w:t>
      </w:r>
      <w:r w:rsidR="0037478A" w:rsidRPr="00E4454D">
        <w:t>provid</w:t>
      </w:r>
      <w:r w:rsidR="00CE2278" w:rsidRPr="00E4454D">
        <w:t>in</w:t>
      </w:r>
      <w:r w:rsidR="004D799A" w:rsidRPr="00E4454D">
        <w:t>g financial</w:t>
      </w:r>
      <w:r w:rsidR="0037478A" w:rsidRPr="00E4454D">
        <w:t xml:space="preserve"> incentives for </w:t>
      </w:r>
      <w:r w:rsidR="00CE2278" w:rsidRPr="00E4454D">
        <w:t xml:space="preserve">state </w:t>
      </w:r>
      <w:r w:rsidR="004D799A" w:rsidRPr="00E4454D">
        <w:t xml:space="preserve">and local </w:t>
      </w:r>
      <w:r w:rsidR="0037478A" w:rsidRPr="00E4454D">
        <w:t xml:space="preserve">governments </w:t>
      </w:r>
      <w:r w:rsidR="004D799A" w:rsidRPr="00E4454D">
        <w:t>that incorporated value capture mechanisms into new</w:t>
      </w:r>
      <w:r w:rsidRPr="00E4454D">
        <w:t xml:space="preserve"> public transport infrastructure </w:t>
      </w:r>
      <w:r w:rsidR="004D799A" w:rsidRPr="00E4454D">
        <w:t>proposals</w:t>
      </w:r>
      <w:r w:rsidR="0037478A" w:rsidRPr="00E4454D">
        <w:t xml:space="preserve">. </w:t>
      </w:r>
      <w:r w:rsidR="004D799A" w:rsidRPr="00E4454D">
        <w:t>This could</w:t>
      </w:r>
      <w:r w:rsidR="00113BF5" w:rsidRPr="00E4454D">
        <w:t xml:space="preserve"> operate on a dollar-for-dollar</w:t>
      </w:r>
      <w:r w:rsidR="004D799A" w:rsidRPr="00E4454D">
        <w:t>,</w:t>
      </w:r>
      <w:r w:rsidR="00113BF5" w:rsidRPr="00E4454D">
        <w:t xml:space="preserve"> co-funding basis as with the Asset Recycling Program currently being pursued by the Commonwealth Government.</w:t>
      </w:r>
      <w:r w:rsidR="00DC57AF">
        <w:t xml:space="preserve"> Infrastructure Australia is the obvious vehicle for promoting value capture as an integral part of public transport infrastructure development across the nation.</w:t>
      </w:r>
    </w:p>
    <w:p w14:paraId="4B3F65D9" w14:textId="038FC5D6" w:rsidR="008C3AB0" w:rsidRPr="00E4454D" w:rsidRDefault="00E0194E" w:rsidP="008F2B77">
      <w:pPr>
        <w:pStyle w:val="Heading2"/>
      </w:pPr>
      <w:bookmarkStart w:id="117" w:name="_Toc430896864"/>
      <w:r>
        <w:t>Value Capture Core Criteria</w:t>
      </w:r>
      <w:bookmarkEnd w:id="117"/>
    </w:p>
    <w:p w14:paraId="5A33033B" w14:textId="19CD7FFE" w:rsidR="008C3AB0" w:rsidRPr="00E4454D" w:rsidRDefault="008C3AB0" w:rsidP="00E4454D">
      <w:r w:rsidRPr="00E4454D">
        <w:t xml:space="preserve">SGS has developed </w:t>
      </w:r>
      <w:r w:rsidR="00DC57AF">
        <w:t xml:space="preserve">a set of basic </w:t>
      </w:r>
      <w:r w:rsidRPr="00E4454D">
        <w:t>Value Capture evaluation criteria for Australia</w:t>
      </w:r>
      <w:r w:rsidR="00DC57AF">
        <w:t>n public transport infrastructure proposals. They could be used as a checklist for the development of detailed strategies. The core criteria are:</w:t>
      </w:r>
    </w:p>
    <w:p w14:paraId="720FE09F" w14:textId="77777777" w:rsidR="000B500A" w:rsidRDefault="000B500A" w:rsidP="008C3AB0"/>
    <w:p w14:paraId="66292D12" w14:textId="77777777" w:rsidR="000B500A" w:rsidRPr="000B500A" w:rsidRDefault="009E232C" w:rsidP="008C3AB0">
      <w:pPr>
        <w:rPr>
          <w:b/>
        </w:rPr>
      </w:pPr>
      <w:r>
        <w:rPr>
          <w:b/>
        </w:rPr>
        <w:t xml:space="preserve">Policy, </w:t>
      </w:r>
      <w:r w:rsidR="000B500A">
        <w:rPr>
          <w:b/>
        </w:rPr>
        <w:t xml:space="preserve">Planning &amp; </w:t>
      </w:r>
      <w:r w:rsidR="000B500A" w:rsidRPr="000B500A">
        <w:rPr>
          <w:b/>
        </w:rPr>
        <w:t>Governance</w:t>
      </w:r>
    </w:p>
    <w:p w14:paraId="54B2E860" w14:textId="77777777" w:rsidR="009E232C" w:rsidRPr="009663E9" w:rsidRDefault="009E232C" w:rsidP="00791C11">
      <w:pPr>
        <w:pStyle w:val="ListParagraph"/>
        <w:numPr>
          <w:ilvl w:val="0"/>
          <w:numId w:val="31"/>
        </w:numPr>
        <w:spacing w:line="280" w:lineRule="atLeast"/>
        <w:rPr>
          <w:rFonts w:eastAsia="Times"/>
        </w:rPr>
      </w:pPr>
      <w:r>
        <w:t>Alignment with government policy objectives</w:t>
      </w:r>
    </w:p>
    <w:p w14:paraId="6E8986BC" w14:textId="77777777" w:rsidR="000B500A" w:rsidRPr="009663E9" w:rsidRDefault="000B500A" w:rsidP="00791C11">
      <w:pPr>
        <w:pStyle w:val="ListParagraph"/>
        <w:numPr>
          <w:ilvl w:val="0"/>
          <w:numId w:val="31"/>
        </w:numPr>
        <w:spacing w:line="280" w:lineRule="atLeast"/>
        <w:rPr>
          <w:rFonts w:eastAsia="Times"/>
        </w:rPr>
      </w:pPr>
      <w:r w:rsidRPr="009663E9">
        <w:rPr>
          <w:rFonts w:eastAsia="Times"/>
        </w:rPr>
        <w:t xml:space="preserve">Part of a comprehensive urban plan </w:t>
      </w:r>
    </w:p>
    <w:p w14:paraId="2D02CEA9" w14:textId="77777777" w:rsidR="000B500A" w:rsidRPr="009663E9" w:rsidRDefault="00C67A54" w:rsidP="00791C11">
      <w:pPr>
        <w:pStyle w:val="ListParagraph"/>
        <w:numPr>
          <w:ilvl w:val="0"/>
          <w:numId w:val="31"/>
        </w:numPr>
        <w:spacing w:line="280" w:lineRule="atLeast"/>
        <w:rPr>
          <w:rFonts w:eastAsia="Times"/>
        </w:rPr>
      </w:pPr>
      <w:r w:rsidRPr="009663E9">
        <w:rPr>
          <w:rFonts w:eastAsia="Times"/>
        </w:rPr>
        <w:t>D</w:t>
      </w:r>
      <w:r w:rsidR="000B500A" w:rsidRPr="009663E9">
        <w:rPr>
          <w:rFonts w:eastAsia="Times"/>
        </w:rPr>
        <w:t>esignated project priority in an infrastructure investment framework</w:t>
      </w:r>
    </w:p>
    <w:p w14:paraId="5FBF06AE" w14:textId="77777777" w:rsidR="000B500A" w:rsidRPr="009663E9" w:rsidRDefault="000B500A" w:rsidP="00791C11">
      <w:pPr>
        <w:pStyle w:val="ListParagraph"/>
        <w:numPr>
          <w:ilvl w:val="0"/>
          <w:numId w:val="31"/>
        </w:numPr>
        <w:spacing w:line="280" w:lineRule="atLeast"/>
        <w:rPr>
          <w:rFonts w:eastAsia="Times"/>
        </w:rPr>
      </w:pPr>
      <w:r>
        <w:t>Clear governance framework with well-defined roles</w:t>
      </w:r>
    </w:p>
    <w:p w14:paraId="3E702085" w14:textId="77777777" w:rsidR="008C3AB0" w:rsidRDefault="008C3AB0" w:rsidP="008C3AB0">
      <w:pPr>
        <w:pStyle w:val="Heading4"/>
        <w:rPr>
          <w:rFonts w:eastAsia="Times"/>
        </w:rPr>
      </w:pPr>
      <w:r>
        <w:rPr>
          <w:rFonts w:eastAsia="Times"/>
        </w:rPr>
        <w:t xml:space="preserve">Practicality </w:t>
      </w:r>
    </w:p>
    <w:p w14:paraId="6E9C69F4" w14:textId="77777777" w:rsidR="008C3AB0" w:rsidRPr="009663E9" w:rsidRDefault="008C3AB0" w:rsidP="00791C11">
      <w:pPr>
        <w:pStyle w:val="ListParagraph"/>
        <w:numPr>
          <w:ilvl w:val="0"/>
          <w:numId w:val="32"/>
        </w:numPr>
        <w:spacing w:line="280" w:lineRule="atLeast"/>
        <w:rPr>
          <w:rFonts w:eastAsia="Times"/>
        </w:rPr>
      </w:pPr>
      <w:r>
        <w:t xml:space="preserve">Ability to use existing legislation </w:t>
      </w:r>
      <w:r w:rsidR="00D45037">
        <w:t>or easily-amended legislation</w:t>
      </w:r>
    </w:p>
    <w:p w14:paraId="0199951A" w14:textId="77777777" w:rsidR="008C3AB0" w:rsidRDefault="008C3AB0" w:rsidP="00791C11">
      <w:pPr>
        <w:pStyle w:val="ListParagraph"/>
        <w:numPr>
          <w:ilvl w:val="0"/>
          <w:numId w:val="32"/>
        </w:numPr>
        <w:spacing w:line="280" w:lineRule="atLeast"/>
      </w:pPr>
      <w:r>
        <w:t xml:space="preserve">Ability to use existing institutions for revenue collection </w:t>
      </w:r>
    </w:p>
    <w:p w14:paraId="7BF9C9CD" w14:textId="77777777" w:rsidR="00954064" w:rsidRDefault="00954064" w:rsidP="00791C11">
      <w:pPr>
        <w:pStyle w:val="ListParagraph"/>
        <w:numPr>
          <w:ilvl w:val="0"/>
          <w:numId w:val="32"/>
        </w:numPr>
        <w:spacing w:line="280" w:lineRule="atLeast"/>
      </w:pPr>
      <w:r>
        <w:t>Capacity to consolidate land parcels to optimise urban renewal outcomes and funding</w:t>
      </w:r>
      <w:r w:rsidR="00EB5D4E">
        <w:t xml:space="preserve"> potential</w:t>
      </w:r>
    </w:p>
    <w:p w14:paraId="38BFC8FE" w14:textId="77777777" w:rsidR="008C3AB0" w:rsidRDefault="008C3AB0" w:rsidP="00791C11">
      <w:pPr>
        <w:pStyle w:val="ListParagraph"/>
        <w:numPr>
          <w:ilvl w:val="0"/>
          <w:numId w:val="32"/>
        </w:numPr>
        <w:spacing w:line="280" w:lineRule="atLeast"/>
      </w:pPr>
      <w:r>
        <w:t xml:space="preserve">Successful </w:t>
      </w:r>
      <w:r w:rsidR="00B8380B">
        <w:t>precedents</w:t>
      </w:r>
      <w:r>
        <w:t xml:space="preserve"> in deploying similar mechanisms elsewhere in Australia and/or globally </w:t>
      </w:r>
    </w:p>
    <w:p w14:paraId="308E7F88" w14:textId="77777777" w:rsidR="008C3AB0" w:rsidRDefault="008C3AB0" w:rsidP="008C3AB0">
      <w:pPr>
        <w:pStyle w:val="Heading4"/>
        <w:tabs>
          <w:tab w:val="left" w:pos="2325"/>
        </w:tabs>
        <w:rPr>
          <w:rFonts w:eastAsia="Times"/>
        </w:rPr>
      </w:pPr>
      <w:r>
        <w:rPr>
          <w:rFonts w:eastAsia="Times"/>
        </w:rPr>
        <w:t xml:space="preserve">Revenue </w:t>
      </w:r>
      <w:r w:rsidR="00E06A01">
        <w:rPr>
          <w:rFonts w:eastAsia="Times"/>
        </w:rPr>
        <w:t xml:space="preserve">&amp; </w:t>
      </w:r>
      <w:r>
        <w:rPr>
          <w:rFonts w:eastAsia="Times"/>
        </w:rPr>
        <w:t xml:space="preserve">Yield </w:t>
      </w:r>
      <w:r>
        <w:rPr>
          <w:rFonts w:eastAsia="Times"/>
        </w:rPr>
        <w:tab/>
      </w:r>
    </w:p>
    <w:p w14:paraId="65BF5447" w14:textId="77777777" w:rsidR="008C3AB0" w:rsidRDefault="008C3AB0" w:rsidP="00791C11">
      <w:pPr>
        <w:pStyle w:val="ListParagraph"/>
        <w:numPr>
          <w:ilvl w:val="0"/>
          <w:numId w:val="33"/>
        </w:numPr>
        <w:spacing w:line="280" w:lineRule="atLeast"/>
        <w:rPr>
          <w:rFonts w:eastAsia="Times"/>
        </w:rPr>
      </w:pPr>
      <w:r>
        <w:t xml:space="preserve">Potential to recover a substantial % of </w:t>
      </w:r>
      <w:r w:rsidR="00723605">
        <w:t>projects</w:t>
      </w:r>
      <w:r>
        <w:t xml:space="preserve"> costs </w:t>
      </w:r>
    </w:p>
    <w:p w14:paraId="781119C1" w14:textId="77777777" w:rsidR="009663E9" w:rsidRDefault="008C3AB0" w:rsidP="00791C11">
      <w:pPr>
        <w:pStyle w:val="ListParagraph"/>
        <w:numPr>
          <w:ilvl w:val="0"/>
          <w:numId w:val="33"/>
        </w:numPr>
        <w:spacing w:line="280" w:lineRule="atLeast"/>
      </w:pPr>
      <w:r>
        <w:t>Favourable cash flow characteristics (continuous predictable flow as distinct from intermittent receipts)  and sensitivity to time horizons</w:t>
      </w:r>
      <w:r w:rsidR="009663E9" w:rsidRPr="009663E9">
        <w:t xml:space="preserve"> </w:t>
      </w:r>
    </w:p>
    <w:p w14:paraId="43160BE1" w14:textId="77777777" w:rsidR="00E06A01" w:rsidRDefault="009663E9" w:rsidP="00791C11">
      <w:pPr>
        <w:pStyle w:val="ListParagraph"/>
        <w:numPr>
          <w:ilvl w:val="0"/>
          <w:numId w:val="33"/>
        </w:numPr>
        <w:spacing w:line="280" w:lineRule="atLeast"/>
      </w:pPr>
      <w:r>
        <w:lastRenderedPageBreak/>
        <w:t>Ability of the mechanism to capture new funds (not just re-distribute existing revenue)</w:t>
      </w:r>
    </w:p>
    <w:p w14:paraId="3FD29FDD" w14:textId="77777777" w:rsidR="005807C6" w:rsidRDefault="00E06A01" w:rsidP="00791C11">
      <w:pPr>
        <w:pStyle w:val="ListParagraph"/>
        <w:numPr>
          <w:ilvl w:val="0"/>
          <w:numId w:val="33"/>
        </w:numPr>
        <w:spacing w:line="280" w:lineRule="atLeast"/>
      </w:pPr>
      <w:r>
        <w:t xml:space="preserve">Achieving target yield </w:t>
      </w:r>
      <w:r w:rsidR="005807C6">
        <w:t xml:space="preserve">and risk profiles </w:t>
      </w:r>
      <w:r>
        <w:t>for investors</w:t>
      </w:r>
      <w:r w:rsidR="009D7EDC">
        <w:t xml:space="preserve"> </w:t>
      </w:r>
    </w:p>
    <w:p w14:paraId="0E4BB50F" w14:textId="77777777" w:rsidR="008C3AB0" w:rsidRDefault="005807C6" w:rsidP="00791C11">
      <w:pPr>
        <w:pStyle w:val="ListParagraph"/>
        <w:numPr>
          <w:ilvl w:val="0"/>
          <w:numId w:val="33"/>
        </w:numPr>
        <w:spacing w:line="280" w:lineRule="atLeast"/>
      </w:pPr>
      <w:r>
        <w:t>B</w:t>
      </w:r>
      <w:r w:rsidR="009D7EDC">
        <w:t xml:space="preserve">uilding a sustainable market for the </w:t>
      </w:r>
      <w:r>
        <w:t xml:space="preserve">investment </w:t>
      </w:r>
      <w:r w:rsidR="009D7EDC">
        <w:t>product</w:t>
      </w:r>
      <w:r w:rsidR="009663E9">
        <w:t xml:space="preserve">. </w:t>
      </w:r>
    </w:p>
    <w:p w14:paraId="096DB6C7" w14:textId="77777777" w:rsidR="008C3AB0" w:rsidRDefault="008C3AB0" w:rsidP="008C3AB0">
      <w:pPr>
        <w:pStyle w:val="Heading4"/>
        <w:rPr>
          <w:rFonts w:eastAsia="Times"/>
        </w:rPr>
      </w:pPr>
      <w:r>
        <w:rPr>
          <w:rFonts w:eastAsia="Times"/>
        </w:rPr>
        <w:t xml:space="preserve">Equity </w:t>
      </w:r>
    </w:p>
    <w:p w14:paraId="510997DB" w14:textId="0C81C921" w:rsidR="00C32AFF" w:rsidRPr="00C32AFF" w:rsidRDefault="00C32AFF" w:rsidP="00791C11">
      <w:pPr>
        <w:pStyle w:val="ListParagraph"/>
        <w:numPr>
          <w:ilvl w:val="0"/>
          <w:numId w:val="34"/>
        </w:numPr>
        <w:spacing w:line="280" w:lineRule="atLeast"/>
        <w:ind w:left="360"/>
        <w:rPr>
          <w:rFonts w:eastAsia="Times"/>
        </w:rPr>
      </w:pPr>
      <w:r>
        <w:t xml:space="preserve">Deployment of a suite of mechanisms </w:t>
      </w:r>
      <w:r w:rsidR="00C52DFA">
        <w:t xml:space="preserve">to spread the impact - </w:t>
      </w:r>
      <w:r>
        <w:t>rather than reliance on a single mechanism</w:t>
      </w:r>
      <w:r w:rsidR="0076751E">
        <w:t xml:space="preserve"> </w:t>
      </w:r>
    </w:p>
    <w:p w14:paraId="781382CC" w14:textId="77777777" w:rsidR="008C3AB0" w:rsidRDefault="008C3AB0" w:rsidP="00791C11">
      <w:pPr>
        <w:pStyle w:val="ListParagraph"/>
        <w:numPr>
          <w:ilvl w:val="0"/>
          <w:numId w:val="34"/>
        </w:numPr>
        <w:spacing w:line="280" w:lineRule="atLeast"/>
        <w:ind w:left="360"/>
        <w:rPr>
          <w:rFonts w:eastAsia="Times"/>
        </w:rPr>
      </w:pPr>
      <w:r>
        <w:t xml:space="preserve">Avoid inconsistent tax treatment of similarly placed land owners or development proponents </w:t>
      </w:r>
    </w:p>
    <w:p w14:paraId="1F8DCEF0" w14:textId="77777777" w:rsidR="008C3AB0" w:rsidRDefault="008C3AB0" w:rsidP="00791C11">
      <w:pPr>
        <w:pStyle w:val="ListParagraph"/>
        <w:numPr>
          <w:ilvl w:val="0"/>
          <w:numId w:val="34"/>
        </w:numPr>
        <w:spacing w:line="280" w:lineRule="atLeast"/>
        <w:ind w:left="360"/>
      </w:pPr>
      <w:r>
        <w:t xml:space="preserve">Avoid ‘double dipping’ alongside other infrastructure funding mechanisms </w:t>
      </w:r>
    </w:p>
    <w:p w14:paraId="1E48865C" w14:textId="77777777" w:rsidR="008C3AB0" w:rsidRDefault="008C3AB0" w:rsidP="00791C11">
      <w:pPr>
        <w:pStyle w:val="ListParagraph"/>
        <w:numPr>
          <w:ilvl w:val="0"/>
          <w:numId w:val="34"/>
        </w:numPr>
        <w:spacing w:line="280" w:lineRule="atLeast"/>
        <w:ind w:left="360"/>
      </w:pPr>
      <w:r>
        <w:t>Avoidance of perverse incentives</w:t>
      </w:r>
      <w:r w:rsidR="0076751E">
        <w:t xml:space="preserve"> or</w:t>
      </w:r>
      <w:r>
        <w:t xml:space="preserve"> investment distortions</w:t>
      </w:r>
      <w:r w:rsidR="009663E9">
        <w:t>.</w:t>
      </w:r>
      <w:r>
        <w:t xml:space="preserve"> </w:t>
      </w:r>
    </w:p>
    <w:p w14:paraId="5F574199" w14:textId="77777777" w:rsidR="008C3AB0" w:rsidRPr="00E4454D" w:rsidRDefault="008C3AB0" w:rsidP="00E4454D"/>
    <w:p w14:paraId="317C840B" w14:textId="77777777" w:rsidR="00800873" w:rsidRPr="00E4454D" w:rsidRDefault="008C3AB0" w:rsidP="00E4454D">
      <w:r w:rsidRPr="00E4454D">
        <w:t xml:space="preserve">International experience demonstrates that well planned public transport can lift property values by up to 50%. </w:t>
      </w:r>
      <w:r w:rsidR="00EF283D" w:rsidRPr="00E4454D">
        <w:t>The contribution that value capture programs can make to capital cost</w:t>
      </w:r>
      <w:r w:rsidR="00582267" w:rsidRPr="00E4454D">
        <w:t>s</w:t>
      </w:r>
      <w:r w:rsidR="00EF283D" w:rsidRPr="00E4454D">
        <w:t xml:space="preserve"> as a result of </w:t>
      </w:r>
      <w:r w:rsidR="00800873" w:rsidRPr="00E4454D">
        <w:t xml:space="preserve">capturing a fair proportion of </w:t>
      </w:r>
      <w:r w:rsidR="00EF283D" w:rsidRPr="00E4454D">
        <w:t xml:space="preserve">value uplift </w:t>
      </w:r>
      <w:r w:rsidR="00800873" w:rsidRPr="00E4454D">
        <w:t>will vary</w:t>
      </w:r>
      <w:r w:rsidR="00EF283D" w:rsidRPr="00E4454D">
        <w:t xml:space="preserve"> depending upon the nature of the project, the value capture method u</w:t>
      </w:r>
      <w:r w:rsidR="00800873" w:rsidRPr="00E4454D">
        <w:t>tilised</w:t>
      </w:r>
      <w:r w:rsidR="00EF283D" w:rsidRPr="00E4454D">
        <w:t xml:space="preserve"> and their complexity. </w:t>
      </w:r>
    </w:p>
    <w:p w14:paraId="10E25E55" w14:textId="77777777" w:rsidR="00800873" w:rsidRPr="00E4454D" w:rsidRDefault="00800873" w:rsidP="00E4454D"/>
    <w:p w14:paraId="5749AF88" w14:textId="6B055490" w:rsidR="00E71A87" w:rsidRPr="00E4454D" w:rsidRDefault="007D116B" w:rsidP="00E4454D">
      <w:r w:rsidRPr="00E4454D">
        <w:t>Clearly, value capture’s potential contribution has a wide range.</w:t>
      </w:r>
      <w:r w:rsidR="0023586C">
        <w:t xml:space="preserve"> For example,</w:t>
      </w:r>
      <w:r w:rsidRPr="00E4454D">
        <w:t xml:space="preserve"> </w:t>
      </w:r>
      <w:r w:rsidR="0023586C">
        <w:t>u</w:t>
      </w:r>
      <w:r w:rsidRPr="00E4454D">
        <w:t xml:space="preserve">sing a fully integrated transport operating and property development model in a densely developed urban environment, Hong Kong’s public transport system pays for itself. </w:t>
      </w:r>
    </w:p>
    <w:p w14:paraId="40DFC747" w14:textId="77777777" w:rsidR="00E71A87" w:rsidRPr="00E4454D" w:rsidRDefault="00E71A87" w:rsidP="00E4454D"/>
    <w:p w14:paraId="63ECC496" w14:textId="77777777" w:rsidR="007D116B" w:rsidRPr="00E4454D" w:rsidRDefault="007D116B" w:rsidP="00E4454D">
      <w:r w:rsidRPr="00E4454D">
        <w:t xml:space="preserve">Given international experience in less densely developed cities in North America and Europe, it is reasonable to assume that a well-conceived and managed value capture program in Australia could contribute </w:t>
      </w:r>
      <w:r w:rsidRPr="000F3CF7">
        <w:t>between 10% and 30% of directly</w:t>
      </w:r>
      <w:r w:rsidRPr="00E4454D">
        <w:t xml:space="preserve"> related infrastructure costs within a defined improvement district. </w:t>
      </w:r>
    </w:p>
    <w:p w14:paraId="1B1AA213" w14:textId="20E8CFAA" w:rsidR="00EE4326" w:rsidRDefault="00EE4326" w:rsidP="008F2B77">
      <w:pPr>
        <w:pStyle w:val="Heading2"/>
      </w:pPr>
      <w:bookmarkStart w:id="118" w:name="_Toc430896865"/>
      <w:r>
        <w:t>Governance</w:t>
      </w:r>
      <w:bookmarkEnd w:id="118"/>
    </w:p>
    <w:p w14:paraId="6257E8B1" w14:textId="3723443A" w:rsidR="00EC5BC4" w:rsidRDefault="00EE4326" w:rsidP="00EC5BC4">
      <w:r>
        <w:t>Governance frameworks that effectively integrate rail and urban development are essential to value capture.</w:t>
      </w:r>
      <w:r w:rsidR="00EC5BC4">
        <w:t xml:space="preserve"> Governance structures must be able to develop a value capture framework that sets objective, credible and systematic reporting mechanisms that can be effectively measured.</w:t>
      </w:r>
    </w:p>
    <w:p w14:paraId="1813ABF9" w14:textId="6186C788" w:rsidR="00EE4326" w:rsidRDefault="00EE4326" w:rsidP="00EE4326">
      <w:pPr>
        <w:pStyle w:val="BodyText"/>
        <w:spacing w:before="208" w:line="240" w:lineRule="exact"/>
        <w:ind w:left="0"/>
        <w:rPr>
          <w:rFonts w:asciiTheme="minorHAnsi" w:hAnsiTheme="minorHAnsi"/>
        </w:rPr>
      </w:pPr>
      <w:r>
        <w:rPr>
          <w:rFonts w:asciiTheme="minorHAnsi" w:hAnsiTheme="minorHAnsi"/>
        </w:rPr>
        <w:t xml:space="preserve">Governance arrangements can mirror the integrated “rail + property” structure of Hong Kong or the two-tier structure in New York’s Hudson Yards where planning and development is split from fund raising. The most important element is integration between entities and role clarity. </w:t>
      </w:r>
    </w:p>
    <w:p w14:paraId="0E4E1413" w14:textId="77777777" w:rsidR="0061372C" w:rsidRDefault="0061372C" w:rsidP="0061372C">
      <w:pPr>
        <w:pStyle w:val="BodyText"/>
        <w:spacing w:before="208" w:line="240" w:lineRule="exact"/>
        <w:ind w:left="0"/>
        <w:rPr>
          <w:rFonts w:asciiTheme="minorHAnsi" w:hAnsiTheme="minorHAnsi"/>
        </w:rPr>
      </w:pPr>
      <w:r>
        <w:rPr>
          <w:rFonts w:asciiTheme="minorHAnsi" w:hAnsiTheme="minorHAnsi"/>
        </w:rPr>
        <w:t>Effective</w:t>
      </w:r>
      <w:r w:rsidRPr="006F6AF9">
        <w:rPr>
          <w:rFonts w:asciiTheme="minorHAnsi" w:hAnsiTheme="minorHAnsi"/>
          <w:spacing w:val="-10"/>
        </w:rPr>
        <w:t xml:space="preserve"> </w:t>
      </w:r>
      <w:r w:rsidRPr="006F6AF9">
        <w:rPr>
          <w:rFonts w:asciiTheme="minorHAnsi" w:hAnsiTheme="minorHAnsi"/>
        </w:rPr>
        <w:t>institutional</w:t>
      </w:r>
      <w:r w:rsidRPr="006F6AF9">
        <w:rPr>
          <w:rFonts w:asciiTheme="minorHAnsi" w:hAnsiTheme="minorHAnsi"/>
          <w:spacing w:val="-10"/>
        </w:rPr>
        <w:t xml:space="preserve"> </w:t>
      </w:r>
      <w:r w:rsidRPr="006F6AF9">
        <w:rPr>
          <w:rFonts w:asciiTheme="minorHAnsi" w:hAnsiTheme="minorHAnsi"/>
        </w:rPr>
        <w:t>arrangements</w:t>
      </w:r>
      <w:r w:rsidRPr="006F6AF9">
        <w:rPr>
          <w:rFonts w:asciiTheme="minorHAnsi" w:hAnsiTheme="minorHAnsi"/>
          <w:spacing w:val="-10"/>
        </w:rPr>
        <w:t xml:space="preserve"> </w:t>
      </w:r>
      <w:r w:rsidRPr="006F6AF9">
        <w:rPr>
          <w:rFonts w:asciiTheme="minorHAnsi" w:hAnsiTheme="minorHAnsi"/>
        </w:rPr>
        <w:t>have</w:t>
      </w:r>
      <w:r w:rsidRPr="006F6AF9">
        <w:rPr>
          <w:rFonts w:asciiTheme="minorHAnsi" w:hAnsiTheme="minorHAnsi"/>
          <w:spacing w:val="-10"/>
        </w:rPr>
        <w:t xml:space="preserve"> </w:t>
      </w:r>
      <w:r w:rsidRPr="006F6AF9">
        <w:rPr>
          <w:rFonts w:asciiTheme="minorHAnsi" w:hAnsiTheme="minorHAnsi"/>
        </w:rPr>
        <w:t>been</w:t>
      </w:r>
      <w:r w:rsidRPr="006F6AF9">
        <w:rPr>
          <w:rFonts w:asciiTheme="minorHAnsi" w:hAnsiTheme="minorHAnsi"/>
          <w:spacing w:val="-10"/>
        </w:rPr>
        <w:t xml:space="preserve"> </w:t>
      </w:r>
      <w:r w:rsidRPr="006F6AF9">
        <w:rPr>
          <w:rFonts w:asciiTheme="minorHAnsi" w:hAnsiTheme="minorHAnsi"/>
        </w:rPr>
        <w:t xml:space="preserve">critical </w:t>
      </w:r>
      <w:r>
        <w:rPr>
          <w:rFonts w:asciiTheme="minorHAnsi" w:hAnsiTheme="minorHAnsi"/>
        </w:rPr>
        <w:t>to</w:t>
      </w:r>
      <w:r w:rsidRPr="006F6AF9">
        <w:rPr>
          <w:rFonts w:asciiTheme="minorHAnsi" w:hAnsiTheme="minorHAnsi"/>
        </w:rPr>
        <w:t xml:space="preserve"> value capture implement</w:t>
      </w:r>
      <w:r>
        <w:rPr>
          <w:rFonts w:asciiTheme="minorHAnsi" w:hAnsiTheme="minorHAnsi"/>
        </w:rPr>
        <w:t>ation</w:t>
      </w:r>
      <w:r w:rsidRPr="006F6AF9">
        <w:rPr>
          <w:rFonts w:asciiTheme="minorHAnsi" w:hAnsiTheme="minorHAnsi"/>
        </w:rPr>
        <w:t xml:space="preserve"> on a large scale to finance</w:t>
      </w:r>
      <w:r w:rsidRPr="006F6AF9">
        <w:rPr>
          <w:rFonts w:asciiTheme="minorHAnsi" w:hAnsiTheme="minorHAnsi"/>
          <w:spacing w:val="-10"/>
        </w:rPr>
        <w:t xml:space="preserve"> </w:t>
      </w:r>
      <w:r>
        <w:rPr>
          <w:rFonts w:asciiTheme="minorHAnsi" w:hAnsiTheme="minorHAnsi"/>
          <w:spacing w:val="-10"/>
        </w:rPr>
        <w:t xml:space="preserve">public </w:t>
      </w:r>
      <w:r>
        <w:rPr>
          <w:rFonts w:asciiTheme="minorHAnsi" w:hAnsiTheme="minorHAnsi"/>
        </w:rPr>
        <w:t>transit systems</w:t>
      </w:r>
      <w:r w:rsidRPr="006F6AF9">
        <w:rPr>
          <w:rFonts w:asciiTheme="minorHAnsi" w:hAnsiTheme="minorHAnsi"/>
        </w:rPr>
        <w:t xml:space="preserve">. </w:t>
      </w:r>
      <w:r>
        <w:rPr>
          <w:rFonts w:asciiTheme="minorHAnsi" w:hAnsiTheme="minorHAnsi"/>
        </w:rPr>
        <w:t xml:space="preserve">For example, the Hong Kong MTR was established in 1979 with a specific mandate to integrate rail and property development. In recent years, New York and </w:t>
      </w:r>
      <w:r w:rsidRPr="006F6AF9">
        <w:rPr>
          <w:rFonts w:asciiTheme="minorHAnsi" w:hAnsiTheme="minorHAnsi"/>
        </w:rPr>
        <w:t xml:space="preserve">London </w:t>
      </w:r>
      <w:r>
        <w:rPr>
          <w:rFonts w:asciiTheme="minorHAnsi" w:hAnsiTheme="minorHAnsi"/>
        </w:rPr>
        <w:t xml:space="preserve">have both </w:t>
      </w:r>
      <w:r w:rsidRPr="006F6AF9">
        <w:rPr>
          <w:rFonts w:asciiTheme="minorHAnsi" w:hAnsiTheme="minorHAnsi"/>
        </w:rPr>
        <w:t>created new governmental bodies that enabl</w:t>
      </w:r>
      <w:r>
        <w:rPr>
          <w:rFonts w:asciiTheme="minorHAnsi" w:hAnsiTheme="minorHAnsi"/>
        </w:rPr>
        <w:t xml:space="preserve">ed value capture implementation. </w:t>
      </w:r>
      <w:r w:rsidRPr="006F6AF9">
        <w:rPr>
          <w:rFonts w:asciiTheme="minorHAnsi" w:hAnsiTheme="minorHAnsi"/>
        </w:rPr>
        <w:t xml:space="preserve">Montreal </w:t>
      </w:r>
      <w:r>
        <w:rPr>
          <w:rFonts w:asciiTheme="minorHAnsi" w:hAnsiTheme="minorHAnsi"/>
        </w:rPr>
        <w:t xml:space="preserve">is making </w:t>
      </w:r>
      <w:r w:rsidRPr="006F6AF9">
        <w:rPr>
          <w:rFonts w:asciiTheme="minorHAnsi" w:hAnsiTheme="minorHAnsi"/>
        </w:rPr>
        <w:t>similar</w:t>
      </w:r>
      <w:r w:rsidRPr="006F6AF9">
        <w:rPr>
          <w:rFonts w:asciiTheme="minorHAnsi" w:hAnsiTheme="minorHAnsi"/>
          <w:spacing w:val="-27"/>
        </w:rPr>
        <w:t xml:space="preserve"> </w:t>
      </w:r>
      <w:r>
        <w:rPr>
          <w:rFonts w:asciiTheme="minorHAnsi" w:hAnsiTheme="minorHAnsi"/>
        </w:rPr>
        <w:t xml:space="preserve">moves </w:t>
      </w:r>
      <w:r w:rsidRPr="006F6AF9">
        <w:rPr>
          <w:rFonts w:asciiTheme="minorHAnsi" w:hAnsiTheme="minorHAnsi"/>
        </w:rPr>
        <w:t xml:space="preserve">and the San Francisco Municipal </w:t>
      </w:r>
      <w:r w:rsidRPr="006F6AF9">
        <w:rPr>
          <w:rFonts w:asciiTheme="minorHAnsi" w:hAnsiTheme="minorHAnsi"/>
          <w:spacing w:val="-3"/>
        </w:rPr>
        <w:t xml:space="preserve">Transportation </w:t>
      </w:r>
      <w:r w:rsidRPr="006F6AF9">
        <w:rPr>
          <w:rFonts w:asciiTheme="minorHAnsi" w:hAnsiTheme="minorHAnsi"/>
        </w:rPr>
        <w:t xml:space="preserve">Agency made important changes to its charter in 2007 that enable certain value capture mechanisms. </w:t>
      </w:r>
    </w:p>
    <w:p w14:paraId="45B93896" w14:textId="68A4778A" w:rsidR="00EE4326" w:rsidRDefault="00EE4326" w:rsidP="00EE4326">
      <w:pPr>
        <w:spacing w:before="100" w:beforeAutospacing="1" w:after="100" w:afterAutospacing="1"/>
        <w:rPr>
          <w:rFonts w:eastAsia="Times New Roman" w:cs="Times New Roman"/>
          <w:szCs w:val="20"/>
        </w:rPr>
      </w:pPr>
      <w:r w:rsidRPr="00005431">
        <w:rPr>
          <w:rFonts w:eastAsia="Times New Roman" w:cs="Times New Roman"/>
          <w:szCs w:val="20"/>
        </w:rPr>
        <w:t xml:space="preserve">It is noted that some Australian governments are putting in place </w:t>
      </w:r>
      <w:r w:rsidR="006A220C">
        <w:rPr>
          <w:rFonts w:eastAsia="Times New Roman" w:cs="Times New Roman"/>
          <w:szCs w:val="20"/>
        </w:rPr>
        <w:t xml:space="preserve">special </w:t>
      </w:r>
      <w:r w:rsidRPr="00005431">
        <w:rPr>
          <w:rFonts w:eastAsia="Times New Roman" w:cs="Times New Roman"/>
          <w:szCs w:val="20"/>
        </w:rPr>
        <w:t>governance structures for urban renewal areas which create a framework that is conducive to value capture systems. For example, Urban Growth NSW has a specific mandate to undertake property development in urban renewal zones around public transport nodes such as the Central to Eveleigh district in Sydney and the forthcoming light rail system in Newcastle CBD. Value capture mechanisms could easily be introduced into these projects – subject to property value uplift being achieved.</w:t>
      </w:r>
    </w:p>
    <w:p w14:paraId="7BC9F7ED" w14:textId="0C011FDB" w:rsidR="00EE4326" w:rsidRDefault="0061372C" w:rsidP="00D667A4">
      <w:pPr>
        <w:pStyle w:val="CommentText"/>
      </w:pPr>
      <w:r>
        <w:rPr>
          <w:rFonts w:eastAsia="Times New Roman" w:cs="Times New Roman"/>
        </w:rPr>
        <w:t>However, these governance structures do not integrate urban development with rail operations as with Hong Kong MTR.</w:t>
      </w:r>
      <w:r w:rsidR="00EC5BC4">
        <w:rPr>
          <w:rFonts w:eastAsia="Times New Roman" w:cs="Times New Roman"/>
        </w:rPr>
        <w:t xml:space="preserve"> </w:t>
      </w:r>
      <w:r w:rsidR="00EE4326">
        <w:t xml:space="preserve">In Australia, rail operators are generally split from urban development authorities. In part, this is a product of history. Originally, rail authorities were established at state government level to build and operate the rail system. A core business focus on rail operations was considered prudent and logical. Urban development along transport corridors was considered separate and usually left in the </w:t>
      </w:r>
      <w:r w:rsidR="00EE4326">
        <w:lastRenderedPageBreak/>
        <w:t>hands of local governments except for major city and suburban rail stations. This structure expedited the sale and/or outsourcing of rail operations when government decided to pursue a policy.</w:t>
      </w:r>
    </w:p>
    <w:p w14:paraId="0E392D05" w14:textId="77777777" w:rsidR="00EE4326" w:rsidRDefault="00EE4326" w:rsidP="00EE4326">
      <w:pPr>
        <w:pStyle w:val="BodyText"/>
        <w:spacing w:line="240" w:lineRule="exact"/>
        <w:ind w:left="0" w:right="73"/>
        <w:rPr>
          <w:rFonts w:asciiTheme="minorHAnsi" w:hAnsiTheme="minorHAnsi"/>
        </w:rPr>
      </w:pPr>
    </w:p>
    <w:p w14:paraId="1DF194C1" w14:textId="77777777" w:rsidR="00D667A4" w:rsidRPr="00D667A4" w:rsidRDefault="00D667A4" w:rsidP="00EE4326">
      <w:pPr>
        <w:pStyle w:val="BodyText"/>
        <w:spacing w:line="240" w:lineRule="exact"/>
        <w:ind w:left="0" w:right="73"/>
        <w:rPr>
          <w:rFonts w:asciiTheme="majorHAnsi" w:hAnsiTheme="majorHAnsi"/>
        </w:rPr>
      </w:pPr>
      <w:r w:rsidRPr="00D667A4">
        <w:rPr>
          <w:rFonts w:asciiTheme="majorHAnsi" w:hAnsiTheme="majorHAnsi"/>
        </w:rPr>
        <w:t>The MTR pathway to controlling and developing sites would require operational and governance structures that included both commercial real estate and network operational and planning as well as regulatory oversight etc.</w:t>
      </w:r>
    </w:p>
    <w:p w14:paraId="72A1C8EF" w14:textId="77777777" w:rsidR="00D667A4" w:rsidRDefault="00D667A4" w:rsidP="00EE4326">
      <w:pPr>
        <w:pStyle w:val="BodyText"/>
        <w:spacing w:line="240" w:lineRule="exact"/>
        <w:ind w:left="0" w:right="73"/>
      </w:pPr>
    </w:p>
    <w:p w14:paraId="4280DE46" w14:textId="57E47678" w:rsidR="00EE4326" w:rsidRPr="006F6AF9" w:rsidRDefault="00EE4326" w:rsidP="00EE4326">
      <w:pPr>
        <w:pStyle w:val="BodyText"/>
        <w:spacing w:line="240" w:lineRule="exact"/>
        <w:ind w:left="0" w:right="73"/>
        <w:rPr>
          <w:rFonts w:asciiTheme="minorHAnsi" w:hAnsiTheme="minorHAnsi"/>
        </w:rPr>
      </w:pPr>
      <w:r>
        <w:rPr>
          <w:rFonts w:asciiTheme="minorHAnsi" w:hAnsiTheme="minorHAnsi"/>
        </w:rPr>
        <w:t>G</w:t>
      </w:r>
      <w:r w:rsidRPr="006F6AF9">
        <w:rPr>
          <w:rFonts w:asciiTheme="minorHAnsi" w:hAnsiTheme="minorHAnsi"/>
        </w:rPr>
        <w:t xml:space="preserve">overnmental bodies created in cities </w:t>
      </w:r>
      <w:r>
        <w:rPr>
          <w:rFonts w:asciiTheme="minorHAnsi" w:hAnsiTheme="minorHAnsi"/>
        </w:rPr>
        <w:t xml:space="preserve">such as New York and London </w:t>
      </w:r>
      <w:r w:rsidRPr="006F6AF9">
        <w:rPr>
          <w:rFonts w:asciiTheme="minorHAnsi" w:hAnsiTheme="minorHAnsi"/>
        </w:rPr>
        <w:t xml:space="preserve">have authority over region-wide transport planning and finance. As such, they are able to work with the relevant provincial (in the Canadian context), national (in </w:t>
      </w:r>
      <w:r w:rsidRPr="006F6AF9">
        <w:rPr>
          <w:rFonts w:asciiTheme="minorHAnsi" w:hAnsiTheme="minorHAnsi"/>
          <w:spacing w:val="-3"/>
        </w:rPr>
        <w:t xml:space="preserve">France </w:t>
      </w:r>
      <w:r w:rsidRPr="006F6AF9">
        <w:rPr>
          <w:rFonts w:asciiTheme="minorHAnsi" w:hAnsiTheme="minorHAnsi"/>
        </w:rPr>
        <w:t>and the UK), and city (in San Francisco) governments to develop taxation schemes to help fund transit</w:t>
      </w:r>
      <w:r>
        <w:rPr>
          <w:rFonts w:asciiTheme="minorHAnsi" w:hAnsiTheme="minorHAnsi"/>
        </w:rPr>
        <w:t xml:space="preserve"> costs</w:t>
      </w:r>
      <w:r w:rsidRPr="006F6AF9">
        <w:rPr>
          <w:rFonts w:asciiTheme="minorHAnsi" w:hAnsiTheme="minorHAnsi"/>
        </w:rPr>
        <w:t xml:space="preserve">. </w:t>
      </w:r>
      <w:r w:rsidRPr="006F6AF9">
        <w:rPr>
          <w:rFonts w:asciiTheme="minorHAnsi" w:hAnsiTheme="minorHAnsi"/>
          <w:spacing w:val="-4"/>
        </w:rPr>
        <w:t xml:space="preserve">In </w:t>
      </w:r>
      <w:r w:rsidRPr="006F6AF9">
        <w:rPr>
          <w:rFonts w:asciiTheme="minorHAnsi" w:hAnsiTheme="minorHAnsi"/>
        </w:rPr>
        <w:t>both London and San</w:t>
      </w:r>
      <w:r w:rsidRPr="006F6AF9">
        <w:rPr>
          <w:rFonts w:asciiTheme="minorHAnsi" w:hAnsiTheme="minorHAnsi"/>
          <w:spacing w:val="-4"/>
        </w:rPr>
        <w:t xml:space="preserve"> </w:t>
      </w:r>
      <w:r w:rsidRPr="006F6AF9">
        <w:rPr>
          <w:rFonts w:asciiTheme="minorHAnsi" w:hAnsiTheme="minorHAnsi"/>
        </w:rPr>
        <w:t>Francisco,</w:t>
      </w:r>
      <w:r w:rsidRPr="006F6AF9">
        <w:rPr>
          <w:rFonts w:asciiTheme="minorHAnsi" w:hAnsiTheme="minorHAnsi"/>
          <w:spacing w:val="-4"/>
        </w:rPr>
        <w:t xml:space="preserve"> </w:t>
      </w:r>
      <w:r w:rsidRPr="006F6AF9">
        <w:rPr>
          <w:rFonts w:asciiTheme="minorHAnsi" w:hAnsiTheme="minorHAnsi"/>
        </w:rPr>
        <w:t>the</w:t>
      </w:r>
      <w:r w:rsidRPr="006F6AF9">
        <w:rPr>
          <w:rFonts w:asciiTheme="minorHAnsi" w:hAnsiTheme="minorHAnsi"/>
          <w:spacing w:val="-4"/>
        </w:rPr>
        <w:t xml:space="preserve"> </w:t>
      </w:r>
      <w:r w:rsidRPr="006F6AF9">
        <w:rPr>
          <w:rFonts w:asciiTheme="minorHAnsi" w:hAnsiTheme="minorHAnsi"/>
        </w:rPr>
        <w:t>transit</w:t>
      </w:r>
      <w:r w:rsidRPr="006F6AF9">
        <w:rPr>
          <w:rFonts w:asciiTheme="minorHAnsi" w:hAnsiTheme="minorHAnsi"/>
          <w:spacing w:val="-4"/>
        </w:rPr>
        <w:t xml:space="preserve"> </w:t>
      </w:r>
      <w:r w:rsidRPr="006F6AF9">
        <w:rPr>
          <w:rFonts w:asciiTheme="minorHAnsi" w:hAnsiTheme="minorHAnsi"/>
        </w:rPr>
        <w:t>agencies</w:t>
      </w:r>
      <w:r w:rsidRPr="006F6AF9">
        <w:rPr>
          <w:rFonts w:asciiTheme="minorHAnsi" w:hAnsiTheme="minorHAnsi"/>
          <w:spacing w:val="-4"/>
        </w:rPr>
        <w:t xml:space="preserve"> </w:t>
      </w:r>
      <w:r w:rsidRPr="006F6AF9">
        <w:rPr>
          <w:rFonts w:asciiTheme="minorHAnsi" w:hAnsiTheme="minorHAnsi"/>
        </w:rPr>
        <w:t>also</w:t>
      </w:r>
      <w:r w:rsidRPr="006F6AF9">
        <w:rPr>
          <w:rFonts w:asciiTheme="minorHAnsi" w:hAnsiTheme="minorHAnsi"/>
          <w:spacing w:val="-4"/>
        </w:rPr>
        <w:t xml:space="preserve"> </w:t>
      </w:r>
      <w:r w:rsidRPr="006F6AF9">
        <w:rPr>
          <w:rFonts w:asciiTheme="minorHAnsi" w:hAnsiTheme="minorHAnsi"/>
        </w:rPr>
        <w:t>govern</w:t>
      </w:r>
      <w:r w:rsidRPr="006F6AF9">
        <w:rPr>
          <w:rFonts w:asciiTheme="minorHAnsi" w:hAnsiTheme="minorHAnsi"/>
          <w:spacing w:val="-4"/>
        </w:rPr>
        <w:t xml:space="preserve"> </w:t>
      </w:r>
      <w:r w:rsidRPr="006F6AF9">
        <w:rPr>
          <w:rFonts w:asciiTheme="minorHAnsi" w:hAnsiTheme="minorHAnsi"/>
        </w:rPr>
        <w:t>the</w:t>
      </w:r>
      <w:r w:rsidRPr="006F6AF9">
        <w:rPr>
          <w:rFonts w:asciiTheme="minorHAnsi" w:hAnsiTheme="minorHAnsi"/>
          <w:spacing w:val="-4"/>
        </w:rPr>
        <w:t xml:space="preserve"> </w:t>
      </w:r>
      <w:r w:rsidRPr="006F6AF9">
        <w:rPr>
          <w:rFonts w:asciiTheme="minorHAnsi" w:hAnsiTheme="minorHAnsi"/>
        </w:rPr>
        <w:t>roads and manage car user fees in the region. This makes cross-mode transportation</w:t>
      </w:r>
      <w:r w:rsidRPr="006F6AF9">
        <w:rPr>
          <w:rFonts w:asciiTheme="minorHAnsi" w:hAnsiTheme="minorHAnsi"/>
          <w:spacing w:val="-9"/>
        </w:rPr>
        <w:t xml:space="preserve"> </w:t>
      </w:r>
      <w:r w:rsidRPr="006F6AF9">
        <w:rPr>
          <w:rFonts w:asciiTheme="minorHAnsi" w:hAnsiTheme="minorHAnsi"/>
        </w:rPr>
        <w:t>subsidies</w:t>
      </w:r>
      <w:r w:rsidRPr="006F6AF9">
        <w:rPr>
          <w:rFonts w:asciiTheme="minorHAnsi" w:hAnsiTheme="minorHAnsi"/>
          <w:spacing w:val="-9"/>
        </w:rPr>
        <w:t xml:space="preserve"> </w:t>
      </w:r>
      <w:r w:rsidRPr="006F6AF9">
        <w:rPr>
          <w:rFonts w:asciiTheme="minorHAnsi" w:hAnsiTheme="minorHAnsi"/>
        </w:rPr>
        <w:t>relatively</w:t>
      </w:r>
      <w:r w:rsidRPr="006F6AF9">
        <w:rPr>
          <w:rFonts w:asciiTheme="minorHAnsi" w:hAnsiTheme="minorHAnsi"/>
          <w:spacing w:val="-9"/>
        </w:rPr>
        <w:t xml:space="preserve"> </w:t>
      </w:r>
      <w:r w:rsidRPr="006F6AF9">
        <w:rPr>
          <w:rFonts w:asciiTheme="minorHAnsi" w:hAnsiTheme="minorHAnsi"/>
        </w:rPr>
        <w:t>seamless,</w:t>
      </w:r>
      <w:r w:rsidRPr="006F6AF9">
        <w:rPr>
          <w:rFonts w:asciiTheme="minorHAnsi" w:hAnsiTheme="minorHAnsi"/>
          <w:spacing w:val="-9"/>
        </w:rPr>
        <w:t xml:space="preserve"> </w:t>
      </w:r>
      <w:r w:rsidRPr="006F6AF9">
        <w:rPr>
          <w:rFonts w:asciiTheme="minorHAnsi" w:hAnsiTheme="minorHAnsi"/>
        </w:rPr>
        <w:t>allowing</w:t>
      </w:r>
      <w:r w:rsidRPr="006F6AF9">
        <w:rPr>
          <w:rFonts w:asciiTheme="minorHAnsi" w:hAnsiTheme="minorHAnsi"/>
          <w:spacing w:val="-9"/>
        </w:rPr>
        <w:t xml:space="preserve"> </w:t>
      </w:r>
      <w:r w:rsidRPr="006F6AF9">
        <w:rPr>
          <w:rFonts w:asciiTheme="minorHAnsi" w:hAnsiTheme="minorHAnsi"/>
        </w:rPr>
        <w:t>transit</w:t>
      </w:r>
      <w:r>
        <w:rPr>
          <w:rFonts w:asciiTheme="minorHAnsi" w:hAnsiTheme="minorHAnsi"/>
        </w:rPr>
        <w:t xml:space="preserve"> </w:t>
      </w:r>
      <w:r w:rsidRPr="006F6AF9">
        <w:rPr>
          <w:rFonts w:asciiTheme="minorHAnsi" w:hAnsiTheme="minorHAnsi"/>
        </w:rPr>
        <w:t>to</w:t>
      </w:r>
      <w:r w:rsidRPr="006F6AF9">
        <w:rPr>
          <w:rFonts w:asciiTheme="minorHAnsi" w:hAnsiTheme="minorHAnsi"/>
          <w:spacing w:val="-5"/>
        </w:rPr>
        <w:t xml:space="preserve"> </w:t>
      </w:r>
      <w:r w:rsidRPr="006F6AF9">
        <w:rPr>
          <w:rFonts w:asciiTheme="minorHAnsi" w:hAnsiTheme="minorHAnsi"/>
        </w:rPr>
        <w:t>capture</w:t>
      </w:r>
      <w:r w:rsidRPr="006F6AF9">
        <w:rPr>
          <w:rFonts w:asciiTheme="minorHAnsi" w:hAnsiTheme="minorHAnsi"/>
          <w:spacing w:val="-5"/>
        </w:rPr>
        <w:t xml:space="preserve"> </w:t>
      </w:r>
      <w:r w:rsidRPr="006F6AF9">
        <w:rPr>
          <w:rFonts w:asciiTheme="minorHAnsi" w:hAnsiTheme="minorHAnsi"/>
        </w:rPr>
        <w:t>part</w:t>
      </w:r>
      <w:r w:rsidRPr="006F6AF9">
        <w:rPr>
          <w:rFonts w:asciiTheme="minorHAnsi" w:hAnsiTheme="minorHAnsi"/>
          <w:spacing w:val="-5"/>
        </w:rPr>
        <w:t xml:space="preserve"> </w:t>
      </w:r>
      <w:r w:rsidRPr="006F6AF9">
        <w:rPr>
          <w:rFonts w:asciiTheme="minorHAnsi" w:hAnsiTheme="minorHAnsi"/>
        </w:rPr>
        <w:t>of</w:t>
      </w:r>
      <w:r w:rsidRPr="006F6AF9">
        <w:rPr>
          <w:rFonts w:asciiTheme="minorHAnsi" w:hAnsiTheme="minorHAnsi"/>
          <w:spacing w:val="-5"/>
        </w:rPr>
        <w:t xml:space="preserve"> </w:t>
      </w:r>
      <w:r w:rsidRPr="006F6AF9">
        <w:rPr>
          <w:rFonts w:asciiTheme="minorHAnsi" w:hAnsiTheme="minorHAnsi"/>
        </w:rPr>
        <w:t>the</w:t>
      </w:r>
      <w:r w:rsidRPr="006F6AF9">
        <w:rPr>
          <w:rFonts w:asciiTheme="minorHAnsi" w:hAnsiTheme="minorHAnsi"/>
          <w:spacing w:val="-5"/>
        </w:rPr>
        <w:t xml:space="preserve"> </w:t>
      </w:r>
      <w:r w:rsidRPr="006F6AF9">
        <w:rPr>
          <w:rFonts w:asciiTheme="minorHAnsi" w:hAnsiTheme="minorHAnsi"/>
        </w:rPr>
        <w:t>location</w:t>
      </w:r>
      <w:r w:rsidRPr="006F6AF9">
        <w:rPr>
          <w:rFonts w:asciiTheme="minorHAnsi" w:hAnsiTheme="minorHAnsi"/>
          <w:spacing w:val="-5"/>
        </w:rPr>
        <w:t xml:space="preserve"> </w:t>
      </w:r>
      <w:r w:rsidRPr="006F6AF9">
        <w:rPr>
          <w:rFonts w:asciiTheme="minorHAnsi" w:hAnsiTheme="minorHAnsi"/>
        </w:rPr>
        <w:t>value</w:t>
      </w:r>
      <w:r w:rsidRPr="006F6AF9">
        <w:rPr>
          <w:rFonts w:asciiTheme="minorHAnsi" w:hAnsiTheme="minorHAnsi"/>
          <w:spacing w:val="-5"/>
        </w:rPr>
        <w:t xml:space="preserve"> </w:t>
      </w:r>
      <w:r w:rsidRPr="006F6AF9">
        <w:rPr>
          <w:rFonts w:asciiTheme="minorHAnsi" w:hAnsiTheme="minorHAnsi"/>
        </w:rPr>
        <w:t>of</w:t>
      </w:r>
      <w:r w:rsidRPr="006F6AF9">
        <w:rPr>
          <w:rFonts w:asciiTheme="minorHAnsi" w:hAnsiTheme="minorHAnsi"/>
          <w:spacing w:val="-5"/>
        </w:rPr>
        <w:t xml:space="preserve"> </w:t>
      </w:r>
      <w:r w:rsidRPr="006F6AF9">
        <w:rPr>
          <w:rFonts w:asciiTheme="minorHAnsi" w:hAnsiTheme="minorHAnsi"/>
        </w:rPr>
        <w:t>central</w:t>
      </w:r>
      <w:r w:rsidRPr="006F6AF9">
        <w:rPr>
          <w:rFonts w:asciiTheme="minorHAnsi" w:hAnsiTheme="minorHAnsi"/>
          <w:spacing w:val="-5"/>
        </w:rPr>
        <w:t xml:space="preserve"> </w:t>
      </w:r>
      <w:r w:rsidRPr="006F6AF9">
        <w:rPr>
          <w:rFonts w:asciiTheme="minorHAnsi" w:hAnsiTheme="minorHAnsi"/>
        </w:rPr>
        <w:t>destinations</w:t>
      </w:r>
      <w:r w:rsidRPr="006F6AF9">
        <w:rPr>
          <w:rFonts w:asciiTheme="minorHAnsi" w:hAnsiTheme="minorHAnsi"/>
          <w:spacing w:val="-5"/>
        </w:rPr>
        <w:t xml:space="preserve"> </w:t>
      </w:r>
      <w:r w:rsidRPr="006F6AF9">
        <w:rPr>
          <w:rFonts w:asciiTheme="minorHAnsi" w:hAnsiTheme="minorHAnsi"/>
        </w:rPr>
        <w:t>by charging</w:t>
      </w:r>
      <w:r w:rsidRPr="006F6AF9">
        <w:rPr>
          <w:rFonts w:asciiTheme="minorHAnsi" w:hAnsiTheme="minorHAnsi"/>
          <w:spacing w:val="-6"/>
        </w:rPr>
        <w:t xml:space="preserve"> </w:t>
      </w:r>
      <w:r w:rsidRPr="006F6AF9">
        <w:rPr>
          <w:rFonts w:asciiTheme="minorHAnsi" w:hAnsiTheme="minorHAnsi"/>
        </w:rPr>
        <w:t>private</w:t>
      </w:r>
      <w:r w:rsidRPr="006F6AF9">
        <w:rPr>
          <w:rFonts w:asciiTheme="minorHAnsi" w:hAnsiTheme="minorHAnsi"/>
          <w:spacing w:val="-6"/>
        </w:rPr>
        <w:t xml:space="preserve"> </w:t>
      </w:r>
      <w:r w:rsidRPr="006F6AF9">
        <w:rPr>
          <w:rFonts w:asciiTheme="minorHAnsi" w:hAnsiTheme="minorHAnsi"/>
        </w:rPr>
        <w:t>vehicles</w:t>
      </w:r>
      <w:r w:rsidRPr="006F6AF9">
        <w:rPr>
          <w:rFonts w:asciiTheme="minorHAnsi" w:hAnsiTheme="minorHAnsi"/>
          <w:spacing w:val="-6"/>
        </w:rPr>
        <w:t xml:space="preserve"> </w:t>
      </w:r>
      <w:r w:rsidRPr="006F6AF9">
        <w:rPr>
          <w:rFonts w:asciiTheme="minorHAnsi" w:hAnsiTheme="minorHAnsi"/>
        </w:rPr>
        <w:t>for</w:t>
      </w:r>
      <w:r w:rsidRPr="006F6AF9">
        <w:rPr>
          <w:rFonts w:asciiTheme="minorHAnsi" w:hAnsiTheme="minorHAnsi"/>
          <w:spacing w:val="-6"/>
        </w:rPr>
        <w:t xml:space="preserve"> </w:t>
      </w:r>
      <w:r w:rsidRPr="006F6AF9">
        <w:rPr>
          <w:rFonts w:asciiTheme="minorHAnsi" w:hAnsiTheme="minorHAnsi"/>
        </w:rPr>
        <w:t>driving</w:t>
      </w:r>
      <w:r w:rsidRPr="006F6AF9">
        <w:rPr>
          <w:rFonts w:asciiTheme="minorHAnsi" w:hAnsiTheme="minorHAnsi"/>
          <w:spacing w:val="-6"/>
        </w:rPr>
        <w:t xml:space="preserve"> </w:t>
      </w:r>
      <w:r w:rsidRPr="006F6AF9">
        <w:rPr>
          <w:rFonts w:asciiTheme="minorHAnsi" w:hAnsiTheme="minorHAnsi"/>
        </w:rPr>
        <w:t>and</w:t>
      </w:r>
      <w:r w:rsidRPr="006F6AF9">
        <w:rPr>
          <w:rFonts w:asciiTheme="minorHAnsi" w:hAnsiTheme="minorHAnsi"/>
          <w:spacing w:val="-6"/>
        </w:rPr>
        <w:t xml:space="preserve"> </w:t>
      </w:r>
      <w:r w:rsidRPr="006F6AF9">
        <w:rPr>
          <w:rFonts w:asciiTheme="minorHAnsi" w:hAnsiTheme="minorHAnsi"/>
        </w:rPr>
        <w:t>parking</w:t>
      </w:r>
      <w:r w:rsidRPr="006F6AF9">
        <w:rPr>
          <w:rFonts w:asciiTheme="minorHAnsi" w:hAnsiTheme="minorHAnsi"/>
          <w:spacing w:val="-6"/>
        </w:rPr>
        <w:t xml:space="preserve"> </w:t>
      </w:r>
      <w:r w:rsidRPr="006F6AF9">
        <w:rPr>
          <w:rFonts w:asciiTheme="minorHAnsi" w:hAnsiTheme="minorHAnsi"/>
        </w:rPr>
        <w:t>there.</w:t>
      </w:r>
    </w:p>
    <w:p w14:paraId="64DC0BE1" w14:textId="77777777" w:rsidR="00EE4326" w:rsidRPr="006F6AF9" w:rsidRDefault="00EE4326" w:rsidP="00EE4326">
      <w:pPr>
        <w:pStyle w:val="BodyText"/>
        <w:spacing w:line="240" w:lineRule="exact"/>
        <w:ind w:left="0" w:right="30" w:firstLine="240"/>
        <w:rPr>
          <w:rFonts w:asciiTheme="minorHAnsi" w:hAnsiTheme="minorHAnsi"/>
          <w:spacing w:val="-4"/>
        </w:rPr>
      </w:pPr>
    </w:p>
    <w:p w14:paraId="4125D3D3" w14:textId="5ED49686" w:rsidR="000C4057" w:rsidRDefault="000D1A06" w:rsidP="000D1A06">
      <w:pPr>
        <w:pStyle w:val="BodyText"/>
        <w:spacing w:line="240" w:lineRule="exact"/>
        <w:ind w:left="0" w:right="30"/>
        <w:rPr>
          <w:rFonts w:asciiTheme="minorHAnsi" w:hAnsiTheme="minorHAnsi"/>
        </w:rPr>
      </w:pPr>
      <w:r w:rsidRPr="006F6AF9">
        <w:rPr>
          <w:rFonts w:asciiTheme="minorHAnsi" w:hAnsiTheme="minorHAnsi"/>
          <w:spacing w:val="-4"/>
        </w:rPr>
        <w:t xml:space="preserve">In </w:t>
      </w:r>
      <w:r w:rsidRPr="006F6AF9">
        <w:rPr>
          <w:rFonts w:asciiTheme="minorHAnsi" w:hAnsiTheme="minorHAnsi"/>
        </w:rPr>
        <w:t xml:space="preserve">contrast, the transit agency in </w:t>
      </w:r>
      <w:r w:rsidRPr="006F6AF9">
        <w:rPr>
          <w:rFonts w:asciiTheme="minorHAnsi" w:hAnsiTheme="minorHAnsi"/>
          <w:spacing w:val="-3"/>
        </w:rPr>
        <w:t xml:space="preserve">Washington, </w:t>
      </w:r>
      <w:r w:rsidRPr="006F6AF9">
        <w:rPr>
          <w:rFonts w:asciiTheme="minorHAnsi" w:hAnsiTheme="minorHAnsi"/>
        </w:rPr>
        <w:t xml:space="preserve">D.C. is institutionally </w:t>
      </w:r>
      <w:r>
        <w:rPr>
          <w:rFonts w:asciiTheme="minorHAnsi" w:hAnsiTheme="minorHAnsi"/>
        </w:rPr>
        <w:t>trapped</w:t>
      </w:r>
      <w:r w:rsidRPr="006F6AF9">
        <w:rPr>
          <w:rFonts w:asciiTheme="minorHAnsi" w:hAnsiTheme="minorHAnsi"/>
        </w:rPr>
        <w:t xml:space="preserve"> </w:t>
      </w:r>
      <w:r>
        <w:rPr>
          <w:rFonts w:asciiTheme="minorHAnsi" w:hAnsiTheme="minorHAnsi"/>
        </w:rPr>
        <w:t xml:space="preserve">in a governance structure </w:t>
      </w:r>
      <w:r w:rsidRPr="006F6AF9">
        <w:rPr>
          <w:rFonts w:asciiTheme="minorHAnsi" w:hAnsiTheme="minorHAnsi"/>
        </w:rPr>
        <w:t xml:space="preserve">where large-scale value capture financing is </w:t>
      </w:r>
      <w:r>
        <w:rPr>
          <w:rFonts w:asciiTheme="minorHAnsi" w:hAnsiTheme="minorHAnsi"/>
        </w:rPr>
        <w:t xml:space="preserve">a </w:t>
      </w:r>
      <w:r>
        <w:rPr>
          <w:rFonts w:asciiTheme="minorHAnsi" w:hAnsiTheme="minorHAnsi"/>
          <w:spacing w:val="-7"/>
        </w:rPr>
        <w:t>“</w:t>
      </w:r>
      <w:r w:rsidRPr="006F6AF9">
        <w:rPr>
          <w:rFonts w:asciiTheme="minorHAnsi" w:hAnsiTheme="minorHAnsi"/>
        </w:rPr>
        <w:t xml:space="preserve">very attractive yet very impossible way to generate funding” </w:t>
      </w:r>
      <w:r w:rsidRPr="006F6AF9">
        <w:rPr>
          <w:rFonts w:asciiTheme="minorHAnsi" w:hAnsiTheme="minorHAnsi"/>
          <w:spacing w:val="-7"/>
        </w:rPr>
        <w:t xml:space="preserve">(WMATA </w:t>
      </w:r>
      <w:r w:rsidRPr="006F6AF9">
        <w:rPr>
          <w:rFonts w:asciiTheme="minorHAnsi" w:hAnsiTheme="minorHAnsi"/>
        </w:rPr>
        <w:t xml:space="preserve">interviewee, Feb. 2014). This </w:t>
      </w:r>
      <w:r>
        <w:rPr>
          <w:rFonts w:asciiTheme="minorHAnsi" w:hAnsiTheme="minorHAnsi"/>
        </w:rPr>
        <w:t>has occurred</w:t>
      </w:r>
      <w:r w:rsidRPr="006F6AF9">
        <w:rPr>
          <w:rFonts w:asciiTheme="minorHAnsi" w:hAnsiTheme="minorHAnsi"/>
        </w:rPr>
        <w:t xml:space="preserve"> because</w:t>
      </w:r>
      <w:r w:rsidRPr="006F6AF9">
        <w:rPr>
          <w:rFonts w:asciiTheme="minorHAnsi" w:hAnsiTheme="minorHAnsi"/>
          <w:spacing w:val="-20"/>
        </w:rPr>
        <w:t xml:space="preserve"> </w:t>
      </w:r>
      <w:r w:rsidRPr="006F6AF9">
        <w:rPr>
          <w:rFonts w:asciiTheme="minorHAnsi" w:hAnsiTheme="minorHAnsi"/>
        </w:rPr>
        <w:t xml:space="preserve">they are funded directly by multiple local and state governments in their region, and there is no realistic way to coordinate a taxation scheme across </w:t>
      </w:r>
      <w:r w:rsidR="004E4BE7">
        <w:rPr>
          <w:rFonts w:asciiTheme="minorHAnsi" w:hAnsiTheme="minorHAnsi"/>
        </w:rPr>
        <w:t>so</w:t>
      </w:r>
      <w:r w:rsidRPr="006F6AF9">
        <w:rPr>
          <w:rFonts w:asciiTheme="minorHAnsi" w:hAnsiTheme="minorHAnsi"/>
        </w:rPr>
        <w:t xml:space="preserve"> many different governments. Where they do have significant value capture financing of infrastructure, it is special assessment district-based and entirely the initiative of the local community to </w:t>
      </w:r>
      <w:r>
        <w:rPr>
          <w:rFonts w:asciiTheme="minorHAnsi" w:hAnsiTheme="minorHAnsi"/>
        </w:rPr>
        <w:t>self-</w:t>
      </w:r>
      <w:r w:rsidRPr="006F6AF9">
        <w:rPr>
          <w:rFonts w:asciiTheme="minorHAnsi" w:hAnsiTheme="minorHAnsi"/>
        </w:rPr>
        <w:t xml:space="preserve">tax </w:t>
      </w:r>
      <w:r>
        <w:rPr>
          <w:rFonts w:asciiTheme="minorHAnsi" w:hAnsiTheme="minorHAnsi"/>
        </w:rPr>
        <w:t>itself</w:t>
      </w:r>
      <w:r w:rsidR="0023586C">
        <w:rPr>
          <w:rFonts w:asciiTheme="minorHAnsi" w:hAnsiTheme="minorHAnsi"/>
        </w:rPr>
        <w:t>.</w:t>
      </w:r>
    </w:p>
    <w:p w14:paraId="2667E99E" w14:textId="77777777" w:rsidR="00D667A4" w:rsidRDefault="00D667A4" w:rsidP="00D667A4">
      <w:pPr>
        <w:pStyle w:val="CommentText"/>
      </w:pPr>
    </w:p>
    <w:p w14:paraId="7B7A1ED2" w14:textId="77777777" w:rsidR="00D667A4" w:rsidRDefault="00D667A4" w:rsidP="00D667A4">
      <w:pPr>
        <w:pStyle w:val="CommentText"/>
      </w:pPr>
      <w:r>
        <w:t xml:space="preserve">For Hudson Yards, the city of New York embarked on value capture without federal support, which is highly unusual in the case of a major transport deal in the US. It used value capture to raise finance that was then offered as an incentive to the local transport authority to lift Hudson Yards in the rankings of infrastructure investment priorities. This is often called “co-funding” and it is increasingly used as a way of motivating government agencies to be more commercial in their approach to new infrastructure planning. </w:t>
      </w:r>
    </w:p>
    <w:p w14:paraId="16FD68FC" w14:textId="77777777" w:rsidR="00D667A4" w:rsidRDefault="00D667A4" w:rsidP="00D667A4">
      <w:pPr>
        <w:pStyle w:val="CommentText"/>
      </w:pPr>
    </w:p>
    <w:p w14:paraId="6B687ACC" w14:textId="3BB80274" w:rsidR="000D1A06" w:rsidRPr="000C4057" w:rsidRDefault="000C4057" w:rsidP="000D1A06">
      <w:pPr>
        <w:pStyle w:val="BodyText"/>
        <w:spacing w:line="240" w:lineRule="exact"/>
        <w:ind w:left="0" w:right="30"/>
        <w:rPr>
          <w:rFonts w:asciiTheme="minorHAnsi" w:hAnsiTheme="minorHAnsi"/>
          <w:noProof/>
        </w:rPr>
      </w:pPr>
      <w:r w:rsidRPr="000C4057">
        <w:rPr>
          <w:rFonts w:asciiTheme="minorHAnsi" w:hAnsiTheme="minorHAnsi"/>
        </w:rPr>
        <w:t xml:space="preserve">The roles and powers of city governments across Australia </w:t>
      </w:r>
      <w:r w:rsidR="009612C4">
        <w:rPr>
          <w:rFonts w:asciiTheme="minorHAnsi" w:hAnsiTheme="minorHAnsi"/>
        </w:rPr>
        <w:t>will</w:t>
      </w:r>
      <w:r w:rsidRPr="000C4057">
        <w:rPr>
          <w:rFonts w:asciiTheme="minorHAnsi" w:hAnsiTheme="minorHAnsi"/>
        </w:rPr>
        <w:t xml:space="preserve"> need to be </w:t>
      </w:r>
      <w:r w:rsidR="00D667A4">
        <w:rPr>
          <w:rFonts w:asciiTheme="minorHAnsi" w:hAnsiTheme="minorHAnsi"/>
        </w:rPr>
        <w:t>examined</w:t>
      </w:r>
      <w:r w:rsidR="009612C4">
        <w:rPr>
          <w:rFonts w:asciiTheme="minorHAnsi" w:hAnsiTheme="minorHAnsi"/>
        </w:rPr>
        <w:t xml:space="preserve"> when it comes to </w:t>
      </w:r>
      <w:r w:rsidR="00B361AB">
        <w:rPr>
          <w:rFonts w:asciiTheme="minorHAnsi" w:hAnsiTheme="minorHAnsi"/>
        </w:rPr>
        <w:t xml:space="preserve">developing </w:t>
      </w:r>
      <w:r w:rsidR="009612C4">
        <w:rPr>
          <w:rFonts w:asciiTheme="minorHAnsi" w:hAnsiTheme="minorHAnsi"/>
        </w:rPr>
        <w:t xml:space="preserve">the </w:t>
      </w:r>
      <w:r w:rsidR="00B361AB">
        <w:rPr>
          <w:rFonts w:asciiTheme="minorHAnsi" w:hAnsiTheme="minorHAnsi"/>
        </w:rPr>
        <w:t xml:space="preserve">best </w:t>
      </w:r>
      <w:r w:rsidR="009612C4">
        <w:rPr>
          <w:rFonts w:asciiTheme="minorHAnsi" w:hAnsiTheme="minorHAnsi"/>
        </w:rPr>
        <w:t>governance framework for value capture</w:t>
      </w:r>
      <w:r w:rsidR="000D1A06" w:rsidRPr="000C4057">
        <w:rPr>
          <w:rFonts w:asciiTheme="minorHAnsi" w:hAnsiTheme="minorHAnsi"/>
        </w:rPr>
        <w:t>.</w:t>
      </w:r>
      <w:r w:rsidRPr="000C4057">
        <w:rPr>
          <w:rFonts w:asciiTheme="minorHAnsi" w:hAnsiTheme="minorHAnsi"/>
        </w:rPr>
        <w:t xml:space="preserve"> In some jurisdictions, such as Queensland, local governments are large and relatively independent with substantial balance sheets. They are empowered</w:t>
      </w:r>
      <w:r w:rsidR="000D1A06" w:rsidRPr="000C4057">
        <w:rPr>
          <w:rFonts w:asciiTheme="minorHAnsi" w:hAnsiTheme="minorHAnsi"/>
          <w:noProof/>
        </w:rPr>
        <w:t xml:space="preserve"> </w:t>
      </w:r>
      <w:r w:rsidRPr="000C4057">
        <w:rPr>
          <w:rFonts w:asciiTheme="minorHAnsi" w:hAnsiTheme="minorHAnsi"/>
          <w:noProof/>
        </w:rPr>
        <w:t xml:space="preserve">to act. Gold Coast </w:t>
      </w:r>
      <w:r w:rsidR="00D667A4">
        <w:rPr>
          <w:rFonts w:asciiTheme="minorHAnsi" w:hAnsiTheme="minorHAnsi"/>
          <w:noProof/>
        </w:rPr>
        <w:t>C</w:t>
      </w:r>
      <w:r w:rsidRPr="000C4057">
        <w:rPr>
          <w:rFonts w:asciiTheme="minorHAnsi" w:hAnsiTheme="minorHAnsi"/>
          <w:noProof/>
        </w:rPr>
        <w:t xml:space="preserve">ity is an example of this type of local government. On the other hand, NSW has a sprawling local government sector </w:t>
      </w:r>
      <w:r w:rsidR="000860EE">
        <w:rPr>
          <w:rFonts w:asciiTheme="minorHAnsi" w:hAnsiTheme="minorHAnsi"/>
          <w:noProof/>
        </w:rPr>
        <w:t xml:space="preserve">at present </w:t>
      </w:r>
      <w:r>
        <w:rPr>
          <w:rFonts w:asciiTheme="minorHAnsi" w:hAnsiTheme="minorHAnsi"/>
          <w:noProof/>
        </w:rPr>
        <w:t>with over 150 differnet councils ranging in size from</w:t>
      </w:r>
      <w:r w:rsidR="0033203C">
        <w:rPr>
          <w:rFonts w:asciiTheme="minorHAnsi" w:hAnsiTheme="minorHAnsi"/>
          <w:noProof/>
        </w:rPr>
        <w:t xml:space="preserve"> 312,000</w:t>
      </w:r>
      <w:r>
        <w:rPr>
          <w:rFonts w:asciiTheme="minorHAnsi" w:hAnsiTheme="minorHAnsi"/>
          <w:noProof/>
        </w:rPr>
        <w:t xml:space="preserve"> (Blacktown) </w:t>
      </w:r>
      <w:r w:rsidR="0033203C">
        <w:rPr>
          <w:rFonts w:asciiTheme="minorHAnsi" w:hAnsiTheme="minorHAnsi"/>
          <w:noProof/>
        </w:rPr>
        <w:t>to 1,180 (Urana) people.</w:t>
      </w:r>
      <w:r w:rsidR="0082018C">
        <w:rPr>
          <w:rFonts w:asciiTheme="minorHAnsi" w:hAnsiTheme="minorHAnsi"/>
          <w:noProof/>
        </w:rPr>
        <w:t xml:space="preserve"> </w:t>
      </w:r>
      <w:r w:rsidR="000860EE">
        <w:rPr>
          <w:rFonts w:asciiTheme="minorHAnsi" w:hAnsiTheme="minorHAnsi"/>
          <w:noProof/>
        </w:rPr>
        <w:t>NSW</w:t>
      </w:r>
      <w:r w:rsidR="0082018C">
        <w:rPr>
          <w:rFonts w:asciiTheme="minorHAnsi" w:hAnsiTheme="minorHAnsi"/>
          <w:noProof/>
        </w:rPr>
        <w:t xml:space="preserve"> </w:t>
      </w:r>
      <w:r w:rsidRPr="000C4057">
        <w:rPr>
          <w:rFonts w:asciiTheme="minorHAnsi" w:hAnsiTheme="minorHAnsi"/>
          <w:noProof/>
        </w:rPr>
        <w:t xml:space="preserve">is currently </w:t>
      </w:r>
      <w:r w:rsidR="0082018C">
        <w:rPr>
          <w:rFonts w:asciiTheme="minorHAnsi" w:hAnsiTheme="minorHAnsi"/>
          <w:noProof/>
        </w:rPr>
        <w:t>mov</w:t>
      </w:r>
      <w:r w:rsidR="000860EE">
        <w:rPr>
          <w:rFonts w:asciiTheme="minorHAnsi" w:hAnsiTheme="minorHAnsi"/>
          <w:noProof/>
        </w:rPr>
        <w:t>ing</w:t>
      </w:r>
      <w:r w:rsidRPr="000C4057">
        <w:rPr>
          <w:rFonts w:asciiTheme="minorHAnsi" w:hAnsiTheme="minorHAnsi"/>
          <w:noProof/>
        </w:rPr>
        <w:t xml:space="preserve"> towards </w:t>
      </w:r>
      <w:r w:rsidR="0082018C">
        <w:rPr>
          <w:rFonts w:asciiTheme="minorHAnsi" w:hAnsiTheme="minorHAnsi"/>
          <w:noProof/>
        </w:rPr>
        <w:t xml:space="preserve">amalgamation </w:t>
      </w:r>
      <w:r w:rsidRPr="000C4057">
        <w:rPr>
          <w:rFonts w:asciiTheme="minorHAnsi" w:hAnsiTheme="minorHAnsi"/>
          <w:noProof/>
        </w:rPr>
        <w:t>through the “Fit for the Future”</w:t>
      </w:r>
      <w:r>
        <w:rPr>
          <w:rFonts w:asciiTheme="minorHAnsi" w:hAnsiTheme="minorHAnsi"/>
          <w:noProof/>
        </w:rPr>
        <w:t xml:space="preserve"> process. </w:t>
      </w:r>
      <w:r w:rsidR="0082018C">
        <w:rPr>
          <w:rFonts w:asciiTheme="minorHAnsi" w:hAnsiTheme="minorHAnsi"/>
          <w:noProof/>
        </w:rPr>
        <w:t>This is designed to create sufficient scale in local government to generate services efficiencies and deliver increased capacity for independnent investment activity.</w:t>
      </w:r>
    </w:p>
    <w:p w14:paraId="0773ADE3" w14:textId="77777777" w:rsidR="00120302" w:rsidRDefault="00120302" w:rsidP="000D1A06">
      <w:pPr>
        <w:pStyle w:val="CommentText"/>
      </w:pPr>
    </w:p>
    <w:p w14:paraId="74638CF7" w14:textId="2E7ECCBF" w:rsidR="00120302" w:rsidRDefault="00D667A4" w:rsidP="000D1A06">
      <w:pPr>
        <w:pStyle w:val="CommentText"/>
      </w:pPr>
      <w:r>
        <w:t>Clearly, it is not feasible to introduce a ‘one size fits all’ approach to value capture and innovative funding models for new public transport infrastructure in Australia.</w:t>
      </w:r>
      <w:r w:rsidR="000860EE">
        <w:t xml:space="preserve"> Different states and local governments have different levels of autonomy. There are some cities </w:t>
      </w:r>
      <w:r w:rsidR="00571FAD">
        <w:t xml:space="preserve">with feasible public transport concepts </w:t>
      </w:r>
      <w:r w:rsidR="000860EE">
        <w:t>which are ripe for urban development and value capture</w:t>
      </w:r>
      <w:r w:rsidR="00571FAD">
        <w:t>. These cities and places need to be encouraged to introduce innovative funding models and expedite the development of new public transport infrastructure.</w:t>
      </w:r>
      <w:r w:rsidR="000860EE">
        <w:t xml:space="preserve"> </w:t>
      </w:r>
    </w:p>
    <w:p w14:paraId="39DEB240" w14:textId="77777777" w:rsidR="000860EE" w:rsidRDefault="000860EE" w:rsidP="000D1A06">
      <w:pPr>
        <w:pStyle w:val="CommentText"/>
      </w:pPr>
    </w:p>
    <w:p w14:paraId="2F6922A8" w14:textId="385B6115" w:rsidR="000860EE" w:rsidRDefault="00571FAD" w:rsidP="000D1A06">
      <w:pPr>
        <w:pStyle w:val="CommentText"/>
      </w:pPr>
      <w:r>
        <w:t>The</w:t>
      </w:r>
      <w:r w:rsidR="000860EE">
        <w:t xml:space="preserve"> Commonwealth Govern</w:t>
      </w:r>
      <w:r>
        <w:t>ment</w:t>
      </w:r>
      <w:r w:rsidR="000860EE">
        <w:t xml:space="preserve"> can </w:t>
      </w:r>
      <w:r>
        <w:t>play the role of catalyst in introducing value capture across Australia by ensuring that federal legislation and policy is supportive and by introducing financial incentives which will encourage state and local authorities to act.</w:t>
      </w:r>
    </w:p>
    <w:p w14:paraId="32E157F9" w14:textId="3637B43F" w:rsidR="00EB1DDA" w:rsidRDefault="00D0057A" w:rsidP="008F2B77">
      <w:pPr>
        <w:pStyle w:val="Heading2"/>
      </w:pPr>
      <w:bookmarkStart w:id="119" w:name="_Toc430896866"/>
      <w:r>
        <w:t>C</w:t>
      </w:r>
      <w:r w:rsidR="00EB1DDA">
        <w:t>onclusion</w:t>
      </w:r>
      <w:bookmarkEnd w:id="119"/>
      <w:r w:rsidR="00EB1DDA">
        <w:t xml:space="preserve"> </w:t>
      </w:r>
    </w:p>
    <w:p w14:paraId="319F8F37" w14:textId="24B3E758" w:rsidR="00FA5B09" w:rsidRDefault="00FA5B09" w:rsidP="00FA5B09">
      <w:pPr>
        <w:rPr>
          <w:lang w:val="en-US"/>
        </w:rPr>
      </w:pPr>
      <w:r>
        <w:rPr>
          <w:lang w:val="en-US"/>
        </w:rPr>
        <w:t xml:space="preserve">The evidence is conclusive that value capture should become a normal part of public transport project development and funding in Australia. A value capture framework could be incorporated into the business case for all public transport infrastructure proposals. The framework would assess value </w:t>
      </w:r>
      <w:r>
        <w:rPr>
          <w:lang w:val="en-US"/>
        </w:rPr>
        <w:lastRenderedPageBreak/>
        <w:t xml:space="preserve">capture opportunities, select the best mix of appropriate value capture mechanisms, quantify the amount of funds to be generated and put in place a governance structure to deliver funding. </w:t>
      </w:r>
    </w:p>
    <w:p w14:paraId="5145FB15" w14:textId="77777777" w:rsidR="00FA5B09" w:rsidRDefault="00FA5B09" w:rsidP="00FA5B09">
      <w:pPr>
        <w:rPr>
          <w:lang w:val="en-US"/>
        </w:rPr>
      </w:pPr>
    </w:p>
    <w:p w14:paraId="04BE4720" w14:textId="579482AB" w:rsidR="00FA5B09" w:rsidRDefault="00FA5B09" w:rsidP="00FA5B09">
      <w:pPr>
        <w:rPr>
          <w:lang w:val="en-US"/>
        </w:rPr>
      </w:pPr>
      <w:r>
        <w:rPr>
          <w:lang w:val="en-US"/>
        </w:rPr>
        <w:t>Public infrastructure investment should not create windfall profits for landholders who are fortunate enough to be in control of strategic real estate holdings. Value capture is highly desirable from a social equity perspective, in that tax</w:t>
      </w:r>
      <w:r w:rsidR="00FC0C6D">
        <w:rPr>
          <w:lang w:val="en-US"/>
        </w:rPr>
        <w:t xml:space="preserve"> </w:t>
      </w:r>
      <w:r>
        <w:rPr>
          <w:lang w:val="en-US"/>
        </w:rPr>
        <w:t>payers who are funding the cost of development of transformative infrastructure projects, get to share proportionally in the economic benefits that are created.</w:t>
      </w:r>
    </w:p>
    <w:p w14:paraId="12BB38B8" w14:textId="77777777" w:rsidR="00FA5B09" w:rsidRDefault="00FA5B09" w:rsidP="00FA5B09">
      <w:pPr>
        <w:rPr>
          <w:lang w:val="en-US"/>
        </w:rPr>
      </w:pPr>
      <w:r>
        <w:rPr>
          <w:lang w:val="en-US"/>
        </w:rPr>
        <w:t>Government development policy and individual business case analysis should include project and network corridor preservation as well as property acquisition strategies that maximize value capture outcomes.</w:t>
      </w:r>
    </w:p>
    <w:p w14:paraId="337BB71F" w14:textId="77777777" w:rsidR="00FA5B09" w:rsidRDefault="00FA5B09" w:rsidP="00FA5B09">
      <w:pPr>
        <w:rPr>
          <w:lang w:val="en-US"/>
        </w:rPr>
      </w:pPr>
    </w:p>
    <w:p w14:paraId="2C2CF6A8" w14:textId="77777777" w:rsidR="00FA5B09" w:rsidRDefault="00FA5B09" w:rsidP="00FA5B09">
      <w:pPr>
        <w:rPr>
          <w:lang w:val="en-US"/>
        </w:rPr>
      </w:pPr>
      <w:r>
        <w:rPr>
          <w:lang w:val="en-US"/>
        </w:rPr>
        <w:t>There is clear evidence that the weight of capital seeking to invest in Australia would respond positively to innovative funding models that support public transport infrastructure. This applies to domestic superannuation funds, broader managed funds and overseas investors. Australia is a developed country with a Triple AAA credit rating. It has low levels of risk. Value capture mechanisms such as TIF-related bonds could become an integral part of the Australian investment market generating high levels of funding for new public transport infrastructure to be constructed in major urban centres across Australia.</w:t>
      </w:r>
    </w:p>
    <w:p w14:paraId="53FF4F11" w14:textId="77777777" w:rsidR="00FA5B09" w:rsidRDefault="00FA5B09" w:rsidP="00FA5B09">
      <w:pPr>
        <w:rPr>
          <w:lang w:val="en-US"/>
        </w:rPr>
      </w:pPr>
      <w:r>
        <w:rPr>
          <w:lang w:val="en-US"/>
        </w:rPr>
        <w:t xml:space="preserve"> </w:t>
      </w:r>
    </w:p>
    <w:p w14:paraId="04891652" w14:textId="77777777" w:rsidR="00FA5B09" w:rsidRDefault="00FA5B09" w:rsidP="00FA5B09">
      <w:r>
        <w:t>In conclusion,</w:t>
      </w:r>
      <w:r w:rsidRPr="00C947E3">
        <w:t xml:space="preserve"> </w:t>
      </w:r>
      <w:r>
        <w:t>Australian governments should:</w:t>
      </w:r>
    </w:p>
    <w:p w14:paraId="1A2A04C9" w14:textId="77777777" w:rsidR="00FA5B09" w:rsidRDefault="00FA5B09" w:rsidP="00FA5B09">
      <w:pPr>
        <w:rPr>
          <w:lang w:val="en-AU"/>
        </w:rPr>
      </w:pPr>
    </w:p>
    <w:p w14:paraId="590640F3" w14:textId="77777777" w:rsidR="00FA5B09" w:rsidRDefault="00FA5B09" w:rsidP="00FA5B09">
      <w:pPr>
        <w:pStyle w:val="ListParagraph"/>
        <w:numPr>
          <w:ilvl w:val="0"/>
          <w:numId w:val="60"/>
        </w:numPr>
        <w:contextualSpacing w:val="0"/>
      </w:pPr>
      <w:r>
        <w:t>Maximize returns by not only advocating a broad based use of value capture mechanisms, but they should also take a substantial proportion of the uplift in valuation that occurs in closely proximate areas to the infrastructure development (on a sliding scale in terms of distance from the new station box)</w:t>
      </w:r>
    </w:p>
    <w:p w14:paraId="5FF69161" w14:textId="77777777" w:rsidR="00FA5B09" w:rsidRDefault="00FA5B09" w:rsidP="00FA5B09">
      <w:pPr>
        <w:pStyle w:val="ListParagraph"/>
        <w:numPr>
          <w:ilvl w:val="0"/>
          <w:numId w:val="60"/>
        </w:numPr>
        <w:contextualSpacing w:val="0"/>
      </w:pPr>
      <w:r>
        <w:t>Focus on preserving development corridors and land assembly activities on a strategic level that will maximize value capture outcomes</w:t>
      </w:r>
    </w:p>
    <w:p w14:paraId="11340DAF" w14:textId="468A136B" w:rsidR="00FA5B09" w:rsidRDefault="00FA5B09" w:rsidP="00FA5B09">
      <w:pPr>
        <w:pStyle w:val="ListParagraph"/>
        <w:numPr>
          <w:ilvl w:val="0"/>
          <w:numId w:val="60"/>
        </w:numPr>
        <w:contextualSpacing w:val="0"/>
      </w:pPr>
      <w:r>
        <w:t xml:space="preserve">Use infrastructure development and service improvement to have a discussion with the public about creating a more sustainable level of operating cost recovery for transit systems </w:t>
      </w:r>
    </w:p>
    <w:p w14:paraId="14FDA514" w14:textId="77777777" w:rsidR="00FA5B09" w:rsidRDefault="00FA5B09" w:rsidP="00FA5B09">
      <w:pPr>
        <w:pStyle w:val="ListParagraph"/>
        <w:numPr>
          <w:ilvl w:val="0"/>
          <w:numId w:val="60"/>
        </w:numPr>
        <w:contextualSpacing w:val="0"/>
      </w:pPr>
      <w:r>
        <w:t>Expanding public transport networks when each expansion increases the levels of total network operating losses is a big impediment to network investment.</w:t>
      </w:r>
      <w:r w:rsidDel="001B2B6D">
        <w:t xml:space="preserve"> </w:t>
      </w:r>
      <w:r>
        <w:t>Cities such as Sydney, Melbourne and Brisbane should use this strategy to develop a list of projects where value capture could be employed and demonstrate how PPP and value capture could intersect. These projects would include Sydney Metro, Melbourne Metro, Bays Precinct, Central to Eveleigh, Brisbane Cross River Rail.</w:t>
      </w:r>
    </w:p>
    <w:p w14:paraId="6ACF6697" w14:textId="77777777" w:rsidR="00FA5B09" w:rsidRPr="00FA5B09" w:rsidRDefault="00FA5B09" w:rsidP="00FA5B09">
      <w:pPr>
        <w:tabs>
          <w:tab w:val="left" w:pos="7053"/>
        </w:tabs>
        <w:sectPr w:rsidR="00FA5B09" w:rsidRPr="00FA5B09" w:rsidSect="00E4454D">
          <w:headerReference w:type="default" r:id="rId44"/>
          <w:footerReference w:type="default" r:id="rId45"/>
          <w:pgSz w:w="11906" w:h="16838"/>
          <w:pgMar w:top="1701" w:right="1701" w:bottom="1440" w:left="1701" w:header="709" w:footer="709" w:gutter="0"/>
          <w:cols w:space="708"/>
          <w:docGrid w:linePitch="360"/>
        </w:sectPr>
      </w:pPr>
    </w:p>
    <w:p w14:paraId="47DAE527" w14:textId="77777777" w:rsidR="00611850" w:rsidRDefault="00611850">
      <w:pPr>
        <w:rPr>
          <w:lang w:val="en-US"/>
        </w:rPr>
      </w:pPr>
    </w:p>
    <w:p w14:paraId="3395E901" w14:textId="77777777" w:rsidR="00962195" w:rsidRDefault="00692610">
      <w:r>
        <w:rPr>
          <w:noProof/>
          <w:lang w:val="en-US" w:eastAsia="en-US"/>
        </w:rPr>
        <w:drawing>
          <wp:anchor distT="0" distB="0" distL="114300" distR="114300" simplePos="0" relativeHeight="251677696" behindDoc="1" locked="0" layoutInCell="1" allowOverlap="1" wp14:anchorId="33ECC634" wp14:editId="1D7C8A57">
            <wp:simplePos x="0" y="0"/>
            <wp:positionH relativeFrom="page">
              <wp:align>left</wp:align>
            </wp:positionH>
            <wp:positionV relativeFrom="paragraph">
              <wp:posOffset>-1473541</wp:posOffset>
            </wp:positionV>
            <wp:extent cx="5241851" cy="11057861"/>
            <wp:effectExtent l="0" t="0" r="0" b="0"/>
            <wp:wrapNone/>
            <wp:docPr id="25" name="Picture 8" descr="13301 - Report back green area_1502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301 - Report back green area_150212.jpg"/>
                    <pic:cNvPicPr/>
                  </pic:nvPicPr>
                  <pic:blipFill>
                    <a:blip r:embed="rId46" cstate="email">
                      <a:extLst>
                        <a:ext uri="{28A0092B-C50C-407E-A947-70E740481C1C}">
                          <a14:useLocalDpi xmlns:a14="http://schemas.microsoft.com/office/drawing/2010/main"/>
                        </a:ext>
                      </a:extLst>
                    </a:blip>
                    <a:stretch>
                      <a:fillRect/>
                    </a:stretch>
                  </pic:blipFill>
                  <pic:spPr>
                    <a:xfrm>
                      <a:off x="0" y="0"/>
                      <a:ext cx="5241851" cy="11057861"/>
                    </a:xfrm>
                    <a:prstGeom prst="rect">
                      <a:avLst/>
                    </a:prstGeom>
                  </pic:spPr>
                </pic:pic>
              </a:graphicData>
            </a:graphic>
            <wp14:sizeRelH relativeFrom="margin">
              <wp14:pctWidth>0</wp14:pctWidth>
            </wp14:sizeRelH>
            <wp14:sizeRelV relativeFrom="margin">
              <wp14:pctHeight>0</wp14:pctHeight>
            </wp14:sizeRelV>
          </wp:anchor>
        </w:drawing>
      </w:r>
    </w:p>
    <w:p w14:paraId="19188B0E" w14:textId="77777777" w:rsidR="00962195" w:rsidRDefault="00962195"/>
    <w:p w14:paraId="5D9B5AB2" w14:textId="77777777" w:rsidR="00962195" w:rsidRDefault="00962195"/>
    <w:p w14:paraId="2BF34ADD" w14:textId="77777777" w:rsidR="00962195" w:rsidRDefault="00BC312A">
      <w:r>
        <w:rPr>
          <w:noProof/>
          <w:lang w:val="en-US" w:eastAsia="en-US"/>
        </w:rPr>
        <mc:AlternateContent>
          <mc:Choice Requires="wps">
            <w:drawing>
              <wp:anchor distT="0" distB="0" distL="114300" distR="114300" simplePos="0" relativeHeight="251678720" behindDoc="0" locked="0" layoutInCell="1" allowOverlap="1" wp14:anchorId="4DD3F017" wp14:editId="56AE7CF1">
                <wp:simplePos x="0" y="0"/>
                <wp:positionH relativeFrom="column">
                  <wp:posOffset>4129033</wp:posOffset>
                </wp:positionH>
                <wp:positionV relativeFrom="paragraph">
                  <wp:posOffset>85881</wp:posOffset>
                </wp:positionV>
                <wp:extent cx="2000885" cy="6724015"/>
                <wp:effectExtent l="0" t="0" r="1270" b="19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672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1FA1D" w14:textId="77777777" w:rsidR="00015DC0" w:rsidRDefault="00015DC0" w:rsidP="0073703E">
                            <w:pPr>
                              <w:pStyle w:val="Contactus"/>
                              <w:spacing w:after="97"/>
                            </w:pPr>
                            <w:r>
                              <w:t>Contact us</w:t>
                            </w:r>
                          </w:p>
                          <w:p w14:paraId="1A6519CE" w14:textId="77777777" w:rsidR="00015DC0" w:rsidRDefault="00015DC0" w:rsidP="0073703E">
                            <w:pPr>
                              <w:pStyle w:val="StateOffice"/>
                              <w:spacing w:after="36"/>
                            </w:pPr>
                            <w:r>
                              <w:t>CANBERRA</w:t>
                            </w:r>
                          </w:p>
                          <w:p w14:paraId="339BC390" w14:textId="77777777" w:rsidR="00015DC0" w:rsidRDefault="00015DC0" w:rsidP="0073703E">
                            <w:pPr>
                              <w:pStyle w:val="ContactAddress"/>
                              <w:spacing w:after="36"/>
                            </w:pPr>
                            <w:r>
                              <w:t>Level 6, 39 London Circuit</w:t>
                            </w:r>
                            <w:r>
                              <w:br/>
                              <w:t>Canberra ACT 2601</w:t>
                            </w:r>
                          </w:p>
                          <w:p w14:paraId="79AA28FA" w14:textId="77777777" w:rsidR="00015DC0" w:rsidRDefault="00015DC0" w:rsidP="0073703E">
                            <w:pPr>
                              <w:pStyle w:val="ContactDetails"/>
                              <w:spacing w:after="146"/>
                            </w:pPr>
                            <w:r>
                              <w:t>+61 2 6263 5940</w:t>
                            </w:r>
                            <w:r>
                              <w:br/>
                              <w:t>sgsact@sgsep.com.au</w:t>
                            </w:r>
                          </w:p>
                          <w:p w14:paraId="0FF2EB78" w14:textId="77777777" w:rsidR="00015DC0" w:rsidRDefault="00015DC0" w:rsidP="0073703E">
                            <w:pPr>
                              <w:pStyle w:val="StateOffice"/>
                              <w:spacing w:after="36"/>
                            </w:pPr>
                            <w:r>
                              <w:t>HOBART</w:t>
                            </w:r>
                          </w:p>
                          <w:p w14:paraId="75401CC1" w14:textId="77777777" w:rsidR="00015DC0" w:rsidRDefault="00015DC0" w:rsidP="0073703E">
                            <w:pPr>
                              <w:pStyle w:val="ContactAddress"/>
                              <w:spacing w:after="36"/>
                            </w:pPr>
                            <w:r>
                              <w:t>Unit 2, 5 King Street</w:t>
                            </w:r>
                            <w:r>
                              <w:br/>
                              <w:t>Bellerive TAS 7018</w:t>
                            </w:r>
                          </w:p>
                          <w:p w14:paraId="379C00DD" w14:textId="77777777" w:rsidR="00015DC0" w:rsidRDefault="00015DC0" w:rsidP="0073703E">
                            <w:pPr>
                              <w:pStyle w:val="ContactDetails"/>
                              <w:spacing w:after="146"/>
                            </w:pPr>
                            <w:r>
                              <w:t>+61 (0)439 941 934</w:t>
                            </w:r>
                            <w:r>
                              <w:br/>
                              <w:t>sgstas@sgsep.com.au</w:t>
                            </w:r>
                          </w:p>
                          <w:p w14:paraId="76D9F5B9" w14:textId="77777777" w:rsidR="00015DC0" w:rsidRDefault="00015DC0" w:rsidP="0073703E">
                            <w:pPr>
                              <w:pStyle w:val="StateOffice"/>
                              <w:spacing w:after="36"/>
                            </w:pPr>
                            <w:r>
                              <w:t>MELBOURNE</w:t>
                            </w:r>
                          </w:p>
                          <w:p w14:paraId="22B4B970" w14:textId="77777777" w:rsidR="00015DC0" w:rsidRDefault="00015DC0" w:rsidP="0073703E">
                            <w:pPr>
                              <w:pStyle w:val="ContactAddress"/>
                              <w:spacing w:after="36"/>
                            </w:pPr>
                            <w:r>
                              <w:t>Level 14, 222 Exhibition Street</w:t>
                            </w:r>
                            <w:r>
                              <w:br/>
                              <w:t>Melbourne VIC 3000</w:t>
                            </w:r>
                          </w:p>
                          <w:p w14:paraId="0A3AC1A7" w14:textId="77777777" w:rsidR="00015DC0" w:rsidRDefault="00015DC0" w:rsidP="0073703E">
                            <w:pPr>
                              <w:pStyle w:val="ContactDetails"/>
                              <w:spacing w:after="146"/>
                            </w:pPr>
                            <w:r>
                              <w:t>+61 3 8616 0331</w:t>
                            </w:r>
                            <w:r>
                              <w:br/>
                              <w:t>sgsvic@sgsep.com.au</w:t>
                            </w:r>
                          </w:p>
                          <w:p w14:paraId="0B23CD7B" w14:textId="77777777" w:rsidR="00015DC0" w:rsidRDefault="00015DC0" w:rsidP="0073703E">
                            <w:pPr>
                              <w:pStyle w:val="StateOffice"/>
                              <w:spacing w:after="36"/>
                            </w:pPr>
                            <w:r>
                              <w:t>SYDNEY</w:t>
                            </w:r>
                          </w:p>
                          <w:p w14:paraId="778EA8CB" w14:textId="77777777" w:rsidR="00015DC0" w:rsidRDefault="00015DC0" w:rsidP="0073703E">
                            <w:pPr>
                              <w:pStyle w:val="ContactAddress"/>
                              <w:spacing w:after="36"/>
                            </w:pPr>
                            <w:r>
                              <w:t>209/50 Holt Street</w:t>
                            </w:r>
                            <w:r>
                              <w:br/>
                              <w:t>Surry Hills NSW 2010</w:t>
                            </w:r>
                          </w:p>
                          <w:p w14:paraId="36EE6E08" w14:textId="77777777" w:rsidR="00015DC0" w:rsidRDefault="00015DC0" w:rsidP="0073703E">
                            <w:pPr>
                              <w:pStyle w:val="ContactDetails"/>
                              <w:spacing w:after="146"/>
                            </w:pPr>
                            <w:r>
                              <w:t>+61 2 8307 0121</w:t>
                            </w:r>
                            <w:r>
                              <w:br/>
                              <w:t>sgsnsw@sgsep.com.au</w:t>
                            </w:r>
                          </w:p>
                          <w:p w14:paraId="73FFED2A" w14:textId="77777777" w:rsidR="00015DC0" w:rsidRDefault="00015DC0" w:rsidP="0073703E">
                            <w:pPr>
                              <w:pStyle w:val="ContactDetails"/>
                              <w:spacing w:after="146"/>
                            </w:pPr>
                          </w:p>
                          <w:p w14:paraId="3C3A504E" w14:textId="77777777" w:rsidR="00015DC0" w:rsidRDefault="00015DC0" w:rsidP="0073703E">
                            <w:pPr>
                              <w:pStyle w:val="ContactDetails"/>
                              <w:spacing w:after="146"/>
                            </w:pPr>
                            <w:r w:rsidRPr="00BF1599">
                              <w:rPr>
                                <w:noProof/>
                                <w:lang w:val="en-US" w:eastAsia="en-US"/>
                              </w:rPr>
                              <w:drawing>
                                <wp:inline distT="0" distB="0" distL="0" distR="0" wp14:anchorId="33C21F2E" wp14:editId="3932FF27">
                                  <wp:extent cx="1682496" cy="724045"/>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 Logo_Outlined__191211.emf"/>
                                          <pic:cNvPicPr/>
                                        </pic:nvPicPr>
                                        <pic:blipFill rotWithShape="1">
                                          <a:blip r:embed="rId47">
                                            <a:extLst>
                                              <a:ext uri="{28A0092B-C50C-407E-A947-70E740481C1C}">
                                                <a14:useLocalDpi xmlns:a14="http://schemas.microsoft.com/office/drawing/2010/main" val="0"/>
                                              </a:ext>
                                            </a:extLst>
                                          </a:blip>
                                          <a:srcRect l="25953" t="41762" r="29286" b="44598"/>
                                          <a:stretch/>
                                        </pic:blipFill>
                                        <pic:spPr bwMode="auto">
                                          <a:xfrm>
                                            <a:off x="0" y="0"/>
                                            <a:ext cx="1682496" cy="724045"/>
                                          </a:xfrm>
                                          <a:prstGeom prst="rect">
                                            <a:avLst/>
                                          </a:prstGeom>
                                          <a:ln>
                                            <a:noFill/>
                                          </a:ln>
                                          <a:extLst>
                                            <a:ext uri="{53640926-AAD7-44d8-BBD7-CCE9431645EC}">
                                              <a14:shadowObscured xmlns:a14="http://schemas.microsoft.com/office/drawing/2010/main"/>
                                            </a:ext>
                                          </a:extLst>
                                        </pic:spPr>
                                      </pic:pic>
                                    </a:graphicData>
                                  </a:graphic>
                                </wp:inline>
                              </w:drawing>
                            </w:r>
                          </w:p>
                          <w:p w14:paraId="2427977B" w14:textId="77777777" w:rsidR="00015DC0" w:rsidRPr="00DE43EB" w:rsidRDefault="00015DC0" w:rsidP="0073703E">
                            <w:pPr>
                              <w:pStyle w:val="ContactDetails"/>
                              <w:spacing w:after="14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D3F017" id="_x0000_t202" coordsize="21600,21600" o:spt="202" path="m,l,21600r21600,l21600,xe">
                <v:stroke joinstyle="miter"/>
                <v:path gradientshapeok="t" o:connecttype="rect"/>
              </v:shapetype>
              <v:shape id="Text Box 10" o:spid="_x0000_s1030" type="#_x0000_t202" style="position:absolute;margin-left:325.1pt;margin-top:6.75pt;width:157.55pt;height:52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" stroked="f">
                <v:textbox>
                  <w:txbxContent>
                    <w:p w14:paraId="4981FA1D" w14:textId="77777777" w:rsidR="00D82775" w:rsidRDefault="00D82775" w:rsidP="0073703E">
                      <w:pPr>
                        <w:pStyle w:val="Contactus"/>
                        <w:spacing w:after="97"/>
                      </w:pPr>
                      <w:r>
                        <w:t>Contact us</w:t>
                      </w:r>
                    </w:p>
                    <w:p w14:paraId="1A6519CE" w14:textId="77777777" w:rsidR="00D82775" w:rsidRDefault="00D82775" w:rsidP="0073703E">
                      <w:pPr>
                        <w:pStyle w:val="StateOffice"/>
                        <w:spacing w:after="36"/>
                      </w:pPr>
                      <w:r>
                        <w:t>CANBERRA</w:t>
                      </w:r>
                    </w:p>
                    <w:p w14:paraId="339BC390" w14:textId="77777777" w:rsidR="00D82775" w:rsidRDefault="00D82775" w:rsidP="0073703E">
                      <w:pPr>
                        <w:pStyle w:val="ContactAddress"/>
                        <w:spacing w:after="36"/>
                      </w:pPr>
                      <w:r>
                        <w:t>Level 6, 39 London Circuit</w:t>
                      </w:r>
                      <w:r>
                        <w:br/>
                        <w:t>Canberra ACT 2601</w:t>
                      </w:r>
                    </w:p>
                    <w:p w14:paraId="79AA28FA" w14:textId="77777777" w:rsidR="00D82775" w:rsidRDefault="00D82775" w:rsidP="0073703E">
                      <w:pPr>
                        <w:pStyle w:val="ContactDetails"/>
                        <w:spacing w:after="146"/>
                      </w:pPr>
                      <w:r>
                        <w:t>+61 2 6263 5940</w:t>
                      </w:r>
                      <w:r>
                        <w:br/>
                        <w:t>sgsact@sgsep.com.au</w:t>
                      </w:r>
                    </w:p>
                    <w:p w14:paraId="0FF2EB78" w14:textId="77777777" w:rsidR="00D82775" w:rsidRDefault="00D82775" w:rsidP="0073703E">
                      <w:pPr>
                        <w:pStyle w:val="StateOffice"/>
                        <w:spacing w:after="36"/>
                      </w:pPr>
                      <w:r>
                        <w:t>HOBART</w:t>
                      </w:r>
                    </w:p>
                    <w:p w14:paraId="75401CC1" w14:textId="77777777" w:rsidR="00D82775" w:rsidRDefault="00D82775" w:rsidP="0073703E">
                      <w:pPr>
                        <w:pStyle w:val="ContactAddress"/>
                        <w:spacing w:after="36"/>
                      </w:pPr>
                      <w:r>
                        <w:t>Unit 2, 5 King Street</w:t>
                      </w:r>
                      <w:r>
                        <w:br/>
                        <w:t>Bellerive TAS 7018</w:t>
                      </w:r>
                    </w:p>
                    <w:p w14:paraId="379C00DD" w14:textId="77777777" w:rsidR="00D82775" w:rsidRDefault="00D82775" w:rsidP="0073703E">
                      <w:pPr>
                        <w:pStyle w:val="ContactDetails"/>
                        <w:spacing w:after="146"/>
                      </w:pPr>
                      <w:r>
                        <w:t>+61 (0)439 941 934</w:t>
                      </w:r>
                      <w:r>
                        <w:br/>
                        <w:t>sgstas@sgsep.com.au</w:t>
                      </w:r>
                    </w:p>
                    <w:p w14:paraId="76D9F5B9" w14:textId="77777777" w:rsidR="00D82775" w:rsidRDefault="00D82775" w:rsidP="0073703E">
                      <w:pPr>
                        <w:pStyle w:val="StateOffice"/>
                        <w:spacing w:after="36"/>
                      </w:pPr>
                      <w:r>
                        <w:t>MELBOURNE</w:t>
                      </w:r>
                    </w:p>
                    <w:p w14:paraId="22B4B970" w14:textId="77777777" w:rsidR="00D82775" w:rsidRDefault="00D82775" w:rsidP="0073703E">
                      <w:pPr>
                        <w:pStyle w:val="ContactAddress"/>
                        <w:spacing w:after="36"/>
                      </w:pPr>
                      <w:r>
                        <w:t>Level 14, 222 Exhibition Street</w:t>
                      </w:r>
                      <w:r>
                        <w:br/>
                        <w:t>Melbourne VIC 3000</w:t>
                      </w:r>
                    </w:p>
                    <w:p w14:paraId="0A3AC1A7" w14:textId="77777777" w:rsidR="00D82775" w:rsidRDefault="00D82775" w:rsidP="0073703E">
                      <w:pPr>
                        <w:pStyle w:val="ContactDetails"/>
                        <w:spacing w:after="146"/>
                      </w:pPr>
                      <w:r>
                        <w:t>+61 3 8616 0331</w:t>
                      </w:r>
                      <w:r>
                        <w:br/>
                        <w:t>sgsvic@sgsep.com.au</w:t>
                      </w:r>
                    </w:p>
                    <w:p w14:paraId="0B23CD7B" w14:textId="77777777" w:rsidR="00D82775" w:rsidRDefault="00D82775" w:rsidP="0073703E">
                      <w:pPr>
                        <w:pStyle w:val="StateOffice"/>
                        <w:spacing w:after="36"/>
                      </w:pPr>
                      <w:r>
                        <w:t>SYDNEY</w:t>
                      </w:r>
                    </w:p>
                    <w:p w14:paraId="778EA8CB" w14:textId="77777777" w:rsidR="00D82775" w:rsidRDefault="00D82775" w:rsidP="0073703E">
                      <w:pPr>
                        <w:pStyle w:val="ContactAddress"/>
                        <w:spacing w:after="36"/>
                      </w:pPr>
                      <w:r>
                        <w:t>209/50 Holt Street</w:t>
                      </w:r>
                      <w:r>
                        <w:br/>
                        <w:t>Surry Hills NSW 2010</w:t>
                      </w:r>
                    </w:p>
                    <w:p w14:paraId="36EE6E08" w14:textId="77777777" w:rsidR="00D82775" w:rsidRDefault="00D82775" w:rsidP="0073703E">
                      <w:pPr>
                        <w:pStyle w:val="ContactDetails"/>
                        <w:spacing w:after="146"/>
                      </w:pPr>
                      <w:r>
                        <w:t>+61 2 8307 0121</w:t>
                      </w:r>
                      <w:r>
                        <w:br/>
                        <w:t>sgsnsw@sgsep.com.au</w:t>
                      </w:r>
                    </w:p>
                    <w:p w14:paraId="73FFED2A" w14:textId="77777777" w:rsidR="00D82775" w:rsidRDefault="00D82775" w:rsidP="0073703E">
                      <w:pPr>
                        <w:pStyle w:val="ContactDetails"/>
                        <w:spacing w:after="146"/>
                      </w:pPr>
                    </w:p>
                    <w:p w14:paraId="3C3A504E" w14:textId="77777777" w:rsidR="00D82775" w:rsidRDefault="00D82775" w:rsidP="0073703E">
                      <w:pPr>
                        <w:pStyle w:val="ContactDetails"/>
                        <w:spacing w:after="146"/>
                      </w:pPr>
                      <w:r w:rsidRPr="00BF1599">
                        <w:rPr>
                          <w:noProof/>
                          <w:lang w:eastAsia="en-AU"/>
                        </w:rPr>
                        <w:drawing>
                          <wp:inline distT="0" distB="0" distL="0" distR="0" wp14:anchorId="33C21F2E" wp14:editId="3932FF27">
                            <wp:extent cx="1682496" cy="724045"/>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 Logo_Outlined__191211.emf"/>
                                    <pic:cNvPicPr/>
                                  </pic:nvPicPr>
                                  <pic:blipFill rotWithShape="1">
                                    <a:blip r:embed="rId48">
                                      <a:extLst>
                                        <a:ext uri="{28A0092B-C50C-407E-A947-70E740481C1C}">
                                          <a14:useLocalDpi xmlns:a14="http://schemas.microsoft.com/office/drawing/2010/main" val="0"/>
                                        </a:ext>
                                      </a:extLst>
                                    </a:blip>
                                    <a:srcRect l="25953" t="41762" r="29286" b="44598"/>
                                    <a:stretch/>
                                  </pic:blipFill>
                                  <pic:spPr bwMode="auto">
                                    <a:xfrm>
                                      <a:off x="0" y="0"/>
                                      <a:ext cx="1682496" cy="724045"/>
                                    </a:xfrm>
                                    <a:prstGeom prst="rect">
                                      <a:avLst/>
                                    </a:prstGeom>
                                    <a:ln>
                                      <a:noFill/>
                                    </a:ln>
                                    <a:extLst>
                                      <a:ext uri="{53640926-AAD7-44D8-BBD7-CCE9431645EC}">
                                        <a14:shadowObscured xmlns:a14="http://schemas.microsoft.com/office/drawing/2010/main"/>
                                      </a:ext>
                                    </a:extLst>
                                  </pic:spPr>
                                </pic:pic>
                              </a:graphicData>
                            </a:graphic>
                          </wp:inline>
                        </w:drawing>
                      </w:r>
                    </w:p>
                    <w:p w14:paraId="2427977B" w14:textId="77777777" w:rsidR="00D82775" w:rsidRPr="00DE43EB" w:rsidRDefault="00D82775" w:rsidP="0073703E">
                      <w:pPr>
                        <w:pStyle w:val="ContactDetails"/>
                        <w:spacing w:after="146"/>
                      </w:pPr>
                    </w:p>
                  </w:txbxContent>
                </v:textbox>
              </v:shape>
            </w:pict>
          </mc:Fallback>
        </mc:AlternateContent>
      </w:r>
    </w:p>
    <w:p w14:paraId="2F8BBEDA" w14:textId="77777777" w:rsidR="0073703E" w:rsidRDefault="0073703E" w:rsidP="00EC2E52"/>
    <w:p w14:paraId="1F257E60" w14:textId="77777777" w:rsidR="006C0647" w:rsidRDefault="006C0647" w:rsidP="00EC2E52"/>
    <w:p w14:paraId="7C6DDFCB" w14:textId="77777777" w:rsidR="00C5181E" w:rsidRDefault="00C5181E"/>
    <w:sectPr w:rsidR="00C5181E" w:rsidSect="004D7E25">
      <w:footerReference w:type="default" r:id="rId49"/>
      <w:pgSz w:w="11906" w:h="16838"/>
      <w:pgMar w:top="1701" w:right="1701" w:bottom="1440"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66AFB" w14:textId="77777777" w:rsidR="00015DC0" w:rsidRDefault="00015DC0" w:rsidP="007A3A88">
      <w:r>
        <w:separator/>
      </w:r>
    </w:p>
  </w:endnote>
  <w:endnote w:type="continuationSeparator" w:id="0">
    <w:p w14:paraId="64C4C633" w14:textId="77777777" w:rsidR="00015DC0" w:rsidRDefault="00015DC0" w:rsidP="007A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DINPro-Bold">
    <w:panose1 w:val="00000000000000000000"/>
    <w:charset w:val="00"/>
    <w:family w:val="swiss"/>
    <w:notTrueType/>
    <w:pitch w:val="variable"/>
    <w:sig w:usb0="A00002BF" w:usb1="4000207B" w:usb2="00000000" w:usb3="00000000" w:csb0="0000009F" w:csb1="00000000"/>
  </w:font>
  <w:font w:name="DINPro-Light">
    <w:panose1 w:val="00000000000000000000"/>
    <w:charset w:val="00"/>
    <w:family w:val="swiss"/>
    <w:notTrueType/>
    <w:pitch w:val="variable"/>
    <w:sig w:usb0="A00002BF" w:usb1="4000207B"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Bold">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Premr Pro">
    <w:altName w:val="Times New Roman"/>
    <w:charset w:val="00"/>
    <w:family w:val="roman"/>
    <w:pitch w:val="variable"/>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JGXWLZ+TheSans-B3Light">
    <w:altName w:val="The Sans"/>
    <w:panose1 w:val="00000000000000000000"/>
    <w:charset w:val="00"/>
    <w:family w:val="swiss"/>
    <w:notTrueType/>
    <w:pitch w:val="default"/>
    <w:sig w:usb0="00000003" w:usb1="00000000" w:usb2="00000000" w:usb3="00000000" w:csb0="00000001" w:csb1="00000000"/>
  </w:font>
  <w:font w:name="XOHCZX+AkzidenzGrotesk-Black">
    <w:altName w:val="Akzidenz Grotesk"/>
    <w:panose1 w:val="00000000000000000000"/>
    <w:charset w:val="00"/>
    <w:family w:val="swiss"/>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755AD" w14:textId="77777777" w:rsidR="00015DC0" w:rsidRPr="006B7E80" w:rsidRDefault="00184C79" w:rsidP="00DE59D2">
    <w:pPr>
      <w:pStyle w:val="PageNo"/>
    </w:pPr>
    <w:r>
      <w:fldChar w:fldCharType="begin"/>
    </w:r>
    <w:r>
      <w:instrText xml:space="preserve"> FILENAME   \* MERGEFORMAT </w:instrText>
    </w:r>
    <w:r>
      <w:fldChar w:fldCharType="separate"/>
    </w:r>
    <w:r>
      <w:t>RTBU Report v14 FINAL DRAFT (002) PT BD FINAL.docx</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33EB3" w14:textId="77777777" w:rsidR="00015DC0" w:rsidRDefault="00015DC0">
    <w:pPr>
      <w:spacing w:line="14" w:lineRule="auto"/>
      <w:rPr>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50866" w14:textId="77777777" w:rsidR="00015DC0" w:rsidRPr="00961D80" w:rsidRDefault="00015DC0" w:rsidP="00611850">
    <w:pPr>
      <w:pStyle w:val="Footer"/>
    </w:pPr>
    <w:r w:rsidRPr="00961D80">
      <w:rPr>
        <w:lang w:val="en-US" w:eastAsia="en-US"/>
      </w:rPr>
      <w:drawing>
        <wp:anchor distT="0" distB="0" distL="114300" distR="114300" simplePos="0" relativeHeight="251659776" behindDoc="0" locked="0" layoutInCell="1" allowOverlap="1" wp14:anchorId="12325E8D" wp14:editId="3161F71A">
          <wp:simplePos x="0" y="0"/>
          <wp:positionH relativeFrom="column">
            <wp:posOffset>4749165</wp:posOffset>
          </wp:positionH>
          <wp:positionV relativeFrom="paragraph">
            <wp:posOffset>8890</wp:posOffset>
          </wp:positionV>
          <wp:extent cx="657225" cy="276225"/>
          <wp:effectExtent l="19050" t="0" r="0" b="0"/>
          <wp:wrapThrough wrapText="bothSides">
            <wp:wrapPolygon edited="0">
              <wp:start x="2504" y="1490"/>
              <wp:lineTo x="-626" y="5959"/>
              <wp:lineTo x="0" y="20855"/>
              <wp:lineTo x="18783" y="20855"/>
              <wp:lineTo x="21287" y="20855"/>
              <wp:lineTo x="21287" y="1490"/>
              <wp:lineTo x="2504" y="1490"/>
            </wp:wrapPolygon>
          </wp:wrapThrough>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 Logo_Outlined__191211.emf"/>
                  <pic:cNvPicPr/>
                </pic:nvPicPr>
                <pic:blipFill rotWithShape="1">
                  <a:blip r:embed="rId1">
                    <a:extLst>
                      <a:ext uri="{28A0092B-C50C-407E-A947-70E740481C1C}">
                        <a14:useLocalDpi xmlns:a14="http://schemas.microsoft.com/office/drawing/2010/main" val="0"/>
                      </a:ext>
                    </a:extLst>
                  </a:blip>
                  <a:srcRect l="25953" t="41762" r="29286" b="44598"/>
                  <a:stretch/>
                </pic:blipFill>
                <pic:spPr bwMode="auto">
                  <a:xfrm>
                    <a:off x="0" y="0"/>
                    <a:ext cx="657225" cy="276225"/>
                  </a:xfrm>
                  <a:prstGeom prst="rect">
                    <a:avLst/>
                  </a:prstGeom>
                  <a:ln>
                    <a:noFill/>
                  </a:ln>
                  <a:extLst>
                    <a:ext uri="{53640926-AAD7-44d8-BBD7-CCE9431645EC}">
                      <a14:shadowObscured xmlns:a14="http://schemas.microsoft.com/office/drawing/2010/main"/>
                    </a:ext>
                  </a:extLst>
                </pic:spPr>
              </pic:pic>
            </a:graphicData>
          </a:graphic>
        </wp:anchor>
      </w:drawing>
    </w:r>
    <w:r w:rsidRPr="00961D80">
      <w:t xml:space="preserve"> </w:t>
    </w:r>
    <w:r w:rsidR="00184C79">
      <w:fldChar w:fldCharType="begin"/>
    </w:r>
    <w:r w:rsidR="00184C79">
      <w:instrText xml:space="preserve"> STYLEREF  "Cover Title 2"  \* MERGEFORMAT </w:instrText>
    </w:r>
    <w:r w:rsidR="00184C79">
      <w:fldChar w:fldCharType="separate"/>
    </w:r>
    <w:r w:rsidR="00184C79" w:rsidRPr="00184C79">
      <w:rPr>
        <w:bCs/>
        <w:lang w:val="en-US"/>
      </w:rPr>
      <w:t>Innovative Funding</w:t>
    </w:r>
    <w:r w:rsidR="00184C79">
      <w:t xml:space="preserve"> Models for Public Transport in Australia</w:t>
    </w:r>
    <w:r w:rsidR="00184C79">
      <w:fldChar w:fldCharType="end"/>
    </w:r>
    <w:r>
      <w:t xml:space="preserve">   </w:t>
    </w:r>
    <w:r>
      <w:fldChar w:fldCharType="begin"/>
    </w:r>
    <w:r>
      <w:instrText xml:space="preserve"> PAGE  \* Arabic  \* MERGEFORMAT </w:instrText>
    </w:r>
    <w:r>
      <w:fldChar w:fldCharType="separate"/>
    </w:r>
    <w:r w:rsidR="00184C79">
      <w:t>50</w:t>
    </w:r>
    <w:r>
      <w:fldChar w:fldCharType="end"/>
    </w:r>
  </w:p>
  <w:p w14:paraId="754FE8F3" w14:textId="77777777" w:rsidR="00015DC0" w:rsidRDefault="00015DC0">
    <w:pPr>
      <w:spacing w:line="14" w:lineRule="auto"/>
      <w:rPr>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8A665" w14:textId="77777777" w:rsidR="00015DC0" w:rsidRPr="00A76A7E" w:rsidRDefault="00015DC0" w:rsidP="00961D80">
    <w:pPr>
      <w:pStyle w:val="Footer"/>
    </w:pPr>
    <w:r w:rsidRPr="00961D80">
      <w:rPr>
        <w:lang w:val="en-US" w:eastAsia="en-US"/>
      </w:rPr>
      <w:drawing>
        <wp:anchor distT="0" distB="0" distL="114300" distR="114300" simplePos="0" relativeHeight="251656704" behindDoc="0" locked="0" layoutInCell="1" allowOverlap="1" wp14:anchorId="16517CE9" wp14:editId="4F31AFAA">
          <wp:simplePos x="0" y="0"/>
          <wp:positionH relativeFrom="column">
            <wp:posOffset>4749165</wp:posOffset>
          </wp:positionH>
          <wp:positionV relativeFrom="paragraph">
            <wp:posOffset>8890</wp:posOffset>
          </wp:positionV>
          <wp:extent cx="657225" cy="276225"/>
          <wp:effectExtent l="19050" t="0" r="0" b="0"/>
          <wp:wrapThrough wrapText="bothSides">
            <wp:wrapPolygon edited="0">
              <wp:start x="2504" y="1490"/>
              <wp:lineTo x="-626" y="5959"/>
              <wp:lineTo x="0" y="20855"/>
              <wp:lineTo x="18783" y="20855"/>
              <wp:lineTo x="21287" y="20855"/>
              <wp:lineTo x="21287" y="1490"/>
              <wp:lineTo x="2504" y="1490"/>
            </wp:wrapPolygon>
          </wp:wrapThrough>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 Logo_Outlined__191211.emf"/>
                  <pic:cNvPicPr/>
                </pic:nvPicPr>
                <pic:blipFill rotWithShape="1">
                  <a:blip r:embed="rId1">
                    <a:extLst>
                      <a:ext uri="{28A0092B-C50C-407E-A947-70E740481C1C}">
                        <a14:useLocalDpi xmlns:a14="http://schemas.microsoft.com/office/drawing/2010/main" val="0"/>
                      </a:ext>
                    </a:extLst>
                  </a:blip>
                  <a:srcRect l="25953" t="41762" r="29286" b="44598"/>
                  <a:stretch/>
                </pic:blipFill>
                <pic:spPr bwMode="auto">
                  <a:xfrm>
                    <a:off x="0" y="0"/>
                    <a:ext cx="657225" cy="276225"/>
                  </a:xfrm>
                  <a:prstGeom prst="rect">
                    <a:avLst/>
                  </a:prstGeom>
                  <a:ln>
                    <a:noFill/>
                  </a:ln>
                  <a:extLst>
                    <a:ext uri="{53640926-AAD7-44d8-BBD7-CCE9431645EC}">
                      <a14:shadowObscured xmlns:a14="http://schemas.microsoft.com/office/drawing/2010/main"/>
                    </a:ext>
                  </a:extLst>
                </pic:spPr>
              </pic:pic>
            </a:graphicData>
          </a:graphic>
        </wp:anchor>
      </w:drawing>
    </w:r>
    <w:r w:rsidRPr="00961D80">
      <w:t xml:space="preserve"> </w:t>
    </w:r>
    <w:r w:rsidR="00184C79">
      <w:fldChar w:fldCharType="begin"/>
    </w:r>
    <w:r w:rsidR="00184C79">
      <w:instrText xml:space="preserve"> STYLEREF  "Cover Title 2"  \* MERGEFORMAT </w:instrText>
    </w:r>
    <w:r w:rsidR="00184C79">
      <w:fldChar w:fldCharType="separate"/>
    </w:r>
    <w:r w:rsidR="00184C79" w:rsidRPr="00184C79">
      <w:rPr>
        <w:bCs/>
        <w:lang w:val="en-US"/>
      </w:rPr>
      <w:t>Innovative Funding</w:t>
    </w:r>
    <w:r w:rsidR="00184C79">
      <w:t xml:space="preserve"> Models for Public Transport in Australia</w:t>
    </w:r>
    <w:r w:rsidR="00184C79">
      <w:fldChar w:fldCharType="end"/>
    </w:r>
    <w:r>
      <w:t xml:space="preserve">   </w:t>
    </w:r>
    <w:r>
      <w:fldChar w:fldCharType="begin"/>
    </w:r>
    <w:r>
      <w:instrText xml:space="preserve"> PAGE  \* Arabic  \* MERGEFORMAT </w:instrText>
    </w:r>
    <w:r>
      <w:fldChar w:fldCharType="separate"/>
    </w:r>
    <w:r w:rsidR="00184C79">
      <w:t>54</w:t>
    </w:r>
    <w:r>
      <w:fldChar w:fldCharType="end"/>
    </w:r>
  </w:p>
  <w:p w14:paraId="33742E19" w14:textId="77777777" w:rsidR="00015DC0" w:rsidRPr="00961D80" w:rsidRDefault="00015DC0" w:rsidP="00961D80">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8026" w14:textId="77777777" w:rsidR="00015DC0" w:rsidRPr="00961D80" w:rsidRDefault="00015DC0" w:rsidP="00961D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A11ED" w14:textId="77777777" w:rsidR="00015DC0" w:rsidRPr="0051361A" w:rsidRDefault="00015DC0" w:rsidP="00DE59D2">
      <w:pPr>
        <w:pStyle w:val="Footer"/>
      </w:pPr>
      <w:r>
        <w:rPr>
          <w:lang w:val="en-US" w:eastAsia="en-US"/>
        </w:rPr>
        <mc:AlternateContent>
          <mc:Choice Requires="wps">
            <w:drawing>
              <wp:anchor distT="0" distB="0" distL="114300" distR="114300" simplePos="0" relativeHeight="251659264" behindDoc="0" locked="0" layoutInCell="1" allowOverlap="1" wp14:anchorId="4C5EB233" wp14:editId="67E7272A">
                <wp:simplePos x="0" y="0"/>
                <wp:positionH relativeFrom="column">
                  <wp:posOffset>1236980</wp:posOffset>
                </wp:positionH>
                <wp:positionV relativeFrom="paragraph">
                  <wp:posOffset>9424035</wp:posOffset>
                </wp:positionV>
                <wp:extent cx="5177790" cy="0"/>
                <wp:effectExtent l="8255" t="13335" r="5080" b="571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7790" cy="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A7C7AF" id="_x0000_t32" coordsize="21600,21600" o:spt="32" o:oned="t" path="m,l21600,21600e" filled="f">
                <v:path arrowok="t" fillok="f" o:connecttype="none"/>
                <o:lock v:ext="edit" shapetype="t"/>
              </v:shapetype>
              <v:shape id="AutoShape 4" o:spid="_x0000_s1026" type="#_x0000_t32" style="position:absolute;margin-left:97.4pt;margin-top:742.05pt;width:407.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" strokecolor="#0097ac [3206]"/>
            </w:pict>
          </mc:Fallback>
        </mc:AlternateContent>
      </w:r>
    </w:p>
  </w:footnote>
  <w:footnote w:type="continuationSeparator" w:id="0">
    <w:p w14:paraId="22DC066E" w14:textId="77777777" w:rsidR="00015DC0" w:rsidRDefault="00015DC0" w:rsidP="007A3A88">
      <w:r>
        <w:rPr>
          <w:noProof/>
          <w:lang w:val="en-US" w:eastAsia="en-US"/>
        </w:rPr>
        <mc:AlternateContent>
          <mc:Choice Requires="wps">
            <w:drawing>
              <wp:anchor distT="0" distB="0" distL="114300" distR="114300" simplePos="0" relativeHeight="251661312" behindDoc="0" locked="0" layoutInCell="1" allowOverlap="1" wp14:anchorId="6DEF7230" wp14:editId="15FC9F8A">
                <wp:simplePos x="0" y="0"/>
                <wp:positionH relativeFrom="column">
                  <wp:posOffset>1084580</wp:posOffset>
                </wp:positionH>
                <wp:positionV relativeFrom="paragraph">
                  <wp:posOffset>9271635</wp:posOffset>
                </wp:positionV>
                <wp:extent cx="5177790" cy="0"/>
                <wp:effectExtent l="8255" t="13335" r="5080" b="57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7790" cy="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29AB91" id="_x0000_t32" coordsize="21600,21600" o:spt="32" o:oned="t" path="m,l21600,21600e" filled="f">
                <v:path arrowok="t" fillok="f" o:connecttype="none"/>
                <o:lock v:ext="edit" shapetype="t"/>
              </v:shapetype>
              <v:shape id="AutoShape 3" o:spid="_x0000_s1026" type="#_x0000_t32" style="position:absolute;margin-left:85.4pt;margin-top:730.05pt;width:40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" strokecolor="#0097ac [3206]"/>
            </w:pict>
          </mc:Fallback>
        </mc:AlternateContent>
      </w:r>
    </w:p>
  </w:footnote>
  <w:footnote w:type="continuationNotice" w:id="1">
    <w:p w14:paraId="51BF36D3" w14:textId="77777777" w:rsidR="00015DC0" w:rsidRDefault="00015DC0"/>
  </w:footnote>
  <w:footnote w:id="2">
    <w:p w14:paraId="402CEF5D" w14:textId="77777777" w:rsidR="00015DC0" w:rsidRDefault="00015DC0" w:rsidP="009F4F91">
      <w:pPr>
        <w:pStyle w:val="FootnoteText"/>
      </w:pPr>
      <w:r>
        <w:rPr>
          <w:rStyle w:val="FootnoteReference"/>
        </w:rPr>
        <w:footnoteRef/>
      </w:r>
      <w:r>
        <w:t xml:space="preserve"> Light.nl, Transport Orientated Development and the Use of Light Rail in UK’s conurbations. </w:t>
      </w:r>
      <w:hyperlink r:id="rId1" w:history="1">
        <w:r>
          <w:rPr>
            <w:rStyle w:val="Hyperlink"/>
          </w:rPr>
          <w:t>http://www.lightrail.nl/uk/uk.htm</w:t>
        </w:r>
      </w:hyperlink>
    </w:p>
  </w:footnote>
  <w:footnote w:id="3">
    <w:p w14:paraId="16E79E20" w14:textId="77777777" w:rsidR="00015DC0" w:rsidRDefault="00015DC0" w:rsidP="009F4F91">
      <w:pPr>
        <w:pStyle w:val="FootnoteText"/>
      </w:pPr>
      <w:r>
        <w:rPr>
          <w:rStyle w:val="FootnoteReference"/>
        </w:rPr>
        <w:footnoteRef/>
      </w:r>
      <w:r>
        <w:t xml:space="preserve"> Buck Consultants Internation, Twynstra Gudde, LiRa Pilot 3 : Light Rail, Economic Impact and real estate development. </w:t>
      </w:r>
      <w:hyperlink r:id="rId2" w:history="1">
        <w:r>
          <w:rPr>
            <w:rStyle w:val="Hyperlink"/>
          </w:rPr>
          <w:t>http://www.lira-2.com/docs/lira1/Pilot%203.pdf</w:t>
        </w:r>
      </w:hyperlink>
    </w:p>
  </w:footnote>
  <w:footnote w:id="4">
    <w:p w14:paraId="4EA9F536" w14:textId="77777777" w:rsidR="00015DC0" w:rsidRDefault="00015DC0" w:rsidP="009F4F91">
      <w:pPr>
        <w:pStyle w:val="FootnoteText"/>
      </w:pPr>
      <w:r>
        <w:rPr>
          <w:rStyle w:val="FootnoteReference"/>
        </w:rPr>
        <w:footnoteRef/>
      </w:r>
      <w:r>
        <w:t xml:space="preserve"> S Innes, The changing fortunes of London’s Docklands. </w:t>
      </w:r>
      <w:hyperlink r:id="rId3" w:history="1">
        <w:r>
          <w:rPr>
            <w:rStyle w:val="Hyperlink"/>
          </w:rPr>
          <w:t>http://www.lddc-history.org.uk/other/lddcpresent09conf.pdf</w:t>
        </w:r>
      </w:hyperlink>
    </w:p>
  </w:footnote>
  <w:footnote w:id="5">
    <w:p w14:paraId="6930EC4F" w14:textId="77777777" w:rsidR="00015DC0" w:rsidRDefault="00015DC0" w:rsidP="009F4F91">
      <w:pPr>
        <w:pStyle w:val="FootnoteText"/>
      </w:pPr>
      <w:r>
        <w:rPr>
          <w:rStyle w:val="FootnoteReference"/>
        </w:rPr>
        <w:footnoteRef/>
      </w:r>
      <w:r>
        <w:t xml:space="preserve"> S Innes, The changing fortunes of London’s Docklands. </w:t>
      </w:r>
      <w:hyperlink r:id="rId4" w:history="1">
        <w:r>
          <w:rPr>
            <w:rStyle w:val="Hyperlink"/>
          </w:rPr>
          <w:t>http://www.lddc-history.org.uk/other/lddcpresent09conf.pdf</w:t>
        </w:r>
      </w:hyperlink>
    </w:p>
    <w:p w14:paraId="14E68EC9" w14:textId="77777777" w:rsidR="00015DC0" w:rsidRDefault="00015DC0" w:rsidP="009F4F91">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26EA8" w14:textId="77777777" w:rsidR="00015DC0" w:rsidRDefault="00015DC0" w:rsidP="00815366">
    <w:pPr>
      <w:pStyle w:val="Header"/>
      <w:jc w:val="right"/>
    </w:pPr>
    <w:r w:rsidRPr="00EC2ABC">
      <w:rPr>
        <w:noProof/>
        <w:lang w:val="en-US" w:eastAsia="en-US"/>
      </w:rPr>
      <w:drawing>
        <wp:anchor distT="0" distB="0" distL="114300" distR="114300" simplePos="0" relativeHeight="251655680" behindDoc="0" locked="0" layoutInCell="1" allowOverlap="1" wp14:anchorId="7B294C51" wp14:editId="7A61BA3B">
          <wp:simplePos x="0" y="0"/>
          <wp:positionH relativeFrom="column">
            <wp:posOffset>3732530</wp:posOffset>
          </wp:positionH>
          <wp:positionV relativeFrom="paragraph">
            <wp:posOffset>655320</wp:posOffset>
          </wp:positionV>
          <wp:extent cx="1682750" cy="722630"/>
          <wp:effectExtent l="0" t="0" r="0" b="0"/>
          <wp:wrapThrough wrapText="bothSides">
            <wp:wrapPolygon edited="0">
              <wp:start x="3912" y="1139"/>
              <wp:lineTo x="0" y="5694"/>
              <wp:lineTo x="0" y="10250"/>
              <wp:lineTo x="1956" y="10250"/>
              <wp:lineTo x="1467" y="15944"/>
              <wp:lineTo x="2201" y="19360"/>
              <wp:lineTo x="3912" y="19930"/>
              <wp:lineTo x="15405" y="20499"/>
              <wp:lineTo x="19318" y="20499"/>
              <wp:lineTo x="21029" y="20499"/>
              <wp:lineTo x="21274" y="19360"/>
              <wp:lineTo x="21518" y="4555"/>
              <wp:lineTo x="20296" y="1139"/>
              <wp:lineTo x="3912" y="1139"/>
            </wp:wrapPolygon>
          </wp:wrapThrough>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S Logo_Outlined__191211.emf"/>
                  <pic:cNvPicPr/>
                </pic:nvPicPr>
                <pic:blipFill rotWithShape="1">
                  <a:blip r:embed="rId1">
                    <a:extLst>
                      <a:ext uri="{28A0092B-C50C-407E-A947-70E740481C1C}">
                        <a14:useLocalDpi xmlns:a14="http://schemas.microsoft.com/office/drawing/2010/main" val="0"/>
                      </a:ext>
                    </a:extLst>
                  </a:blip>
                  <a:srcRect l="25953" t="41762" r="29286" b="44598"/>
                  <a:stretch/>
                </pic:blipFill>
                <pic:spPr bwMode="auto">
                  <a:xfrm>
                    <a:off x="0" y="0"/>
                    <a:ext cx="1682750" cy="7226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671C4" w14:textId="77777777" w:rsidR="00015DC0" w:rsidRDefault="00015DC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9CB49" w14:textId="77777777" w:rsidR="00015DC0" w:rsidRPr="00F316FB" w:rsidRDefault="00015DC0" w:rsidP="00F316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430181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F3A2F"/>
    <w:multiLevelType w:val="hybridMultilevel"/>
    <w:tmpl w:val="0D908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8A0223F"/>
    <w:multiLevelType w:val="hybridMultilevel"/>
    <w:tmpl w:val="F0F236A8"/>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C02CC7"/>
    <w:multiLevelType w:val="hybridMultilevel"/>
    <w:tmpl w:val="04523688"/>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D82796F"/>
    <w:multiLevelType w:val="hybridMultilevel"/>
    <w:tmpl w:val="ED4620EE"/>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FD1AEA"/>
    <w:multiLevelType w:val="hybridMultilevel"/>
    <w:tmpl w:val="95E86222"/>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395753F"/>
    <w:multiLevelType w:val="hybridMultilevel"/>
    <w:tmpl w:val="7152B7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422218B"/>
    <w:multiLevelType w:val="hybridMultilevel"/>
    <w:tmpl w:val="04429614"/>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6C07912"/>
    <w:multiLevelType w:val="hybridMultilevel"/>
    <w:tmpl w:val="F1BC4D8C"/>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B026019"/>
    <w:multiLevelType w:val="hybridMultilevel"/>
    <w:tmpl w:val="6FA81D84"/>
    <w:lvl w:ilvl="0" w:tplc="45AC61BE">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B42DE1"/>
    <w:multiLevelType w:val="hybridMultilevel"/>
    <w:tmpl w:val="76C6FD3A"/>
    <w:lvl w:ilvl="0" w:tplc="87FC78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DDD529F"/>
    <w:multiLevelType w:val="multilevel"/>
    <w:tmpl w:val="A9D853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1EF725D4"/>
    <w:multiLevelType w:val="hybridMultilevel"/>
    <w:tmpl w:val="C7602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F327B26"/>
    <w:multiLevelType w:val="hybridMultilevel"/>
    <w:tmpl w:val="5C64DD08"/>
    <w:lvl w:ilvl="0" w:tplc="87FC781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C454B6"/>
    <w:multiLevelType w:val="hybridMultilevel"/>
    <w:tmpl w:val="273A3C16"/>
    <w:lvl w:ilvl="0" w:tplc="27FA2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37183C"/>
    <w:multiLevelType w:val="hybridMultilevel"/>
    <w:tmpl w:val="D6EEE424"/>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59F6F60"/>
    <w:multiLevelType w:val="hybridMultilevel"/>
    <w:tmpl w:val="0C8A8D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6F53D1F"/>
    <w:multiLevelType w:val="hybridMultilevel"/>
    <w:tmpl w:val="2482FFFC"/>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8BF6702"/>
    <w:multiLevelType w:val="hybridMultilevel"/>
    <w:tmpl w:val="166CA1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9A73667"/>
    <w:multiLevelType w:val="hybridMultilevel"/>
    <w:tmpl w:val="B9FCA3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9C52D3A"/>
    <w:multiLevelType w:val="hybridMultilevel"/>
    <w:tmpl w:val="9E2EE13E"/>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C806C37"/>
    <w:multiLevelType w:val="multilevel"/>
    <w:tmpl w:val="7FA67F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D03023F"/>
    <w:multiLevelType w:val="hybridMultilevel"/>
    <w:tmpl w:val="A84A95B2"/>
    <w:lvl w:ilvl="0" w:tplc="4738AC7E">
      <w:start w:val="1"/>
      <w:numFmt w:val="bullet"/>
      <w:pStyle w:val="Bullet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0C11232"/>
    <w:multiLevelType w:val="hybridMultilevel"/>
    <w:tmpl w:val="84D68470"/>
    <w:lvl w:ilvl="0" w:tplc="87FC781C">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13B60F9"/>
    <w:multiLevelType w:val="hybridMultilevel"/>
    <w:tmpl w:val="56124078"/>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3143078D"/>
    <w:multiLevelType w:val="multilevel"/>
    <w:tmpl w:val="CCD484A8"/>
    <w:lvl w:ilvl="0">
      <w:start w:val="1"/>
      <w:numFmt w:val="decimal"/>
      <w:pStyle w:val="Figureheading"/>
      <w:lvlText w:val="Figure %1."/>
      <w:lvlJc w:val="left"/>
      <w:pPr>
        <w:tabs>
          <w:tab w:val="num" w:pos="1080"/>
        </w:tabs>
        <w:ind w:left="0" w:firstLine="0"/>
      </w:pPr>
      <w:rPr>
        <w:rFonts w:ascii="Calibri" w:hAnsi="Calibri" w:hint="default"/>
        <w:b/>
        <w:i w:val="0"/>
        <w:color w:val="000000" w:themeColor="text1"/>
        <w:sz w:val="18"/>
        <w:szCs w:val="18"/>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6">
    <w:nsid w:val="35467F3F"/>
    <w:multiLevelType w:val="hybridMultilevel"/>
    <w:tmpl w:val="EC7AAC20"/>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B8402A7"/>
    <w:multiLevelType w:val="hybridMultilevel"/>
    <w:tmpl w:val="EDC64E16"/>
    <w:lvl w:ilvl="0" w:tplc="27FA2D42">
      <w:start w:val="1"/>
      <w:numFmt w:val="bullet"/>
      <w:lvlText w:val=""/>
      <w:lvlJc w:val="left"/>
      <w:pPr>
        <w:ind w:left="720" w:hanging="360"/>
      </w:pPr>
      <w:rPr>
        <w:rFonts w:ascii="Symbol" w:hAnsi="Symbol" w:hint="default"/>
      </w:rPr>
    </w:lvl>
    <w:lvl w:ilvl="1" w:tplc="F582308A">
      <w:numFmt w:val="bullet"/>
      <w:lvlText w:val=""/>
      <w:lvlJc w:val="left"/>
      <w:pPr>
        <w:ind w:left="1440" w:hanging="360"/>
      </w:pPr>
      <w:rPr>
        <w:rFonts w:ascii="Symbol" w:eastAsiaTheme="minorEastAsia" w:hAnsi="Symbol"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085702E"/>
    <w:multiLevelType w:val="multilevel"/>
    <w:tmpl w:val="766A2F3A"/>
    <w:lvl w:ilvl="0">
      <w:start w:val="1"/>
      <w:numFmt w:val="decimal"/>
      <w:pStyle w:val="Heading1"/>
      <w:lvlText w:val="%1"/>
      <w:lvlJc w:val="left"/>
      <w:pPr>
        <w:ind w:left="0" w:firstLine="0"/>
      </w:pPr>
      <w:rPr>
        <w:rFonts w:asciiTheme="minorHAnsi" w:hAnsiTheme="minorHAnsi" w:hint="default"/>
        <w:b/>
        <w:i w:val="0"/>
        <w:color w:val="92D050"/>
        <w:sz w:val="68"/>
        <w:szCs w:val="68"/>
      </w:rPr>
    </w:lvl>
    <w:lvl w:ilvl="1">
      <w:start w:val="1"/>
      <w:numFmt w:val="decimal"/>
      <w:pStyle w:val="Heading2"/>
      <w:lvlText w:val="%1.%2"/>
      <w:lvlJc w:val="left"/>
      <w:pPr>
        <w:ind w:left="142" w:firstLine="0"/>
      </w:pPr>
      <w:rPr>
        <w:rFonts w:hint="default"/>
        <w:b/>
        <w:i w:val="0"/>
        <w:color w:val="8DC63F"/>
        <w:sz w:val="28"/>
      </w:rPr>
    </w:lvl>
    <w:lvl w:ilvl="2">
      <w:start w:val="1"/>
      <w:numFmt w:val="none"/>
      <w:lvlText w:val=""/>
      <w:lvlJc w:val="right"/>
      <w:pPr>
        <w:ind w:left="1134" w:firstLine="0"/>
      </w:pPr>
      <w:rPr>
        <w:rFonts w:ascii="Calibri" w:hAnsi="Calibri" w:hint="default"/>
        <w:b/>
        <w:i w:val="0"/>
        <w:color w:val="000000" w:themeColor="text1"/>
        <w:sz w:val="24"/>
      </w:rPr>
    </w:lvl>
    <w:lvl w:ilvl="3">
      <w:start w:val="1"/>
      <w:numFmt w:val="none"/>
      <w:lvlText w:val=""/>
      <w:lvlJc w:val="left"/>
      <w:pPr>
        <w:ind w:left="1134" w:firstLine="0"/>
      </w:pPr>
      <w:rPr>
        <w:rFonts w:ascii="Calibri" w:hAnsi="Calibri" w:hint="default"/>
        <w:b/>
        <w:i w:val="0"/>
        <w:color w:val="000000" w:themeColor="text1"/>
        <w:sz w:val="20"/>
      </w:rPr>
    </w:lvl>
    <w:lvl w:ilvl="4">
      <w:start w:val="1"/>
      <w:numFmt w:val="none"/>
      <w:lvlText w:val=""/>
      <w:lvlJc w:val="left"/>
      <w:pPr>
        <w:ind w:left="1134" w:firstLine="0"/>
      </w:pPr>
      <w:rPr>
        <w:rFonts w:hint="default"/>
      </w:rPr>
    </w:lvl>
    <w:lvl w:ilvl="5">
      <w:start w:val="1"/>
      <w:numFmt w:val="none"/>
      <w:lvlText w:val=""/>
      <w:lvlJc w:val="right"/>
      <w:pPr>
        <w:ind w:left="1134" w:firstLine="0"/>
      </w:pPr>
      <w:rPr>
        <w:rFonts w:hint="default"/>
      </w:rPr>
    </w:lvl>
    <w:lvl w:ilvl="6">
      <w:start w:val="1"/>
      <w:numFmt w:val="none"/>
      <w:lvlText w:val=""/>
      <w:lvlJc w:val="left"/>
      <w:pPr>
        <w:ind w:left="1134" w:firstLine="0"/>
      </w:pPr>
      <w:rPr>
        <w:rFonts w:hint="default"/>
      </w:rPr>
    </w:lvl>
    <w:lvl w:ilvl="7">
      <w:start w:val="1"/>
      <w:numFmt w:val="none"/>
      <w:lvlText w:val=""/>
      <w:lvlJc w:val="left"/>
      <w:pPr>
        <w:ind w:left="1134" w:firstLine="0"/>
      </w:pPr>
      <w:rPr>
        <w:rFonts w:hint="default"/>
      </w:rPr>
    </w:lvl>
    <w:lvl w:ilvl="8">
      <w:start w:val="1"/>
      <w:numFmt w:val="none"/>
      <w:lvlText w:val=""/>
      <w:lvlJc w:val="right"/>
      <w:pPr>
        <w:ind w:left="1134" w:firstLine="0"/>
      </w:pPr>
      <w:rPr>
        <w:rFonts w:hint="default"/>
      </w:rPr>
    </w:lvl>
  </w:abstractNum>
  <w:abstractNum w:abstractNumId="29">
    <w:nsid w:val="41872BBC"/>
    <w:multiLevelType w:val="hybridMultilevel"/>
    <w:tmpl w:val="2C2026B2"/>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3F424D3"/>
    <w:multiLevelType w:val="hybridMultilevel"/>
    <w:tmpl w:val="AF6C5A78"/>
    <w:lvl w:ilvl="0" w:tplc="09FED9F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4BC2609"/>
    <w:multiLevelType w:val="hybridMultilevel"/>
    <w:tmpl w:val="AD8C7E3E"/>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45A05385"/>
    <w:multiLevelType w:val="hybridMultilevel"/>
    <w:tmpl w:val="D718345C"/>
    <w:lvl w:ilvl="0" w:tplc="87FC781C">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4CB15760"/>
    <w:multiLevelType w:val="hybridMultilevel"/>
    <w:tmpl w:val="696E130A"/>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EAF52B0"/>
    <w:multiLevelType w:val="hybridMultilevel"/>
    <w:tmpl w:val="30CEC86C"/>
    <w:lvl w:ilvl="0" w:tplc="8B4AFC74">
      <w:start w:val="1"/>
      <w:numFmt w:val="bullet"/>
      <w:pStyle w:val="Bulle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85321A"/>
    <w:multiLevelType w:val="hybridMultilevel"/>
    <w:tmpl w:val="B4C46900"/>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1683A29"/>
    <w:multiLevelType w:val="hybridMultilevel"/>
    <w:tmpl w:val="C7EC4906"/>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28204C5"/>
    <w:multiLevelType w:val="hybridMultilevel"/>
    <w:tmpl w:val="582024AA"/>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538D024F"/>
    <w:multiLevelType w:val="hybridMultilevel"/>
    <w:tmpl w:val="8D86BC86"/>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3AE13FB"/>
    <w:multiLevelType w:val="hybridMultilevel"/>
    <w:tmpl w:val="8F9CD32A"/>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62B71C9"/>
    <w:multiLevelType w:val="hybridMultilevel"/>
    <w:tmpl w:val="EFB6D786"/>
    <w:lvl w:ilvl="0" w:tplc="27FA2D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6B235F9"/>
    <w:multiLevelType w:val="hybridMultilevel"/>
    <w:tmpl w:val="BADAC6FA"/>
    <w:lvl w:ilvl="0" w:tplc="87FC781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nsid w:val="587F54E3"/>
    <w:multiLevelType w:val="hybridMultilevel"/>
    <w:tmpl w:val="98D0D7E4"/>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A77430F"/>
    <w:multiLevelType w:val="hybridMultilevel"/>
    <w:tmpl w:val="D1B49CAA"/>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03946A8"/>
    <w:multiLevelType w:val="hybridMultilevel"/>
    <w:tmpl w:val="95E875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3CE2243"/>
    <w:multiLevelType w:val="hybridMultilevel"/>
    <w:tmpl w:val="5C14C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49D144A"/>
    <w:multiLevelType w:val="hybridMultilevel"/>
    <w:tmpl w:val="138055EA"/>
    <w:lvl w:ilvl="0" w:tplc="87FC781C">
      <w:start w:val="1"/>
      <w:numFmt w:val="bullet"/>
      <w:lvlText w:val=""/>
      <w:lvlJc w:val="left"/>
      <w:pPr>
        <w:ind w:left="460" w:hanging="360"/>
      </w:pPr>
      <w:rPr>
        <w:rFonts w:ascii="Symbol" w:hAnsi="Symbol" w:hint="default"/>
      </w:rPr>
    </w:lvl>
    <w:lvl w:ilvl="1" w:tplc="0C090003" w:tentative="1">
      <w:start w:val="1"/>
      <w:numFmt w:val="bullet"/>
      <w:lvlText w:val="o"/>
      <w:lvlJc w:val="left"/>
      <w:pPr>
        <w:ind w:left="1180" w:hanging="360"/>
      </w:pPr>
      <w:rPr>
        <w:rFonts w:ascii="Courier New" w:hAnsi="Courier New" w:cs="Courier New" w:hint="default"/>
      </w:rPr>
    </w:lvl>
    <w:lvl w:ilvl="2" w:tplc="0C090005" w:tentative="1">
      <w:start w:val="1"/>
      <w:numFmt w:val="bullet"/>
      <w:lvlText w:val=""/>
      <w:lvlJc w:val="left"/>
      <w:pPr>
        <w:ind w:left="1900" w:hanging="360"/>
      </w:pPr>
      <w:rPr>
        <w:rFonts w:ascii="Wingdings" w:hAnsi="Wingdings" w:hint="default"/>
      </w:rPr>
    </w:lvl>
    <w:lvl w:ilvl="3" w:tplc="0C090001" w:tentative="1">
      <w:start w:val="1"/>
      <w:numFmt w:val="bullet"/>
      <w:lvlText w:val=""/>
      <w:lvlJc w:val="left"/>
      <w:pPr>
        <w:ind w:left="2620" w:hanging="360"/>
      </w:pPr>
      <w:rPr>
        <w:rFonts w:ascii="Symbol" w:hAnsi="Symbol" w:hint="default"/>
      </w:rPr>
    </w:lvl>
    <w:lvl w:ilvl="4" w:tplc="0C090003" w:tentative="1">
      <w:start w:val="1"/>
      <w:numFmt w:val="bullet"/>
      <w:lvlText w:val="o"/>
      <w:lvlJc w:val="left"/>
      <w:pPr>
        <w:ind w:left="3340" w:hanging="360"/>
      </w:pPr>
      <w:rPr>
        <w:rFonts w:ascii="Courier New" w:hAnsi="Courier New" w:cs="Courier New" w:hint="default"/>
      </w:rPr>
    </w:lvl>
    <w:lvl w:ilvl="5" w:tplc="0C090005" w:tentative="1">
      <w:start w:val="1"/>
      <w:numFmt w:val="bullet"/>
      <w:lvlText w:val=""/>
      <w:lvlJc w:val="left"/>
      <w:pPr>
        <w:ind w:left="4060" w:hanging="360"/>
      </w:pPr>
      <w:rPr>
        <w:rFonts w:ascii="Wingdings" w:hAnsi="Wingdings" w:hint="default"/>
      </w:rPr>
    </w:lvl>
    <w:lvl w:ilvl="6" w:tplc="0C090001" w:tentative="1">
      <w:start w:val="1"/>
      <w:numFmt w:val="bullet"/>
      <w:lvlText w:val=""/>
      <w:lvlJc w:val="left"/>
      <w:pPr>
        <w:ind w:left="4780" w:hanging="360"/>
      </w:pPr>
      <w:rPr>
        <w:rFonts w:ascii="Symbol" w:hAnsi="Symbol" w:hint="default"/>
      </w:rPr>
    </w:lvl>
    <w:lvl w:ilvl="7" w:tplc="0C090003" w:tentative="1">
      <w:start w:val="1"/>
      <w:numFmt w:val="bullet"/>
      <w:lvlText w:val="o"/>
      <w:lvlJc w:val="left"/>
      <w:pPr>
        <w:ind w:left="5500" w:hanging="360"/>
      </w:pPr>
      <w:rPr>
        <w:rFonts w:ascii="Courier New" w:hAnsi="Courier New" w:cs="Courier New" w:hint="default"/>
      </w:rPr>
    </w:lvl>
    <w:lvl w:ilvl="8" w:tplc="0C090005" w:tentative="1">
      <w:start w:val="1"/>
      <w:numFmt w:val="bullet"/>
      <w:lvlText w:val=""/>
      <w:lvlJc w:val="left"/>
      <w:pPr>
        <w:ind w:left="6220" w:hanging="360"/>
      </w:pPr>
      <w:rPr>
        <w:rFonts w:ascii="Wingdings" w:hAnsi="Wingdings" w:hint="default"/>
      </w:rPr>
    </w:lvl>
  </w:abstractNum>
  <w:abstractNum w:abstractNumId="47">
    <w:nsid w:val="674F0682"/>
    <w:multiLevelType w:val="hybridMultilevel"/>
    <w:tmpl w:val="9CA00DD0"/>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690F4548"/>
    <w:multiLevelType w:val="hybridMultilevel"/>
    <w:tmpl w:val="174E6550"/>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692E4F4B"/>
    <w:multiLevelType w:val="hybridMultilevel"/>
    <w:tmpl w:val="50A416AC"/>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B404E49"/>
    <w:multiLevelType w:val="hybridMultilevel"/>
    <w:tmpl w:val="020A9C88"/>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6D312FD6"/>
    <w:multiLevelType w:val="hybridMultilevel"/>
    <w:tmpl w:val="9FDA0F2C"/>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6DF520C5"/>
    <w:multiLevelType w:val="hybridMultilevel"/>
    <w:tmpl w:val="33362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0CF1226"/>
    <w:multiLevelType w:val="hybridMultilevel"/>
    <w:tmpl w:val="0D8891EE"/>
    <w:lvl w:ilvl="0" w:tplc="87FC78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768348F"/>
    <w:multiLevelType w:val="hybridMultilevel"/>
    <w:tmpl w:val="1270C34C"/>
    <w:lvl w:ilvl="0" w:tplc="27FA2D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7B44278B"/>
    <w:multiLevelType w:val="hybridMultilevel"/>
    <w:tmpl w:val="881075CA"/>
    <w:lvl w:ilvl="0" w:tplc="87FC78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7E014FA8"/>
    <w:multiLevelType w:val="hybridMultilevel"/>
    <w:tmpl w:val="68B082D2"/>
    <w:lvl w:ilvl="0" w:tplc="45AC61BE">
      <w:numFmt w:val="bullet"/>
      <w:lvlText w:val="-"/>
      <w:lvlJc w:val="left"/>
      <w:pPr>
        <w:ind w:left="720" w:hanging="360"/>
      </w:pPr>
      <w:rPr>
        <w:rFonts w:ascii="Calibri" w:eastAsia="Times New Roman" w:hAnsi="Calibri" w:cs="Arial" w:hint="default"/>
      </w:rPr>
    </w:lvl>
    <w:lvl w:ilvl="1" w:tplc="45AC61BE">
      <w:numFmt w:val="bullet"/>
      <w:lvlText w:val="-"/>
      <w:lvlJc w:val="left"/>
      <w:pPr>
        <w:ind w:left="1440" w:hanging="360"/>
      </w:pPr>
      <w:rPr>
        <w:rFonts w:ascii="Calibri" w:eastAsia="Times New Roman"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E1531FF"/>
    <w:multiLevelType w:val="hybridMultilevel"/>
    <w:tmpl w:val="79A65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25"/>
  </w:num>
  <w:num w:numId="3">
    <w:abstractNumId w:val="34"/>
  </w:num>
  <w:num w:numId="4">
    <w:abstractNumId w:val="22"/>
  </w:num>
  <w:num w:numId="5">
    <w:abstractNumId w:val="45"/>
  </w:num>
  <w:num w:numId="6">
    <w:abstractNumId w:val="52"/>
  </w:num>
  <w:num w:numId="7">
    <w:abstractNumId w:val="57"/>
  </w:num>
  <w:num w:numId="8">
    <w:abstractNumId w:val="36"/>
  </w:num>
  <w:num w:numId="9">
    <w:abstractNumId w:val="37"/>
  </w:num>
  <w:num w:numId="10">
    <w:abstractNumId w:val="53"/>
  </w:num>
  <w:num w:numId="11">
    <w:abstractNumId w:val="55"/>
  </w:num>
  <w:num w:numId="12">
    <w:abstractNumId w:val="8"/>
  </w:num>
  <w:num w:numId="13">
    <w:abstractNumId w:val="38"/>
  </w:num>
  <w:num w:numId="14">
    <w:abstractNumId w:val="14"/>
  </w:num>
  <w:num w:numId="15">
    <w:abstractNumId w:val="15"/>
  </w:num>
  <w:num w:numId="16">
    <w:abstractNumId w:val="23"/>
  </w:num>
  <w:num w:numId="17">
    <w:abstractNumId w:val="17"/>
  </w:num>
  <w:num w:numId="18">
    <w:abstractNumId w:val="51"/>
  </w:num>
  <w:num w:numId="19">
    <w:abstractNumId w:val="9"/>
  </w:num>
  <w:num w:numId="20">
    <w:abstractNumId w:val="32"/>
  </w:num>
  <w:num w:numId="21">
    <w:abstractNumId w:val="20"/>
  </w:num>
  <w:num w:numId="22">
    <w:abstractNumId w:val="11"/>
  </w:num>
  <w:num w:numId="23">
    <w:abstractNumId w:val="2"/>
  </w:num>
  <w:num w:numId="24">
    <w:abstractNumId w:val="39"/>
  </w:num>
  <w:num w:numId="25">
    <w:abstractNumId w:val="54"/>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4"/>
  </w:num>
  <w:num w:numId="30">
    <w:abstractNumId w:val="26"/>
  </w:num>
  <w:num w:numId="31">
    <w:abstractNumId w:val="12"/>
  </w:num>
  <w:num w:numId="32">
    <w:abstractNumId w:val="6"/>
  </w:num>
  <w:num w:numId="33">
    <w:abstractNumId w:val="18"/>
  </w:num>
  <w:num w:numId="34">
    <w:abstractNumId w:val="19"/>
  </w:num>
  <w:num w:numId="35">
    <w:abstractNumId w:val="31"/>
  </w:num>
  <w:num w:numId="36">
    <w:abstractNumId w:val="0"/>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0"/>
  </w:num>
  <w:num w:numId="40">
    <w:abstractNumId w:val="27"/>
  </w:num>
  <w:num w:numId="41">
    <w:abstractNumId w:val="44"/>
  </w:num>
  <w:num w:numId="42">
    <w:abstractNumId w:val="40"/>
  </w:num>
  <w:num w:numId="43">
    <w:abstractNumId w:val="43"/>
  </w:num>
  <w:num w:numId="44">
    <w:abstractNumId w:val="3"/>
  </w:num>
  <w:num w:numId="45">
    <w:abstractNumId w:val="50"/>
  </w:num>
  <w:num w:numId="46">
    <w:abstractNumId w:val="47"/>
  </w:num>
  <w:num w:numId="47">
    <w:abstractNumId w:val="56"/>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10"/>
  </w:num>
  <w:num w:numId="51">
    <w:abstractNumId w:val="42"/>
  </w:num>
  <w:num w:numId="52">
    <w:abstractNumId w:val="48"/>
  </w:num>
  <w:num w:numId="53">
    <w:abstractNumId w:val="33"/>
  </w:num>
  <w:num w:numId="54">
    <w:abstractNumId w:val="13"/>
  </w:num>
  <w:num w:numId="55">
    <w:abstractNumId w:val="35"/>
  </w:num>
  <w:num w:numId="56">
    <w:abstractNumId w:val="24"/>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num>
  <w:num w:numId="59">
    <w:abstractNumId w:val="1"/>
  </w:num>
  <w:num w:numId="60">
    <w:abstractNumId w:val="41"/>
  </w:num>
  <w:num w:numId="61">
    <w:abstractNumId w:val="7"/>
  </w:num>
  <w:num w:numId="62">
    <w:abstractNumId w:val="29"/>
  </w:num>
  <w:num w:numId="63">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attachedTemplate r:id="rId1"/>
  <w:documentProtection w:edit="readOnly" w:enforcement="1"/>
  <w:defaultTabStop w:val="720"/>
  <w:drawingGridHorizontalSpacing w:val="100"/>
  <w:displayHorizontalDrawingGridEvery w:val="2"/>
  <w:displayVerticalDrawingGridEvery w:val="2"/>
  <w:characterSpacingControl w:val="doNotCompress"/>
  <w:hdrShapeDefaults>
    <o:shapedefaults v:ext="edit" spidmax="2050" style="mso-position-horizontal-relative:page;mso-position-vertical-relative:page;mso-width-percent:350;mso-width-relative:margin;v-text-anchor:middle" o:allowincell="f" fill="f" fillcolor="white" strokecolor="none [3205]">
      <v:fill color="white" on="f"/>
      <v:stroke color="none [3205]" weight="3pt"/>
      <v:textbox style="mso-fit-shape-to-text:t" inset="10.8pt,7.2pt,10.8pt,7.2pt"/>
    </o:shapedefaults>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72"/>
    <w:rsid w:val="00000335"/>
    <w:rsid w:val="00002090"/>
    <w:rsid w:val="00002398"/>
    <w:rsid w:val="00003860"/>
    <w:rsid w:val="00003B16"/>
    <w:rsid w:val="000041B1"/>
    <w:rsid w:val="00004E2D"/>
    <w:rsid w:val="00005431"/>
    <w:rsid w:val="00006739"/>
    <w:rsid w:val="00006852"/>
    <w:rsid w:val="00006ACB"/>
    <w:rsid w:val="00006F97"/>
    <w:rsid w:val="00007308"/>
    <w:rsid w:val="00007F26"/>
    <w:rsid w:val="000132E8"/>
    <w:rsid w:val="00014B35"/>
    <w:rsid w:val="00015DC0"/>
    <w:rsid w:val="0001750B"/>
    <w:rsid w:val="000179C7"/>
    <w:rsid w:val="000240B2"/>
    <w:rsid w:val="00024F18"/>
    <w:rsid w:val="000250A4"/>
    <w:rsid w:val="000267AF"/>
    <w:rsid w:val="00026B46"/>
    <w:rsid w:val="00027A20"/>
    <w:rsid w:val="00030219"/>
    <w:rsid w:val="00031318"/>
    <w:rsid w:val="00031B90"/>
    <w:rsid w:val="0003332B"/>
    <w:rsid w:val="00033C61"/>
    <w:rsid w:val="000350FD"/>
    <w:rsid w:val="00035595"/>
    <w:rsid w:val="00042A88"/>
    <w:rsid w:val="00043EC3"/>
    <w:rsid w:val="00045F67"/>
    <w:rsid w:val="0004653A"/>
    <w:rsid w:val="00046804"/>
    <w:rsid w:val="0004767F"/>
    <w:rsid w:val="00047CFD"/>
    <w:rsid w:val="00050042"/>
    <w:rsid w:val="00050591"/>
    <w:rsid w:val="00051789"/>
    <w:rsid w:val="00053006"/>
    <w:rsid w:val="000555ED"/>
    <w:rsid w:val="00056804"/>
    <w:rsid w:val="000576E7"/>
    <w:rsid w:val="00060093"/>
    <w:rsid w:val="000615FF"/>
    <w:rsid w:val="0006233F"/>
    <w:rsid w:val="000632E3"/>
    <w:rsid w:val="00063A8C"/>
    <w:rsid w:val="00065341"/>
    <w:rsid w:val="00065ED6"/>
    <w:rsid w:val="00066297"/>
    <w:rsid w:val="000662AC"/>
    <w:rsid w:val="0006688B"/>
    <w:rsid w:val="00067D77"/>
    <w:rsid w:val="00067F76"/>
    <w:rsid w:val="000703B8"/>
    <w:rsid w:val="00074492"/>
    <w:rsid w:val="00076BB8"/>
    <w:rsid w:val="00080610"/>
    <w:rsid w:val="00080705"/>
    <w:rsid w:val="00082D9C"/>
    <w:rsid w:val="000850A1"/>
    <w:rsid w:val="000860EE"/>
    <w:rsid w:val="00086602"/>
    <w:rsid w:val="0008724E"/>
    <w:rsid w:val="0008766B"/>
    <w:rsid w:val="00090918"/>
    <w:rsid w:val="00092436"/>
    <w:rsid w:val="000930AA"/>
    <w:rsid w:val="00094384"/>
    <w:rsid w:val="00094B36"/>
    <w:rsid w:val="00094C7E"/>
    <w:rsid w:val="000A101B"/>
    <w:rsid w:val="000A10DD"/>
    <w:rsid w:val="000A123F"/>
    <w:rsid w:val="000A299A"/>
    <w:rsid w:val="000A31EC"/>
    <w:rsid w:val="000A3840"/>
    <w:rsid w:val="000A4398"/>
    <w:rsid w:val="000A4EA4"/>
    <w:rsid w:val="000A5B73"/>
    <w:rsid w:val="000B3042"/>
    <w:rsid w:val="000B3D41"/>
    <w:rsid w:val="000B4073"/>
    <w:rsid w:val="000B45FF"/>
    <w:rsid w:val="000B4E15"/>
    <w:rsid w:val="000B500A"/>
    <w:rsid w:val="000B53D8"/>
    <w:rsid w:val="000B5A36"/>
    <w:rsid w:val="000B7B55"/>
    <w:rsid w:val="000C0615"/>
    <w:rsid w:val="000C1BED"/>
    <w:rsid w:val="000C3447"/>
    <w:rsid w:val="000C4057"/>
    <w:rsid w:val="000C6765"/>
    <w:rsid w:val="000C7DCE"/>
    <w:rsid w:val="000D0403"/>
    <w:rsid w:val="000D1A06"/>
    <w:rsid w:val="000D258D"/>
    <w:rsid w:val="000D3735"/>
    <w:rsid w:val="000D4733"/>
    <w:rsid w:val="000D4AB0"/>
    <w:rsid w:val="000D5000"/>
    <w:rsid w:val="000D57C3"/>
    <w:rsid w:val="000D631B"/>
    <w:rsid w:val="000D7B5B"/>
    <w:rsid w:val="000E349F"/>
    <w:rsid w:val="000E3DEC"/>
    <w:rsid w:val="000E46CD"/>
    <w:rsid w:val="000E4CD9"/>
    <w:rsid w:val="000E50F3"/>
    <w:rsid w:val="000E6890"/>
    <w:rsid w:val="000F3CF7"/>
    <w:rsid w:val="000F5CF9"/>
    <w:rsid w:val="000F701D"/>
    <w:rsid w:val="000F748F"/>
    <w:rsid w:val="000F75D7"/>
    <w:rsid w:val="00101542"/>
    <w:rsid w:val="001025C6"/>
    <w:rsid w:val="001119A2"/>
    <w:rsid w:val="001119A3"/>
    <w:rsid w:val="00113729"/>
    <w:rsid w:val="00113BF5"/>
    <w:rsid w:val="0011623F"/>
    <w:rsid w:val="00117AD1"/>
    <w:rsid w:val="00120302"/>
    <w:rsid w:val="00120925"/>
    <w:rsid w:val="001251A9"/>
    <w:rsid w:val="001256EA"/>
    <w:rsid w:val="0012604D"/>
    <w:rsid w:val="001267CE"/>
    <w:rsid w:val="00130DAD"/>
    <w:rsid w:val="00130DCC"/>
    <w:rsid w:val="00132BE1"/>
    <w:rsid w:val="00133F84"/>
    <w:rsid w:val="001356B3"/>
    <w:rsid w:val="00135F1C"/>
    <w:rsid w:val="00136D97"/>
    <w:rsid w:val="00142C49"/>
    <w:rsid w:val="001436B3"/>
    <w:rsid w:val="0014395D"/>
    <w:rsid w:val="0014404B"/>
    <w:rsid w:val="00146C25"/>
    <w:rsid w:val="00146C3E"/>
    <w:rsid w:val="001534FC"/>
    <w:rsid w:val="00154068"/>
    <w:rsid w:val="00154945"/>
    <w:rsid w:val="00154C9A"/>
    <w:rsid w:val="00155226"/>
    <w:rsid w:val="0015558E"/>
    <w:rsid w:val="00157165"/>
    <w:rsid w:val="00160248"/>
    <w:rsid w:val="00161C87"/>
    <w:rsid w:val="00161D37"/>
    <w:rsid w:val="00162D47"/>
    <w:rsid w:val="00163064"/>
    <w:rsid w:val="00173028"/>
    <w:rsid w:val="00173578"/>
    <w:rsid w:val="001745F4"/>
    <w:rsid w:val="00174C5A"/>
    <w:rsid w:val="00175263"/>
    <w:rsid w:val="00175281"/>
    <w:rsid w:val="001756F5"/>
    <w:rsid w:val="00175D7C"/>
    <w:rsid w:val="0017696F"/>
    <w:rsid w:val="00176B8D"/>
    <w:rsid w:val="001800FC"/>
    <w:rsid w:val="00180836"/>
    <w:rsid w:val="00180A6E"/>
    <w:rsid w:val="00184C79"/>
    <w:rsid w:val="00186198"/>
    <w:rsid w:val="00187262"/>
    <w:rsid w:val="00187D57"/>
    <w:rsid w:val="00190D8E"/>
    <w:rsid w:val="00191B46"/>
    <w:rsid w:val="001938AD"/>
    <w:rsid w:val="00193BE4"/>
    <w:rsid w:val="00194A7C"/>
    <w:rsid w:val="001958FF"/>
    <w:rsid w:val="001966AC"/>
    <w:rsid w:val="001972D3"/>
    <w:rsid w:val="001A2CCE"/>
    <w:rsid w:val="001A35F2"/>
    <w:rsid w:val="001A388F"/>
    <w:rsid w:val="001A3C1E"/>
    <w:rsid w:val="001A3FF4"/>
    <w:rsid w:val="001A505F"/>
    <w:rsid w:val="001B055B"/>
    <w:rsid w:val="001B0CCC"/>
    <w:rsid w:val="001B2B6D"/>
    <w:rsid w:val="001B32EE"/>
    <w:rsid w:val="001B3665"/>
    <w:rsid w:val="001B4D84"/>
    <w:rsid w:val="001C0F2C"/>
    <w:rsid w:val="001C1289"/>
    <w:rsid w:val="001C57CB"/>
    <w:rsid w:val="001C5B92"/>
    <w:rsid w:val="001C60D5"/>
    <w:rsid w:val="001D0647"/>
    <w:rsid w:val="001D0CC2"/>
    <w:rsid w:val="001D12C4"/>
    <w:rsid w:val="001D3109"/>
    <w:rsid w:val="001D43E7"/>
    <w:rsid w:val="001D4EA8"/>
    <w:rsid w:val="001D5392"/>
    <w:rsid w:val="001D63AE"/>
    <w:rsid w:val="001D6422"/>
    <w:rsid w:val="001D79E0"/>
    <w:rsid w:val="001E10B2"/>
    <w:rsid w:val="001E2840"/>
    <w:rsid w:val="001E4896"/>
    <w:rsid w:val="001E4CCE"/>
    <w:rsid w:val="001E4D63"/>
    <w:rsid w:val="001E50CE"/>
    <w:rsid w:val="001E531A"/>
    <w:rsid w:val="001E5725"/>
    <w:rsid w:val="001E77B0"/>
    <w:rsid w:val="001F144E"/>
    <w:rsid w:val="001F15EE"/>
    <w:rsid w:val="001F5AF2"/>
    <w:rsid w:val="001F5C85"/>
    <w:rsid w:val="001F708D"/>
    <w:rsid w:val="00201D29"/>
    <w:rsid w:val="0020300C"/>
    <w:rsid w:val="0020315B"/>
    <w:rsid w:val="00207067"/>
    <w:rsid w:val="00213E43"/>
    <w:rsid w:val="00214505"/>
    <w:rsid w:val="00214E11"/>
    <w:rsid w:val="00216109"/>
    <w:rsid w:val="00216BF0"/>
    <w:rsid w:val="002178E4"/>
    <w:rsid w:val="00223E7D"/>
    <w:rsid w:val="00224779"/>
    <w:rsid w:val="00227CD2"/>
    <w:rsid w:val="00231838"/>
    <w:rsid w:val="002342C5"/>
    <w:rsid w:val="002342DB"/>
    <w:rsid w:val="0023586C"/>
    <w:rsid w:val="00236A67"/>
    <w:rsid w:val="00236E8E"/>
    <w:rsid w:val="002373F9"/>
    <w:rsid w:val="002376FD"/>
    <w:rsid w:val="00237858"/>
    <w:rsid w:val="002419C8"/>
    <w:rsid w:val="00242F0A"/>
    <w:rsid w:val="00245FAA"/>
    <w:rsid w:val="0025020A"/>
    <w:rsid w:val="00250E5A"/>
    <w:rsid w:val="00251162"/>
    <w:rsid w:val="00251262"/>
    <w:rsid w:val="0025490D"/>
    <w:rsid w:val="00254FD6"/>
    <w:rsid w:val="002550CD"/>
    <w:rsid w:val="00255950"/>
    <w:rsid w:val="00256370"/>
    <w:rsid w:val="00260926"/>
    <w:rsid w:val="002629DF"/>
    <w:rsid w:val="00263A20"/>
    <w:rsid w:val="00265439"/>
    <w:rsid w:val="00265FA3"/>
    <w:rsid w:val="002710ED"/>
    <w:rsid w:val="002726AE"/>
    <w:rsid w:val="0027316E"/>
    <w:rsid w:val="0027414C"/>
    <w:rsid w:val="00281A75"/>
    <w:rsid w:val="002850BB"/>
    <w:rsid w:val="00285F00"/>
    <w:rsid w:val="002866C6"/>
    <w:rsid w:val="00287923"/>
    <w:rsid w:val="00292AAB"/>
    <w:rsid w:val="00295454"/>
    <w:rsid w:val="0029645F"/>
    <w:rsid w:val="002A0DD7"/>
    <w:rsid w:val="002A1EA6"/>
    <w:rsid w:val="002A2BDB"/>
    <w:rsid w:val="002A3F49"/>
    <w:rsid w:val="002A5690"/>
    <w:rsid w:val="002B171F"/>
    <w:rsid w:val="002B211C"/>
    <w:rsid w:val="002B26C0"/>
    <w:rsid w:val="002B29BF"/>
    <w:rsid w:val="002B34F9"/>
    <w:rsid w:val="002B3D16"/>
    <w:rsid w:val="002B518C"/>
    <w:rsid w:val="002B6BC5"/>
    <w:rsid w:val="002B6F54"/>
    <w:rsid w:val="002C07AA"/>
    <w:rsid w:val="002C1795"/>
    <w:rsid w:val="002C23DE"/>
    <w:rsid w:val="002C2AE0"/>
    <w:rsid w:val="002C3C31"/>
    <w:rsid w:val="002C4BC8"/>
    <w:rsid w:val="002C5188"/>
    <w:rsid w:val="002D219A"/>
    <w:rsid w:val="002D2316"/>
    <w:rsid w:val="002D2D36"/>
    <w:rsid w:val="002D35DD"/>
    <w:rsid w:val="002D50E9"/>
    <w:rsid w:val="002D5A37"/>
    <w:rsid w:val="002D5A5D"/>
    <w:rsid w:val="002D693B"/>
    <w:rsid w:val="002D728B"/>
    <w:rsid w:val="002D76C7"/>
    <w:rsid w:val="002D7AB2"/>
    <w:rsid w:val="002D7C9A"/>
    <w:rsid w:val="002E2F1F"/>
    <w:rsid w:val="002E433E"/>
    <w:rsid w:val="002E7256"/>
    <w:rsid w:val="002E741C"/>
    <w:rsid w:val="002F1432"/>
    <w:rsid w:val="002F2729"/>
    <w:rsid w:val="002F2E6A"/>
    <w:rsid w:val="002F3156"/>
    <w:rsid w:val="002F3CB5"/>
    <w:rsid w:val="002F76DB"/>
    <w:rsid w:val="002F7A09"/>
    <w:rsid w:val="00300B91"/>
    <w:rsid w:val="00301118"/>
    <w:rsid w:val="00301794"/>
    <w:rsid w:val="00303239"/>
    <w:rsid w:val="00303661"/>
    <w:rsid w:val="00304220"/>
    <w:rsid w:val="00304989"/>
    <w:rsid w:val="003060D5"/>
    <w:rsid w:val="00307948"/>
    <w:rsid w:val="00310D52"/>
    <w:rsid w:val="0031143D"/>
    <w:rsid w:val="0031259D"/>
    <w:rsid w:val="003134CC"/>
    <w:rsid w:val="003140B8"/>
    <w:rsid w:val="003169AD"/>
    <w:rsid w:val="00316D76"/>
    <w:rsid w:val="003175BE"/>
    <w:rsid w:val="00321C98"/>
    <w:rsid w:val="003241F1"/>
    <w:rsid w:val="00324645"/>
    <w:rsid w:val="00326AB7"/>
    <w:rsid w:val="00327E12"/>
    <w:rsid w:val="003308C2"/>
    <w:rsid w:val="0033203C"/>
    <w:rsid w:val="00332451"/>
    <w:rsid w:val="00332475"/>
    <w:rsid w:val="003330AB"/>
    <w:rsid w:val="003344DE"/>
    <w:rsid w:val="003345F5"/>
    <w:rsid w:val="00334A7C"/>
    <w:rsid w:val="0033666B"/>
    <w:rsid w:val="00337D03"/>
    <w:rsid w:val="0034085C"/>
    <w:rsid w:val="00340EB8"/>
    <w:rsid w:val="0034170B"/>
    <w:rsid w:val="00342DBF"/>
    <w:rsid w:val="00343AC7"/>
    <w:rsid w:val="00344E02"/>
    <w:rsid w:val="00345520"/>
    <w:rsid w:val="003457B7"/>
    <w:rsid w:val="00347DA3"/>
    <w:rsid w:val="00350A8C"/>
    <w:rsid w:val="0035127E"/>
    <w:rsid w:val="00351B75"/>
    <w:rsid w:val="003520D5"/>
    <w:rsid w:val="003544D0"/>
    <w:rsid w:val="0035476B"/>
    <w:rsid w:val="003576EC"/>
    <w:rsid w:val="003626FE"/>
    <w:rsid w:val="00362FA6"/>
    <w:rsid w:val="00364FCE"/>
    <w:rsid w:val="0036533F"/>
    <w:rsid w:val="00367456"/>
    <w:rsid w:val="00370C84"/>
    <w:rsid w:val="00371C34"/>
    <w:rsid w:val="0037301D"/>
    <w:rsid w:val="0037313D"/>
    <w:rsid w:val="00373EE3"/>
    <w:rsid w:val="003744AA"/>
    <w:rsid w:val="00374584"/>
    <w:rsid w:val="0037478A"/>
    <w:rsid w:val="0037539A"/>
    <w:rsid w:val="003764CC"/>
    <w:rsid w:val="00380006"/>
    <w:rsid w:val="00380DB3"/>
    <w:rsid w:val="00383290"/>
    <w:rsid w:val="00383916"/>
    <w:rsid w:val="003839DE"/>
    <w:rsid w:val="00384B6D"/>
    <w:rsid w:val="00386B94"/>
    <w:rsid w:val="00387BEB"/>
    <w:rsid w:val="00387CD8"/>
    <w:rsid w:val="00387EA3"/>
    <w:rsid w:val="0039140F"/>
    <w:rsid w:val="0039371D"/>
    <w:rsid w:val="0039657A"/>
    <w:rsid w:val="00396B44"/>
    <w:rsid w:val="00396B9B"/>
    <w:rsid w:val="003974CF"/>
    <w:rsid w:val="00397D55"/>
    <w:rsid w:val="00397F43"/>
    <w:rsid w:val="003A2DEF"/>
    <w:rsid w:val="003A36B1"/>
    <w:rsid w:val="003A40F2"/>
    <w:rsid w:val="003A4D24"/>
    <w:rsid w:val="003A4DB6"/>
    <w:rsid w:val="003A525A"/>
    <w:rsid w:val="003A541B"/>
    <w:rsid w:val="003A6B3D"/>
    <w:rsid w:val="003A752E"/>
    <w:rsid w:val="003A761E"/>
    <w:rsid w:val="003B141B"/>
    <w:rsid w:val="003B5EF1"/>
    <w:rsid w:val="003B6004"/>
    <w:rsid w:val="003B730E"/>
    <w:rsid w:val="003C0A36"/>
    <w:rsid w:val="003C1C72"/>
    <w:rsid w:val="003C2621"/>
    <w:rsid w:val="003C2D97"/>
    <w:rsid w:val="003C3169"/>
    <w:rsid w:val="003C61CE"/>
    <w:rsid w:val="003D09A6"/>
    <w:rsid w:val="003D126D"/>
    <w:rsid w:val="003D15D3"/>
    <w:rsid w:val="003D2513"/>
    <w:rsid w:val="003D2889"/>
    <w:rsid w:val="003D5A1C"/>
    <w:rsid w:val="003D7466"/>
    <w:rsid w:val="003D7643"/>
    <w:rsid w:val="003E028B"/>
    <w:rsid w:val="003E02DC"/>
    <w:rsid w:val="003E0D4F"/>
    <w:rsid w:val="003E3B87"/>
    <w:rsid w:val="003E55C9"/>
    <w:rsid w:val="003E5727"/>
    <w:rsid w:val="003E5F7B"/>
    <w:rsid w:val="003F0FE7"/>
    <w:rsid w:val="003F10A5"/>
    <w:rsid w:val="003F611F"/>
    <w:rsid w:val="003F6710"/>
    <w:rsid w:val="004002C7"/>
    <w:rsid w:val="00400372"/>
    <w:rsid w:val="00403397"/>
    <w:rsid w:val="004057BC"/>
    <w:rsid w:val="004064A3"/>
    <w:rsid w:val="00410C77"/>
    <w:rsid w:val="00415EEE"/>
    <w:rsid w:val="00416927"/>
    <w:rsid w:val="004177A0"/>
    <w:rsid w:val="0042231F"/>
    <w:rsid w:val="00423DBE"/>
    <w:rsid w:val="004244D8"/>
    <w:rsid w:val="0042602C"/>
    <w:rsid w:val="0042656F"/>
    <w:rsid w:val="00426FC1"/>
    <w:rsid w:val="00426FF5"/>
    <w:rsid w:val="00427DC1"/>
    <w:rsid w:val="00430A63"/>
    <w:rsid w:val="00431BD1"/>
    <w:rsid w:val="0043368E"/>
    <w:rsid w:val="00433743"/>
    <w:rsid w:val="00433BFC"/>
    <w:rsid w:val="0043430C"/>
    <w:rsid w:val="004361AE"/>
    <w:rsid w:val="0044030B"/>
    <w:rsid w:val="00441A43"/>
    <w:rsid w:val="004428AE"/>
    <w:rsid w:val="00444EA5"/>
    <w:rsid w:val="0044663A"/>
    <w:rsid w:val="004478C0"/>
    <w:rsid w:val="00452356"/>
    <w:rsid w:val="00453120"/>
    <w:rsid w:val="00453286"/>
    <w:rsid w:val="00453BC2"/>
    <w:rsid w:val="00457618"/>
    <w:rsid w:val="00462063"/>
    <w:rsid w:val="004639D9"/>
    <w:rsid w:val="00466725"/>
    <w:rsid w:val="00467807"/>
    <w:rsid w:val="004678C2"/>
    <w:rsid w:val="00467F00"/>
    <w:rsid w:val="00471C4B"/>
    <w:rsid w:val="004732B0"/>
    <w:rsid w:val="00473EE6"/>
    <w:rsid w:val="004742DD"/>
    <w:rsid w:val="0047631C"/>
    <w:rsid w:val="004801CC"/>
    <w:rsid w:val="00480F60"/>
    <w:rsid w:val="004814C0"/>
    <w:rsid w:val="00482F48"/>
    <w:rsid w:val="0048390E"/>
    <w:rsid w:val="00483950"/>
    <w:rsid w:val="00484534"/>
    <w:rsid w:val="00484A4B"/>
    <w:rsid w:val="00486CBB"/>
    <w:rsid w:val="004918DB"/>
    <w:rsid w:val="004923AC"/>
    <w:rsid w:val="004926F3"/>
    <w:rsid w:val="004961F3"/>
    <w:rsid w:val="00496F6D"/>
    <w:rsid w:val="004A0621"/>
    <w:rsid w:val="004A0ABB"/>
    <w:rsid w:val="004A3C08"/>
    <w:rsid w:val="004A6474"/>
    <w:rsid w:val="004A6AFE"/>
    <w:rsid w:val="004B0C82"/>
    <w:rsid w:val="004B144B"/>
    <w:rsid w:val="004B3765"/>
    <w:rsid w:val="004B3E9A"/>
    <w:rsid w:val="004B4620"/>
    <w:rsid w:val="004B49F6"/>
    <w:rsid w:val="004B4E83"/>
    <w:rsid w:val="004B7D84"/>
    <w:rsid w:val="004C05EB"/>
    <w:rsid w:val="004C1D9B"/>
    <w:rsid w:val="004C1F87"/>
    <w:rsid w:val="004C3FD4"/>
    <w:rsid w:val="004C4E0B"/>
    <w:rsid w:val="004C5730"/>
    <w:rsid w:val="004C5C4E"/>
    <w:rsid w:val="004C5CF7"/>
    <w:rsid w:val="004C6D22"/>
    <w:rsid w:val="004C7E08"/>
    <w:rsid w:val="004D0685"/>
    <w:rsid w:val="004D1767"/>
    <w:rsid w:val="004D2BAB"/>
    <w:rsid w:val="004D2FF4"/>
    <w:rsid w:val="004D3546"/>
    <w:rsid w:val="004D4011"/>
    <w:rsid w:val="004D6F92"/>
    <w:rsid w:val="004D6FE6"/>
    <w:rsid w:val="004D7226"/>
    <w:rsid w:val="004D799A"/>
    <w:rsid w:val="004D7E25"/>
    <w:rsid w:val="004E0080"/>
    <w:rsid w:val="004E3BD2"/>
    <w:rsid w:val="004E4BE7"/>
    <w:rsid w:val="004E51D4"/>
    <w:rsid w:val="004E5699"/>
    <w:rsid w:val="004E658D"/>
    <w:rsid w:val="004F0335"/>
    <w:rsid w:val="004F1056"/>
    <w:rsid w:val="004F1AD8"/>
    <w:rsid w:val="004F1F8D"/>
    <w:rsid w:val="004F2B2A"/>
    <w:rsid w:val="004F5129"/>
    <w:rsid w:val="004F7C86"/>
    <w:rsid w:val="00502F67"/>
    <w:rsid w:val="00503087"/>
    <w:rsid w:val="005038B9"/>
    <w:rsid w:val="00503CA3"/>
    <w:rsid w:val="005043C9"/>
    <w:rsid w:val="00504FCD"/>
    <w:rsid w:val="00505AE1"/>
    <w:rsid w:val="0050675D"/>
    <w:rsid w:val="00506CC9"/>
    <w:rsid w:val="005075EE"/>
    <w:rsid w:val="005101AA"/>
    <w:rsid w:val="0051038F"/>
    <w:rsid w:val="005106A2"/>
    <w:rsid w:val="005122DE"/>
    <w:rsid w:val="0051361A"/>
    <w:rsid w:val="00513B75"/>
    <w:rsid w:val="005156CB"/>
    <w:rsid w:val="00520C7E"/>
    <w:rsid w:val="00523348"/>
    <w:rsid w:val="00523AF7"/>
    <w:rsid w:val="00526050"/>
    <w:rsid w:val="0052685D"/>
    <w:rsid w:val="00530FD2"/>
    <w:rsid w:val="005347BB"/>
    <w:rsid w:val="0053546E"/>
    <w:rsid w:val="0054144C"/>
    <w:rsid w:val="005417FA"/>
    <w:rsid w:val="00541C76"/>
    <w:rsid w:val="005454AE"/>
    <w:rsid w:val="0055040F"/>
    <w:rsid w:val="00550910"/>
    <w:rsid w:val="0055218F"/>
    <w:rsid w:val="005537CA"/>
    <w:rsid w:val="00555965"/>
    <w:rsid w:val="00560F79"/>
    <w:rsid w:val="00561ECC"/>
    <w:rsid w:val="00565DE5"/>
    <w:rsid w:val="00566928"/>
    <w:rsid w:val="005676DD"/>
    <w:rsid w:val="005703B7"/>
    <w:rsid w:val="00571413"/>
    <w:rsid w:val="00571FAD"/>
    <w:rsid w:val="005766EC"/>
    <w:rsid w:val="005807C6"/>
    <w:rsid w:val="0058141D"/>
    <w:rsid w:val="00582267"/>
    <w:rsid w:val="0058376C"/>
    <w:rsid w:val="00583FAD"/>
    <w:rsid w:val="00584F22"/>
    <w:rsid w:val="005866C0"/>
    <w:rsid w:val="005870FA"/>
    <w:rsid w:val="00590710"/>
    <w:rsid w:val="00593796"/>
    <w:rsid w:val="00594BD5"/>
    <w:rsid w:val="00594EC4"/>
    <w:rsid w:val="00595776"/>
    <w:rsid w:val="005968D6"/>
    <w:rsid w:val="00596ADC"/>
    <w:rsid w:val="0059742B"/>
    <w:rsid w:val="005A0371"/>
    <w:rsid w:val="005A04CF"/>
    <w:rsid w:val="005A0BD4"/>
    <w:rsid w:val="005A241D"/>
    <w:rsid w:val="005A377F"/>
    <w:rsid w:val="005A44D6"/>
    <w:rsid w:val="005B0052"/>
    <w:rsid w:val="005B1734"/>
    <w:rsid w:val="005B245C"/>
    <w:rsid w:val="005B2BD2"/>
    <w:rsid w:val="005B3663"/>
    <w:rsid w:val="005B36E3"/>
    <w:rsid w:val="005B39E5"/>
    <w:rsid w:val="005B3FE1"/>
    <w:rsid w:val="005B6F79"/>
    <w:rsid w:val="005B7092"/>
    <w:rsid w:val="005C2E24"/>
    <w:rsid w:val="005C364A"/>
    <w:rsid w:val="005C3D65"/>
    <w:rsid w:val="005C5D0D"/>
    <w:rsid w:val="005C66E5"/>
    <w:rsid w:val="005C7ED8"/>
    <w:rsid w:val="005D0871"/>
    <w:rsid w:val="005D0879"/>
    <w:rsid w:val="005D0959"/>
    <w:rsid w:val="005D5470"/>
    <w:rsid w:val="005D6337"/>
    <w:rsid w:val="005D72D4"/>
    <w:rsid w:val="005D7B2C"/>
    <w:rsid w:val="005E10F0"/>
    <w:rsid w:val="005E24F6"/>
    <w:rsid w:val="005E27AC"/>
    <w:rsid w:val="005E4450"/>
    <w:rsid w:val="005E5142"/>
    <w:rsid w:val="005E545A"/>
    <w:rsid w:val="005E5EA7"/>
    <w:rsid w:val="005E7125"/>
    <w:rsid w:val="005E788E"/>
    <w:rsid w:val="005F136A"/>
    <w:rsid w:val="005F6377"/>
    <w:rsid w:val="005F64A4"/>
    <w:rsid w:val="006001F5"/>
    <w:rsid w:val="00601D64"/>
    <w:rsid w:val="00602BCE"/>
    <w:rsid w:val="00602C9B"/>
    <w:rsid w:val="00604F0C"/>
    <w:rsid w:val="00604F9A"/>
    <w:rsid w:val="00606B14"/>
    <w:rsid w:val="00611850"/>
    <w:rsid w:val="006121B6"/>
    <w:rsid w:val="0061243D"/>
    <w:rsid w:val="006129F8"/>
    <w:rsid w:val="006135D2"/>
    <w:rsid w:val="00613608"/>
    <w:rsid w:val="0061372C"/>
    <w:rsid w:val="006139CF"/>
    <w:rsid w:val="00613C17"/>
    <w:rsid w:val="0061539D"/>
    <w:rsid w:val="00615572"/>
    <w:rsid w:val="006169A0"/>
    <w:rsid w:val="0061705A"/>
    <w:rsid w:val="00622149"/>
    <w:rsid w:val="006229D2"/>
    <w:rsid w:val="00624C74"/>
    <w:rsid w:val="0062532B"/>
    <w:rsid w:val="00625A8E"/>
    <w:rsid w:val="006273C3"/>
    <w:rsid w:val="0063062B"/>
    <w:rsid w:val="00631025"/>
    <w:rsid w:val="006321C9"/>
    <w:rsid w:val="0063235C"/>
    <w:rsid w:val="006329CE"/>
    <w:rsid w:val="00634BF2"/>
    <w:rsid w:val="0063551F"/>
    <w:rsid w:val="00635E95"/>
    <w:rsid w:val="00635F0A"/>
    <w:rsid w:val="00636DEC"/>
    <w:rsid w:val="00637F7D"/>
    <w:rsid w:val="006403B2"/>
    <w:rsid w:val="00641995"/>
    <w:rsid w:val="00641B63"/>
    <w:rsid w:val="00642845"/>
    <w:rsid w:val="00646920"/>
    <w:rsid w:val="0064699C"/>
    <w:rsid w:val="006476BF"/>
    <w:rsid w:val="0065224A"/>
    <w:rsid w:val="00652E82"/>
    <w:rsid w:val="0065320F"/>
    <w:rsid w:val="006542C8"/>
    <w:rsid w:val="006555DC"/>
    <w:rsid w:val="00655A80"/>
    <w:rsid w:val="00656AFA"/>
    <w:rsid w:val="00657E4C"/>
    <w:rsid w:val="00660926"/>
    <w:rsid w:val="00661197"/>
    <w:rsid w:val="00663608"/>
    <w:rsid w:val="00665ADC"/>
    <w:rsid w:val="00667439"/>
    <w:rsid w:val="00667B22"/>
    <w:rsid w:val="00670F47"/>
    <w:rsid w:val="00672AC6"/>
    <w:rsid w:val="00673F02"/>
    <w:rsid w:val="0067660D"/>
    <w:rsid w:val="00676F57"/>
    <w:rsid w:val="006774B9"/>
    <w:rsid w:val="00677714"/>
    <w:rsid w:val="00680B32"/>
    <w:rsid w:val="0068142C"/>
    <w:rsid w:val="00681E20"/>
    <w:rsid w:val="00683666"/>
    <w:rsid w:val="00683EFE"/>
    <w:rsid w:val="006842FF"/>
    <w:rsid w:val="00686259"/>
    <w:rsid w:val="00686898"/>
    <w:rsid w:val="00692610"/>
    <w:rsid w:val="006932A6"/>
    <w:rsid w:val="00697D7A"/>
    <w:rsid w:val="006A18EB"/>
    <w:rsid w:val="006A1B24"/>
    <w:rsid w:val="006A1DDF"/>
    <w:rsid w:val="006A220C"/>
    <w:rsid w:val="006A2F51"/>
    <w:rsid w:val="006A60EA"/>
    <w:rsid w:val="006B008F"/>
    <w:rsid w:val="006B18AE"/>
    <w:rsid w:val="006B1AE1"/>
    <w:rsid w:val="006B2AA4"/>
    <w:rsid w:val="006B4D9E"/>
    <w:rsid w:val="006B6F31"/>
    <w:rsid w:val="006B6F65"/>
    <w:rsid w:val="006B716A"/>
    <w:rsid w:val="006B7369"/>
    <w:rsid w:val="006B76AC"/>
    <w:rsid w:val="006B77E9"/>
    <w:rsid w:val="006C0647"/>
    <w:rsid w:val="006C155F"/>
    <w:rsid w:val="006C3825"/>
    <w:rsid w:val="006C73CC"/>
    <w:rsid w:val="006C754F"/>
    <w:rsid w:val="006C7B7A"/>
    <w:rsid w:val="006D1A32"/>
    <w:rsid w:val="006D2413"/>
    <w:rsid w:val="006D2B10"/>
    <w:rsid w:val="006D3F3D"/>
    <w:rsid w:val="006D7111"/>
    <w:rsid w:val="006D7823"/>
    <w:rsid w:val="006E29C5"/>
    <w:rsid w:val="006E3B2C"/>
    <w:rsid w:val="006E57F0"/>
    <w:rsid w:val="006E6201"/>
    <w:rsid w:val="006E6639"/>
    <w:rsid w:val="006E7DC9"/>
    <w:rsid w:val="006F03DB"/>
    <w:rsid w:val="006F167C"/>
    <w:rsid w:val="006F23E5"/>
    <w:rsid w:val="006F31E8"/>
    <w:rsid w:val="006F3E62"/>
    <w:rsid w:val="006F6AF9"/>
    <w:rsid w:val="00702382"/>
    <w:rsid w:val="0071057C"/>
    <w:rsid w:val="00710C2B"/>
    <w:rsid w:val="00713E9F"/>
    <w:rsid w:val="00714CFD"/>
    <w:rsid w:val="0071691E"/>
    <w:rsid w:val="007201C3"/>
    <w:rsid w:val="007217AE"/>
    <w:rsid w:val="00721F5B"/>
    <w:rsid w:val="0072216C"/>
    <w:rsid w:val="00722773"/>
    <w:rsid w:val="00723605"/>
    <w:rsid w:val="00724551"/>
    <w:rsid w:val="0072606F"/>
    <w:rsid w:val="00726574"/>
    <w:rsid w:val="00727FB1"/>
    <w:rsid w:val="007360E4"/>
    <w:rsid w:val="00736A14"/>
    <w:rsid w:val="0073703E"/>
    <w:rsid w:val="00740616"/>
    <w:rsid w:val="00740EA6"/>
    <w:rsid w:val="0074108E"/>
    <w:rsid w:val="00741AD2"/>
    <w:rsid w:val="0074313E"/>
    <w:rsid w:val="00743BE1"/>
    <w:rsid w:val="00751EC8"/>
    <w:rsid w:val="007526D0"/>
    <w:rsid w:val="007528E7"/>
    <w:rsid w:val="00754A77"/>
    <w:rsid w:val="00755756"/>
    <w:rsid w:val="00757907"/>
    <w:rsid w:val="0076027A"/>
    <w:rsid w:val="007605F9"/>
    <w:rsid w:val="00760C1D"/>
    <w:rsid w:val="00761695"/>
    <w:rsid w:val="00762AA0"/>
    <w:rsid w:val="00763AC9"/>
    <w:rsid w:val="00764928"/>
    <w:rsid w:val="00765596"/>
    <w:rsid w:val="00765F1E"/>
    <w:rsid w:val="0076751E"/>
    <w:rsid w:val="007678F1"/>
    <w:rsid w:val="0076797E"/>
    <w:rsid w:val="007729F2"/>
    <w:rsid w:val="00772A66"/>
    <w:rsid w:val="00772C1D"/>
    <w:rsid w:val="007756F2"/>
    <w:rsid w:val="00776C55"/>
    <w:rsid w:val="00777581"/>
    <w:rsid w:val="00780859"/>
    <w:rsid w:val="007819D5"/>
    <w:rsid w:val="00781A59"/>
    <w:rsid w:val="00781E04"/>
    <w:rsid w:val="00784FC4"/>
    <w:rsid w:val="007873C9"/>
    <w:rsid w:val="0079023D"/>
    <w:rsid w:val="00791A37"/>
    <w:rsid w:val="00791C11"/>
    <w:rsid w:val="00796C64"/>
    <w:rsid w:val="007A11BB"/>
    <w:rsid w:val="007A2976"/>
    <w:rsid w:val="007A2C38"/>
    <w:rsid w:val="007A2F74"/>
    <w:rsid w:val="007A3A88"/>
    <w:rsid w:val="007A3CBB"/>
    <w:rsid w:val="007B14C4"/>
    <w:rsid w:val="007B29D3"/>
    <w:rsid w:val="007B3039"/>
    <w:rsid w:val="007B30B0"/>
    <w:rsid w:val="007B44A8"/>
    <w:rsid w:val="007B5F75"/>
    <w:rsid w:val="007B6048"/>
    <w:rsid w:val="007B7A96"/>
    <w:rsid w:val="007C0555"/>
    <w:rsid w:val="007C059C"/>
    <w:rsid w:val="007C1055"/>
    <w:rsid w:val="007C1781"/>
    <w:rsid w:val="007C26E4"/>
    <w:rsid w:val="007C2B15"/>
    <w:rsid w:val="007C2F03"/>
    <w:rsid w:val="007C30F7"/>
    <w:rsid w:val="007C4B75"/>
    <w:rsid w:val="007C6009"/>
    <w:rsid w:val="007C7210"/>
    <w:rsid w:val="007C7870"/>
    <w:rsid w:val="007D116B"/>
    <w:rsid w:val="007D1926"/>
    <w:rsid w:val="007D1EA3"/>
    <w:rsid w:val="007D507F"/>
    <w:rsid w:val="007D52EC"/>
    <w:rsid w:val="007D60BC"/>
    <w:rsid w:val="007D6433"/>
    <w:rsid w:val="007E0E91"/>
    <w:rsid w:val="007E159A"/>
    <w:rsid w:val="007E30D9"/>
    <w:rsid w:val="007E5315"/>
    <w:rsid w:val="007E5740"/>
    <w:rsid w:val="007E6000"/>
    <w:rsid w:val="007F0FFE"/>
    <w:rsid w:val="007F2447"/>
    <w:rsid w:val="00800873"/>
    <w:rsid w:val="008012AE"/>
    <w:rsid w:val="00802582"/>
    <w:rsid w:val="00803C7A"/>
    <w:rsid w:val="00804858"/>
    <w:rsid w:val="00805507"/>
    <w:rsid w:val="008056C8"/>
    <w:rsid w:val="00805B7D"/>
    <w:rsid w:val="00806E25"/>
    <w:rsid w:val="00811A77"/>
    <w:rsid w:val="00812F9A"/>
    <w:rsid w:val="00813BD7"/>
    <w:rsid w:val="00814E35"/>
    <w:rsid w:val="00815366"/>
    <w:rsid w:val="00816135"/>
    <w:rsid w:val="00816164"/>
    <w:rsid w:val="00816208"/>
    <w:rsid w:val="00816CEB"/>
    <w:rsid w:val="0082018C"/>
    <w:rsid w:val="008237B3"/>
    <w:rsid w:val="0082412B"/>
    <w:rsid w:val="00824ACE"/>
    <w:rsid w:val="0082593E"/>
    <w:rsid w:val="0082783B"/>
    <w:rsid w:val="00830D82"/>
    <w:rsid w:val="00831157"/>
    <w:rsid w:val="008312D4"/>
    <w:rsid w:val="008340A9"/>
    <w:rsid w:val="00834213"/>
    <w:rsid w:val="008359F5"/>
    <w:rsid w:val="00835C91"/>
    <w:rsid w:val="00835E32"/>
    <w:rsid w:val="0083718D"/>
    <w:rsid w:val="00841BCE"/>
    <w:rsid w:val="008420DD"/>
    <w:rsid w:val="00844269"/>
    <w:rsid w:val="0084479A"/>
    <w:rsid w:val="0084558A"/>
    <w:rsid w:val="008458DC"/>
    <w:rsid w:val="008461A4"/>
    <w:rsid w:val="0084787F"/>
    <w:rsid w:val="00850151"/>
    <w:rsid w:val="00850C74"/>
    <w:rsid w:val="008514F9"/>
    <w:rsid w:val="00851EA8"/>
    <w:rsid w:val="0085221B"/>
    <w:rsid w:val="00852DD7"/>
    <w:rsid w:val="00854C92"/>
    <w:rsid w:val="00856CE0"/>
    <w:rsid w:val="0085750B"/>
    <w:rsid w:val="0085790D"/>
    <w:rsid w:val="00857D0A"/>
    <w:rsid w:val="0086063A"/>
    <w:rsid w:val="00861198"/>
    <w:rsid w:val="00863FA9"/>
    <w:rsid w:val="0086445E"/>
    <w:rsid w:val="00865453"/>
    <w:rsid w:val="0086627B"/>
    <w:rsid w:val="00866D13"/>
    <w:rsid w:val="008709F7"/>
    <w:rsid w:val="00870C46"/>
    <w:rsid w:val="00871F7C"/>
    <w:rsid w:val="00875827"/>
    <w:rsid w:val="00880038"/>
    <w:rsid w:val="008813FE"/>
    <w:rsid w:val="00883AD1"/>
    <w:rsid w:val="00884B2D"/>
    <w:rsid w:val="00884C2C"/>
    <w:rsid w:val="00885F59"/>
    <w:rsid w:val="008901F8"/>
    <w:rsid w:val="00892C4C"/>
    <w:rsid w:val="008950FC"/>
    <w:rsid w:val="008953CA"/>
    <w:rsid w:val="008966C4"/>
    <w:rsid w:val="00896C6F"/>
    <w:rsid w:val="00897829"/>
    <w:rsid w:val="008A2965"/>
    <w:rsid w:val="008A2C6E"/>
    <w:rsid w:val="008A358C"/>
    <w:rsid w:val="008A4003"/>
    <w:rsid w:val="008A4046"/>
    <w:rsid w:val="008A5018"/>
    <w:rsid w:val="008A5919"/>
    <w:rsid w:val="008A5E90"/>
    <w:rsid w:val="008C0339"/>
    <w:rsid w:val="008C0366"/>
    <w:rsid w:val="008C1C6C"/>
    <w:rsid w:val="008C3AB0"/>
    <w:rsid w:val="008C57FE"/>
    <w:rsid w:val="008D0506"/>
    <w:rsid w:val="008D09C3"/>
    <w:rsid w:val="008D0DC5"/>
    <w:rsid w:val="008D266B"/>
    <w:rsid w:val="008D36EA"/>
    <w:rsid w:val="008D3B20"/>
    <w:rsid w:val="008D4925"/>
    <w:rsid w:val="008D65B1"/>
    <w:rsid w:val="008D756D"/>
    <w:rsid w:val="008E07C8"/>
    <w:rsid w:val="008E0C34"/>
    <w:rsid w:val="008E22D5"/>
    <w:rsid w:val="008E6677"/>
    <w:rsid w:val="008E6B27"/>
    <w:rsid w:val="008E6EFC"/>
    <w:rsid w:val="008E6EFD"/>
    <w:rsid w:val="008E7292"/>
    <w:rsid w:val="008F1B1C"/>
    <w:rsid w:val="008F2B77"/>
    <w:rsid w:val="008F4EE4"/>
    <w:rsid w:val="008F7ED6"/>
    <w:rsid w:val="0090010A"/>
    <w:rsid w:val="0090021C"/>
    <w:rsid w:val="00902800"/>
    <w:rsid w:val="009043B4"/>
    <w:rsid w:val="00907E24"/>
    <w:rsid w:val="009112B0"/>
    <w:rsid w:val="009129AB"/>
    <w:rsid w:val="009142CA"/>
    <w:rsid w:val="009145A3"/>
    <w:rsid w:val="00914FCD"/>
    <w:rsid w:val="00915356"/>
    <w:rsid w:val="0091697E"/>
    <w:rsid w:val="00917F4E"/>
    <w:rsid w:val="00920375"/>
    <w:rsid w:val="00920D55"/>
    <w:rsid w:val="00921237"/>
    <w:rsid w:val="00923BA1"/>
    <w:rsid w:val="009246ED"/>
    <w:rsid w:val="00925607"/>
    <w:rsid w:val="00926505"/>
    <w:rsid w:val="00931600"/>
    <w:rsid w:val="00931663"/>
    <w:rsid w:val="009318AA"/>
    <w:rsid w:val="00932932"/>
    <w:rsid w:val="0093375E"/>
    <w:rsid w:val="00933BA9"/>
    <w:rsid w:val="009360C0"/>
    <w:rsid w:val="009405B3"/>
    <w:rsid w:val="0094122E"/>
    <w:rsid w:val="00941D12"/>
    <w:rsid w:val="00941D74"/>
    <w:rsid w:val="00943A24"/>
    <w:rsid w:val="009441CD"/>
    <w:rsid w:val="009452DD"/>
    <w:rsid w:val="0094584A"/>
    <w:rsid w:val="00945F42"/>
    <w:rsid w:val="00946DEB"/>
    <w:rsid w:val="00946EE9"/>
    <w:rsid w:val="009516F2"/>
    <w:rsid w:val="00951E03"/>
    <w:rsid w:val="009531B2"/>
    <w:rsid w:val="009539DB"/>
    <w:rsid w:val="00953FC5"/>
    <w:rsid w:val="00954064"/>
    <w:rsid w:val="0095493E"/>
    <w:rsid w:val="00955546"/>
    <w:rsid w:val="00955DB8"/>
    <w:rsid w:val="009612C4"/>
    <w:rsid w:val="00961D80"/>
    <w:rsid w:val="00962195"/>
    <w:rsid w:val="00962C5B"/>
    <w:rsid w:val="00964ACB"/>
    <w:rsid w:val="009657A1"/>
    <w:rsid w:val="00965C03"/>
    <w:rsid w:val="00965FD5"/>
    <w:rsid w:val="009663E9"/>
    <w:rsid w:val="009671BD"/>
    <w:rsid w:val="00972640"/>
    <w:rsid w:val="00972816"/>
    <w:rsid w:val="00974B2A"/>
    <w:rsid w:val="009759EC"/>
    <w:rsid w:val="009776E7"/>
    <w:rsid w:val="00977D5F"/>
    <w:rsid w:val="0098025F"/>
    <w:rsid w:val="0098264A"/>
    <w:rsid w:val="0098308C"/>
    <w:rsid w:val="009861AC"/>
    <w:rsid w:val="009874D9"/>
    <w:rsid w:val="00990DF1"/>
    <w:rsid w:val="00991F04"/>
    <w:rsid w:val="00992729"/>
    <w:rsid w:val="009930DC"/>
    <w:rsid w:val="0099481C"/>
    <w:rsid w:val="00994E4F"/>
    <w:rsid w:val="00995B02"/>
    <w:rsid w:val="00996C45"/>
    <w:rsid w:val="009A2422"/>
    <w:rsid w:val="009A5291"/>
    <w:rsid w:val="009A5B2D"/>
    <w:rsid w:val="009B0E60"/>
    <w:rsid w:val="009B22F5"/>
    <w:rsid w:val="009B2332"/>
    <w:rsid w:val="009B624A"/>
    <w:rsid w:val="009C3B43"/>
    <w:rsid w:val="009C6AC7"/>
    <w:rsid w:val="009C6C2C"/>
    <w:rsid w:val="009D27E7"/>
    <w:rsid w:val="009D2823"/>
    <w:rsid w:val="009D6AE7"/>
    <w:rsid w:val="009D76FA"/>
    <w:rsid w:val="009D7EDC"/>
    <w:rsid w:val="009E187E"/>
    <w:rsid w:val="009E18B8"/>
    <w:rsid w:val="009E232C"/>
    <w:rsid w:val="009E3509"/>
    <w:rsid w:val="009E5F55"/>
    <w:rsid w:val="009E6DA7"/>
    <w:rsid w:val="009E762E"/>
    <w:rsid w:val="009E7B3A"/>
    <w:rsid w:val="009F0D3D"/>
    <w:rsid w:val="009F1656"/>
    <w:rsid w:val="009F1F9F"/>
    <w:rsid w:val="009F4A63"/>
    <w:rsid w:val="009F4F91"/>
    <w:rsid w:val="00A0124F"/>
    <w:rsid w:val="00A0171D"/>
    <w:rsid w:val="00A04CBE"/>
    <w:rsid w:val="00A0563D"/>
    <w:rsid w:val="00A05F3E"/>
    <w:rsid w:val="00A07620"/>
    <w:rsid w:val="00A12085"/>
    <w:rsid w:val="00A1240B"/>
    <w:rsid w:val="00A137A0"/>
    <w:rsid w:val="00A14A13"/>
    <w:rsid w:val="00A14D0C"/>
    <w:rsid w:val="00A20BD5"/>
    <w:rsid w:val="00A234C5"/>
    <w:rsid w:val="00A257F4"/>
    <w:rsid w:val="00A25FEA"/>
    <w:rsid w:val="00A26256"/>
    <w:rsid w:val="00A26952"/>
    <w:rsid w:val="00A26CB5"/>
    <w:rsid w:val="00A273E4"/>
    <w:rsid w:val="00A30338"/>
    <w:rsid w:val="00A306AF"/>
    <w:rsid w:val="00A31F5A"/>
    <w:rsid w:val="00A33345"/>
    <w:rsid w:val="00A3424D"/>
    <w:rsid w:val="00A35FF9"/>
    <w:rsid w:val="00A40D8C"/>
    <w:rsid w:val="00A42707"/>
    <w:rsid w:val="00A44AC1"/>
    <w:rsid w:val="00A4539C"/>
    <w:rsid w:val="00A4561A"/>
    <w:rsid w:val="00A47856"/>
    <w:rsid w:val="00A47E3D"/>
    <w:rsid w:val="00A53972"/>
    <w:rsid w:val="00A5596B"/>
    <w:rsid w:val="00A5616B"/>
    <w:rsid w:val="00A56431"/>
    <w:rsid w:val="00A637E5"/>
    <w:rsid w:val="00A64EF7"/>
    <w:rsid w:val="00A656FE"/>
    <w:rsid w:val="00A66538"/>
    <w:rsid w:val="00A713E0"/>
    <w:rsid w:val="00A7164A"/>
    <w:rsid w:val="00A71966"/>
    <w:rsid w:val="00A721BD"/>
    <w:rsid w:val="00A732CD"/>
    <w:rsid w:val="00A73303"/>
    <w:rsid w:val="00A7448A"/>
    <w:rsid w:val="00A747AB"/>
    <w:rsid w:val="00A74A1E"/>
    <w:rsid w:val="00A762D0"/>
    <w:rsid w:val="00A766E3"/>
    <w:rsid w:val="00A76A7E"/>
    <w:rsid w:val="00A76E20"/>
    <w:rsid w:val="00A7786F"/>
    <w:rsid w:val="00A77AFC"/>
    <w:rsid w:val="00A80B5C"/>
    <w:rsid w:val="00A81323"/>
    <w:rsid w:val="00A824A3"/>
    <w:rsid w:val="00A82535"/>
    <w:rsid w:val="00A8384D"/>
    <w:rsid w:val="00A83A5C"/>
    <w:rsid w:val="00A83B15"/>
    <w:rsid w:val="00A8536A"/>
    <w:rsid w:val="00A87C5E"/>
    <w:rsid w:val="00A92E0F"/>
    <w:rsid w:val="00A9401E"/>
    <w:rsid w:val="00A950DB"/>
    <w:rsid w:val="00A95643"/>
    <w:rsid w:val="00A96023"/>
    <w:rsid w:val="00A962C7"/>
    <w:rsid w:val="00A970A2"/>
    <w:rsid w:val="00AA044F"/>
    <w:rsid w:val="00AA130D"/>
    <w:rsid w:val="00AA1C40"/>
    <w:rsid w:val="00AA2923"/>
    <w:rsid w:val="00AA35CC"/>
    <w:rsid w:val="00AA5767"/>
    <w:rsid w:val="00AA6269"/>
    <w:rsid w:val="00AA70D1"/>
    <w:rsid w:val="00AB0685"/>
    <w:rsid w:val="00AB16C7"/>
    <w:rsid w:val="00AB4844"/>
    <w:rsid w:val="00AB5B88"/>
    <w:rsid w:val="00AB6002"/>
    <w:rsid w:val="00AC03B8"/>
    <w:rsid w:val="00AC0E1E"/>
    <w:rsid w:val="00AC1D23"/>
    <w:rsid w:val="00AC2347"/>
    <w:rsid w:val="00AC389D"/>
    <w:rsid w:val="00AC4543"/>
    <w:rsid w:val="00AC6585"/>
    <w:rsid w:val="00AC733B"/>
    <w:rsid w:val="00AD100D"/>
    <w:rsid w:val="00AD1618"/>
    <w:rsid w:val="00AD21D0"/>
    <w:rsid w:val="00AD4B5B"/>
    <w:rsid w:val="00AD5719"/>
    <w:rsid w:val="00AD7C9A"/>
    <w:rsid w:val="00AE0809"/>
    <w:rsid w:val="00AE1345"/>
    <w:rsid w:val="00AE3411"/>
    <w:rsid w:val="00AE3D9B"/>
    <w:rsid w:val="00AE405F"/>
    <w:rsid w:val="00AE46E5"/>
    <w:rsid w:val="00AE6114"/>
    <w:rsid w:val="00AE6C8B"/>
    <w:rsid w:val="00AE7BF7"/>
    <w:rsid w:val="00AE7F5D"/>
    <w:rsid w:val="00AF3FDF"/>
    <w:rsid w:val="00AF4290"/>
    <w:rsid w:val="00AF4302"/>
    <w:rsid w:val="00AF4C38"/>
    <w:rsid w:val="00AF4D03"/>
    <w:rsid w:val="00AF5292"/>
    <w:rsid w:val="00AF5514"/>
    <w:rsid w:val="00AF58F7"/>
    <w:rsid w:val="00AF60C8"/>
    <w:rsid w:val="00AF683D"/>
    <w:rsid w:val="00AF7123"/>
    <w:rsid w:val="00AF749A"/>
    <w:rsid w:val="00B0037F"/>
    <w:rsid w:val="00B0156F"/>
    <w:rsid w:val="00B02AE5"/>
    <w:rsid w:val="00B040DD"/>
    <w:rsid w:val="00B04F85"/>
    <w:rsid w:val="00B05203"/>
    <w:rsid w:val="00B06338"/>
    <w:rsid w:val="00B11939"/>
    <w:rsid w:val="00B11A3B"/>
    <w:rsid w:val="00B13C91"/>
    <w:rsid w:val="00B14151"/>
    <w:rsid w:val="00B14F1A"/>
    <w:rsid w:val="00B1594C"/>
    <w:rsid w:val="00B15E29"/>
    <w:rsid w:val="00B16017"/>
    <w:rsid w:val="00B20EDE"/>
    <w:rsid w:val="00B2220F"/>
    <w:rsid w:val="00B238A4"/>
    <w:rsid w:val="00B25E2A"/>
    <w:rsid w:val="00B27533"/>
    <w:rsid w:val="00B327BF"/>
    <w:rsid w:val="00B33CE6"/>
    <w:rsid w:val="00B3461A"/>
    <w:rsid w:val="00B360EB"/>
    <w:rsid w:val="00B361AB"/>
    <w:rsid w:val="00B41126"/>
    <w:rsid w:val="00B42273"/>
    <w:rsid w:val="00B425ED"/>
    <w:rsid w:val="00B445DB"/>
    <w:rsid w:val="00B4558F"/>
    <w:rsid w:val="00B458DA"/>
    <w:rsid w:val="00B461C2"/>
    <w:rsid w:val="00B46D3A"/>
    <w:rsid w:val="00B472EF"/>
    <w:rsid w:val="00B478FC"/>
    <w:rsid w:val="00B50919"/>
    <w:rsid w:val="00B5095E"/>
    <w:rsid w:val="00B5168C"/>
    <w:rsid w:val="00B555CB"/>
    <w:rsid w:val="00B56EFD"/>
    <w:rsid w:val="00B570DD"/>
    <w:rsid w:val="00B6347F"/>
    <w:rsid w:val="00B63833"/>
    <w:rsid w:val="00B64934"/>
    <w:rsid w:val="00B649EB"/>
    <w:rsid w:val="00B66E99"/>
    <w:rsid w:val="00B66FE0"/>
    <w:rsid w:val="00B70535"/>
    <w:rsid w:val="00B7060A"/>
    <w:rsid w:val="00B71066"/>
    <w:rsid w:val="00B71231"/>
    <w:rsid w:val="00B724FC"/>
    <w:rsid w:val="00B72829"/>
    <w:rsid w:val="00B72D86"/>
    <w:rsid w:val="00B7344F"/>
    <w:rsid w:val="00B73C71"/>
    <w:rsid w:val="00B73CC8"/>
    <w:rsid w:val="00B75593"/>
    <w:rsid w:val="00B76F0E"/>
    <w:rsid w:val="00B810C7"/>
    <w:rsid w:val="00B825BD"/>
    <w:rsid w:val="00B8299C"/>
    <w:rsid w:val="00B82D79"/>
    <w:rsid w:val="00B8380B"/>
    <w:rsid w:val="00B879F8"/>
    <w:rsid w:val="00B92AD2"/>
    <w:rsid w:val="00B93AAE"/>
    <w:rsid w:val="00B93BAF"/>
    <w:rsid w:val="00B94FA0"/>
    <w:rsid w:val="00B957C5"/>
    <w:rsid w:val="00B96037"/>
    <w:rsid w:val="00B97A8A"/>
    <w:rsid w:val="00BA066F"/>
    <w:rsid w:val="00BA0850"/>
    <w:rsid w:val="00BA18F7"/>
    <w:rsid w:val="00BA261F"/>
    <w:rsid w:val="00BA3D75"/>
    <w:rsid w:val="00BA488D"/>
    <w:rsid w:val="00BA51E1"/>
    <w:rsid w:val="00BA5210"/>
    <w:rsid w:val="00BA5250"/>
    <w:rsid w:val="00BA57F9"/>
    <w:rsid w:val="00BA6339"/>
    <w:rsid w:val="00BB5BD7"/>
    <w:rsid w:val="00BB708E"/>
    <w:rsid w:val="00BB71F2"/>
    <w:rsid w:val="00BC03EB"/>
    <w:rsid w:val="00BC2B05"/>
    <w:rsid w:val="00BC312A"/>
    <w:rsid w:val="00BC43ED"/>
    <w:rsid w:val="00BC4C78"/>
    <w:rsid w:val="00BC4DAB"/>
    <w:rsid w:val="00BC4E87"/>
    <w:rsid w:val="00BC5C5B"/>
    <w:rsid w:val="00BC6029"/>
    <w:rsid w:val="00BD2705"/>
    <w:rsid w:val="00BD3889"/>
    <w:rsid w:val="00BD54B9"/>
    <w:rsid w:val="00BD6321"/>
    <w:rsid w:val="00BD77A4"/>
    <w:rsid w:val="00BE0F8A"/>
    <w:rsid w:val="00BE1C8C"/>
    <w:rsid w:val="00BE7E07"/>
    <w:rsid w:val="00BE7F65"/>
    <w:rsid w:val="00BF00B4"/>
    <w:rsid w:val="00BF122F"/>
    <w:rsid w:val="00BF1599"/>
    <w:rsid w:val="00BF1891"/>
    <w:rsid w:val="00BF1B13"/>
    <w:rsid w:val="00BF21FE"/>
    <w:rsid w:val="00BF2594"/>
    <w:rsid w:val="00BF36A8"/>
    <w:rsid w:val="00BF3FCE"/>
    <w:rsid w:val="00BF6342"/>
    <w:rsid w:val="00BF6A38"/>
    <w:rsid w:val="00BF7BEC"/>
    <w:rsid w:val="00C00694"/>
    <w:rsid w:val="00C02FF5"/>
    <w:rsid w:val="00C03B93"/>
    <w:rsid w:val="00C04008"/>
    <w:rsid w:val="00C04D6C"/>
    <w:rsid w:val="00C0506C"/>
    <w:rsid w:val="00C053E2"/>
    <w:rsid w:val="00C10475"/>
    <w:rsid w:val="00C10BE6"/>
    <w:rsid w:val="00C10C23"/>
    <w:rsid w:val="00C114C0"/>
    <w:rsid w:val="00C13491"/>
    <w:rsid w:val="00C14413"/>
    <w:rsid w:val="00C16F0C"/>
    <w:rsid w:val="00C17B2B"/>
    <w:rsid w:val="00C2147A"/>
    <w:rsid w:val="00C2179F"/>
    <w:rsid w:val="00C246D5"/>
    <w:rsid w:val="00C250DF"/>
    <w:rsid w:val="00C25722"/>
    <w:rsid w:val="00C27F2F"/>
    <w:rsid w:val="00C30B18"/>
    <w:rsid w:val="00C30EF2"/>
    <w:rsid w:val="00C3294D"/>
    <w:rsid w:val="00C32AFF"/>
    <w:rsid w:val="00C32C1A"/>
    <w:rsid w:val="00C338B9"/>
    <w:rsid w:val="00C37306"/>
    <w:rsid w:val="00C40FA2"/>
    <w:rsid w:val="00C41D91"/>
    <w:rsid w:val="00C4286C"/>
    <w:rsid w:val="00C43630"/>
    <w:rsid w:val="00C44D3C"/>
    <w:rsid w:val="00C45919"/>
    <w:rsid w:val="00C45D57"/>
    <w:rsid w:val="00C462DE"/>
    <w:rsid w:val="00C46406"/>
    <w:rsid w:val="00C47551"/>
    <w:rsid w:val="00C47E12"/>
    <w:rsid w:val="00C5082D"/>
    <w:rsid w:val="00C5181E"/>
    <w:rsid w:val="00C52DFA"/>
    <w:rsid w:val="00C54E42"/>
    <w:rsid w:val="00C55899"/>
    <w:rsid w:val="00C61891"/>
    <w:rsid w:val="00C62222"/>
    <w:rsid w:val="00C62D18"/>
    <w:rsid w:val="00C65A43"/>
    <w:rsid w:val="00C67A54"/>
    <w:rsid w:val="00C70B2C"/>
    <w:rsid w:val="00C72A5E"/>
    <w:rsid w:val="00C7634F"/>
    <w:rsid w:val="00C77C97"/>
    <w:rsid w:val="00C830E3"/>
    <w:rsid w:val="00C83712"/>
    <w:rsid w:val="00C8443A"/>
    <w:rsid w:val="00C85557"/>
    <w:rsid w:val="00C90678"/>
    <w:rsid w:val="00C90744"/>
    <w:rsid w:val="00C91075"/>
    <w:rsid w:val="00C913C4"/>
    <w:rsid w:val="00C947E3"/>
    <w:rsid w:val="00C957B9"/>
    <w:rsid w:val="00C95EF6"/>
    <w:rsid w:val="00C96FC7"/>
    <w:rsid w:val="00C9705B"/>
    <w:rsid w:val="00CA048A"/>
    <w:rsid w:val="00CA0B24"/>
    <w:rsid w:val="00CA171C"/>
    <w:rsid w:val="00CA1C25"/>
    <w:rsid w:val="00CA1F82"/>
    <w:rsid w:val="00CA4B6C"/>
    <w:rsid w:val="00CA547A"/>
    <w:rsid w:val="00CA5F18"/>
    <w:rsid w:val="00CA5F6D"/>
    <w:rsid w:val="00CA666F"/>
    <w:rsid w:val="00CA6BDE"/>
    <w:rsid w:val="00CB0F3D"/>
    <w:rsid w:val="00CB17DB"/>
    <w:rsid w:val="00CB24E8"/>
    <w:rsid w:val="00CB3817"/>
    <w:rsid w:val="00CB547B"/>
    <w:rsid w:val="00CB5842"/>
    <w:rsid w:val="00CB62E1"/>
    <w:rsid w:val="00CB69C3"/>
    <w:rsid w:val="00CC0D9C"/>
    <w:rsid w:val="00CC1E0D"/>
    <w:rsid w:val="00CC52B9"/>
    <w:rsid w:val="00CC59BC"/>
    <w:rsid w:val="00CC74C2"/>
    <w:rsid w:val="00CC78A2"/>
    <w:rsid w:val="00CD021D"/>
    <w:rsid w:val="00CD0CF6"/>
    <w:rsid w:val="00CD1CD3"/>
    <w:rsid w:val="00CD2743"/>
    <w:rsid w:val="00CD38F2"/>
    <w:rsid w:val="00CD464C"/>
    <w:rsid w:val="00CD5E69"/>
    <w:rsid w:val="00CD6904"/>
    <w:rsid w:val="00CD6914"/>
    <w:rsid w:val="00CD764C"/>
    <w:rsid w:val="00CE2278"/>
    <w:rsid w:val="00CE2351"/>
    <w:rsid w:val="00CE32B8"/>
    <w:rsid w:val="00CE61EC"/>
    <w:rsid w:val="00CE79EC"/>
    <w:rsid w:val="00CF1A3B"/>
    <w:rsid w:val="00CF1E61"/>
    <w:rsid w:val="00CF2052"/>
    <w:rsid w:val="00CF32B1"/>
    <w:rsid w:val="00CF496F"/>
    <w:rsid w:val="00CF74F2"/>
    <w:rsid w:val="00CF7A95"/>
    <w:rsid w:val="00D00227"/>
    <w:rsid w:val="00D0057A"/>
    <w:rsid w:val="00D027D5"/>
    <w:rsid w:val="00D0325D"/>
    <w:rsid w:val="00D03586"/>
    <w:rsid w:val="00D056C1"/>
    <w:rsid w:val="00D067C0"/>
    <w:rsid w:val="00D06B25"/>
    <w:rsid w:val="00D06DA4"/>
    <w:rsid w:val="00D1040B"/>
    <w:rsid w:val="00D1224E"/>
    <w:rsid w:val="00D1369D"/>
    <w:rsid w:val="00D1393B"/>
    <w:rsid w:val="00D14176"/>
    <w:rsid w:val="00D147BA"/>
    <w:rsid w:val="00D224C0"/>
    <w:rsid w:val="00D25CA4"/>
    <w:rsid w:val="00D26126"/>
    <w:rsid w:val="00D30F47"/>
    <w:rsid w:val="00D31311"/>
    <w:rsid w:val="00D33CE4"/>
    <w:rsid w:val="00D34568"/>
    <w:rsid w:val="00D36CFE"/>
    <w:rsid w:val="00D4012C"/>
    <w:rsid w:val="00D402EC"/>
    <w:rsid w:val="00D433EE"/>
    <w:rsid w:val="00D43AE8"/>
    <w:rsid w:val="00D43C49"/>
    <w:rsid w:val="00D45037"/>
    <w:rsid w:val="00D474A6"/>
    <w:rsid w:val="00D47F3A"/>
    <w:rsid w:val="00D47F81"/>
    <w:rsid w:val="00D5003E"/>
    <w:rsid w:val="00D50731"/>
    <w:rsid w:val="00D51F93"/>
    <w:rsid w:val="00D53BEB"/>
    <w:rsid w:val="00D550EA"/>
    <w:rsid w:val="00D609A3"/>
    <w:rsid w:val="00D60E01"/>
    <w:rsid w:val="00D617B3"/>
    <w:rsid w:val="00D637A9"/>
    <w:rsid w:val="00D643F1"/>
    <w:rsid w:val="00D65135"/>
    <w:rsid w:val="00D65331"/>
    <w:rsid w:val="00D667A4"/>
    <w:rsid w:val="00D6778C"/>
    <w:rsid w:val="00D67D41"/>
    <w:rsid w:val="00D7015E"/>
    <w:rsid w:val="00D7397E"/>
    <w:rsid w:val="00D74090"/>
    <w:rsid w:val="00D7493F"/>
    <w:rsid w:val="00D74EE0"/>
    <w:rsid w:val="00D759CD"/>
    <w:rsid w:val="00D772C7"/>
    <w:rsid w:val="00D80AD4"/>
    <w:rsid w:val="00D80B60"/>
    <w:rsid w:val="00D80C4C"/>
    <w:rsid w:val="00D80CF5"/>
    <w:rsid w:val="00D82775"/>
    <w:rsid w:val="00D8345D"/>
    <w:rsid w:val="00D85030"/>
    <w:rsid w:val="00D870E9"/>
    <w:rsid w:val="00D92508"/>
    <w:rsid w:val="00D96EAC"/>
    <w:rsid w:val="00DA1627"/>
    <w:rsid w:val="00DA3217"/>
    <w:rsid w:val="00DA38C7"/>
    <w:rsid w:val="00DA3B9B"/>
    <w:rsid w:val="00DA57AB"/>
    <w:rsid w:val="00DA5CA9"/>
    <w:rsid w:val="00DA5D9E"/>
    <w:rsid w:val="00DA6EF1"/>
    <w:rsid w:val="00DB1BCC"/>
    <w:rsid w:val="00DB1EEC"/>
    <w:rsid w:val="00DB2269"/>
    <w:rsid w:val="00DB22B1"/>
    <w:rsid w:val="00DB2978"/>
    <w:rsid w:val="00DB30BA"/>
    <w:rsid w:val="00DB491D"/>
    <w:rsid w:val="00DB4E13"/>
    <w:rsid w:val="00DB4F55"/>
    <w:rsid w:val="00DB5AAE"/>
    <w:rsid w:val="00DB737F"/>
    <w:rsid w:val="00DC2ADD"/>
    <w:rsid w:val="00DC3BCA"/>
    <w:rsid w:val="00DC57AF"/>
    <w:rsid w:val="00DC6824"/>
    <w:rsid w:val="00DC70B9"/>
    <w:rsid w:val="00DC7A2C"/>
    <w:rsid w:val="00DC7F8A"/>
    <w:rsid w:val="00DD3378"/>
    <w:rsid w:val="00DE2A72"/>
    <w:rsid w:val="00DE3953"/>
    <w:rsid w:val="00DE40DB"/>
    <w:rsid w:val="00DE4CFC"/>
    <w:rsid w:val="00DE5061"/>
    <w:rsid w:val="00DE54AE"/>
    <w:rsid w:val="00DE59D2"/>
    <w:rsid w:val="00DF0694"/>
    <w:rsid w:val="00DF13C6"/>
    <w:rsid w:val="00DF31F6"/>
    <w:rsid w:val="00DF4E71"/>
    <w:rsid w:val="00DF68A2"/>
    <w:rsid w:val="00E014B6"/>
    <w:rsid w:val="00E0194E"/>
    <w:rsid w:val="00E024CB"/>
    <w:rsid w:val="00E0387A"/>
    <w:rsid w:val="00E06A01"/>
    <w:rsid w:val="00E06CA0"/>
    <w:rsid w:val="00E100D5"/>
    <w:rsid w:val="00E126D3"/>
    <w:rsid w:val="00E133EC"/>
    <w:rsid w:val="00E15750"/>
    <w:rsid w:val="00E1605E"/>
    <w:rsid w:val="00E22464"/>
    <w:rsid w:val="00E232A9"/>
    <w:rsid w:val="00E232FF"/>
    <w:rsid w:val="00E23ADD"/>
    <w:rsid w:val="00E23C62"/>
    <w:rsid w:val="00E34E46"/>
    <w:rsid w:val="00E35702"/>
    <w:rsid w:val="00E35F97"/>
    <w:rsid w:val="00E37114"/>
    <w:rsid w:val="00E404AF"/>
    <w:rsid w:val="00E428B8"/>
    <w:rsid w:val="00E42AE2"/>
    <w:rsid w:val="00E43415"/>
    <w:rsid w:val="00E4454D"/>
    <w:rsid w:val="00E44ACE"/>
    <w:rsid w:val="00E4704D"/>
    <w:rsid w:val="00E51669"/>
    <w:rsid w:val="00E528E7"/>
    <w:rsid w:val="00E54097"/>
    <w:rsid w:val="00E556F1"/>
    <w:rsid w:val="00E56214"/>
    <w:rsid w:val="00E57B2B"/>
    <w:rsid w:val="00E622D4"/>
    <w:rsid w:val="00E6412E"/>
    <w:rsid w:val="00E66CF5"/>
    <w:rsid w:val="00E702F1"/>
    <w:rsid w:val="00E7079B"/>
    <w:rsid w:val="00E71569"/>
    <w:rsid w:val="00E71A87"/>
    <w:rsid w:val="00E74423"/>
    <w:rsid w:val="00E750D7"/>
    <w:rsid w:val="00E7606D"/>
    <w:rsid w:val="00E80A61"/>
    <w:rsid w:val="00E80B6C"/>
    <w:rsid w:val="00E80C40"/>
    <w:rsid w:val="00E829C3"/>
    <w:rsid w:val="00E82F86"/>
    <w:rsid w:val="00E83F33"/>
    <w:rsid w:val="00E84592"/>
    <w:rsid w:val="00E85E38"/>
    <w:rsid w:val="00E90578"/>
    <w:rsid w:val="00E912F8"/>
    <w:rsid w:val="00E927BF"/>
    <w:rsid w:val="00E943A4"/>
    <w:rsid w:val="00E95FCE"/>
    <w:rsid w:val="00E967E2"/>
    <w:rsid w:val="00EA0481"/>
    <w:rsid w:val="00EA5864"/>
    <w:rsid w:val="00EA6259"/>
    <w:rsid w:val="00EB0880"/>
    <w:rsid w:val="00EB15D6"/>
    <w:rsid w:val="00EB1DDA"/>
    <w:rsid w:val="00EB1F08"/>
    <w:rsid w:val="00EB3A1D"/>
    <w:rsid w:val="00EB3D04"/>
    <w:rsid w:val="00EB410F"/>
    <w:rsid w:val="00EB4D77"/>
    <w:rsid w:val="00EB5D4E"/>
    <w:rsid w:val="00EC02B3"/>
    <w:rsid w:val="00EC035C"/>
    <w:rsid w:val="00EC1019"/>
    <w:rsid w:val="00EC2960"/>
    <w:rsid w:val="00EC2ABC"/>
    <w:rsid w:val="00EC2E52"/>
    <w:rsid w:val="00EC351D"/>
    <w:rsid w:val="00EC37CD"/>
    <w:rsid w:val="00EC4D82"/>
    <w:rsid w:val="00EC53FF"/>
    <w:rsid w:val="00EC5BC4"/>
    <w:rsid w:val="00EC6BD1"/>
    <w:rsid w:val="00EC6F6B"/>
    <w:rsid w:val="00EC7140"/>
    <w:rsid w:val="00EC7A49"/>
    <w:rsid w:val="00ED0A65"/>
    <w:rsid w:val="00ED1E74"/>
    <w:rsid w:val="00ED3276"/>
    <w:rsid w:val="00ED38F8"/>
    <w:rsid w:val="00ED43C6"/>
    <w:rsid w:val="00ED461A"/>
    <w:rsid w:val="00ED48CB"/>
    <w:rsid w:val="00ED4F0E"/>
    <w:rsid w:val="00ED5907"/>
    <w:rsid w:val="00ED6170"/>
    <w:rsid w:val="00ED6CC4"/>
    <w:rsid w:val="00EE0543"/>
    <w:rsid w:val="00EE2A4F"/>
    <w:rsid w:val="00EE3EA3"/>
    <w:rsid w:val="00EE4326"/>
    <w:rsid w:val="00EE47BB"/>
    <w:rsid w:val="00EE52F8"/>
    <w:rsid w:val="00EE5830"/>
    <w:rsid w:val="00EE6086"/>
    <w:rsid w:val="00EE623B"/>
    <w:rsid w:val="00EE63F1"/>
    <w:rsid w:val="00EF283D"/>
    <w:rsid w:val="00EF3C2F"/>
    <w:rsid w:val="00F009F4"/>
    <w:rsid w:val="00F00E2F"/>
    <w:rsid w:val="00F01150"/>
    <w:rsid w:val="00F02784"/>
    <w:rsid w:val="00F02A3D"/>
    <w:rsid w:val="00F035AE"/>
    <w:rsid w:val="00F03C6C"/>
    <w:rsid w:val="00F07ABD"/>
    <w:rsid w:val="00F104AC"/>
    <w:rsid w:val="00F107EA"/>
    <w:rsid w:val="00F1087E"/>
    <w:rsid w:val="00F12A4A"/>
    <w:rsid w:val="00F130FF"/>
    <w:rsid w:val="00F14E12"/>
    <w:rsid w:val="00F15874"/>
    <w:rsid w:val="00F170AC"/>
    <w:rsid w:val="00F218D7"/>
    <w:rsid w:val="00F21AF9"/>
    <w:rsid w:val="00F22FFA"/>
    <w:rsid w:val="00F261EC"/>
    <w:rsid w:val="00F26871"/>
    <w:rsid w:val="00F27ED7"/>
    <w:rsid w:val="00F30000"/>
    <w:rsid w:val="00F30607"/>
    <w:rsid w:val="00F30CA8"/>
    <w:rsid w:val="00F316FB"/>
    <w:rsid w:val="00F353B7"/>
    <w:rsid w:val="00F36942"/>
    <w:rsid w:val="00F36AD5"/>
    <w:rsid w:val="00F3721D"/>
    <w:rsid w:val="00F37DA7"/>
    <w:rsid w:val="00F41B17"/>
    <w:rsid w:val="00F41F02"/>
    <w:rsid w:val="00F421E9"/>
    <w:rsid w:val="00F435A1"/>
    <w:rsid w:val="00F44600"/>
    <w:rsid w:val="00F44AC8"/>
    <w:rsid w:val="00F47467"/>
    <w:rsid w:val="00F503A7"/>
    <w:rsid w:val="00F518D0"/>
    <w:rsid w:val="00F53A63"/>
    <w:rsid w:val="00F54CB6"/>
    <w:rsid w:val="00F55E9F"/>
    <w:rsid w:val="00F56DA2"/>
    <w:rsid w:val="00F57BE2"/>
    <w:rsid w:val="00F60E0C"/>
    <w:rsid w:val="00F62633"/>
    <w:rsid w:val="00F62742"/>
    <w:rsid w:val="00F62971"/>
    <w:rsid w:val="00F63342"/>
    <w:rsid w:val="00F63DD2"/>
    <w:rsid w:val="00F640F7"/>
    <w:rsid w:val="00F64279"/>
    <w:rsid w:val="00F64CB1"/>
    <w:rsid w:val="00F64F00"/>
    <w:rsid w:val="00F65006"/>
    <w:rsid w:val="00F65EED"/>
    <w:rsid w:val="00F660CE"/>
    <w:rsid w:val="00F661C9"/>
    <w:rsid w:val="00F679E6"/>
    <w:rsid w:val="00F70F04"/>
    <w:rsid w:val="00F712E6"/>
    <w:rsid w:val="00F734F8"/>
    <w:rsid w:val="00F73C1B"/>
    <w:rsid w:val="00F740ED"/>
    <w:rsid w:val="00F74145"/>
    <w:rsid w:val="00F74B59"/>
    <w:rsid w:val="00F750AC"/>
    <w:rsid w:val="00F77D6A"/>
    <w:rsid w:val="00F80828"/>
    <w:rsid w:val="00F814B5"/>
    <w:rsid w:val="00F8242A"/>
    <w:rsid w:val="00F8526E"/>
    <w:rsid w:val="00F900A6"/>
    <w:rsid w:val="00F902B3"/>
    <w:rsid w:val="00F909B6"/>
    <w:rsid w:val="00F90EBC"/>
    <w:rsid w:val="00F91353"/>
    <w:rsid w:val="00F91D42"/>
    <w:rsid w:val="00F937CD"/>
    <w:rsid w:val="00F93878"/>
    <w:rsid w:val="00F95F96"/>
    <w:rsid w:val="00F9751B"/>
    <w:rsid w:val="00FA000A"/>
    <w:rsid w:val="00FA00C0"/>
    <w:rsid w:val="00FA43A4"/>
    <w:rsid w:val="00FA48B5"/>
    <w:rsid w:val="00FA5B09"/>
    <w:rsid w:val="00FA79A9"/>
    <w:rsid w:val="00FB36E3"/>
    <w:rsid w:val="00FB501F"/>
    <w:rsid w:val="00FB5762"/>
    <w:rsid w:val="00FB5F22"/>
    <w:rsid w:val="00FB693A"/>
    <w:rsid w:val="00FB74E6"/>
    <w:rsid w:val="00FB7D75"/>
    <w:rsid w:val="00FC0C6D"/>
    <w:rsid w:val="00FC11E8"/>
    <w:rsid w:val="00FC212C"/>
    <w:rsid w:val="00FC2782"/>
    <w:rsid w:val="00FC5A1F"/>
    <w:rsid w:val="00FC62B9"/>
    <w:rsid w:val="00FD00BF"/>
    <w:rsid w:val="00FD0695"/>
    <w:rsid w:val="00FD0D64"/>
    <w:rsid w:val="00FD15DA"/>
    <w:rsid w:val="00FD1A35"/>
    <w:rsid w:val="00FD25AA"/>
    <w:rsid w:val="00FD2B3B"/>
    <w:rsid w:val="00FD3E5A"/>
    <w:rsid w:val="00FD5CAC"/>
    <w:rsid w:val="00FD662C"/>
    <w:rsid w:val="00FE2038"/>
    <w:rsid w:val="00FE2BA6"/>
    <w:rsid w:val="00FE57EF"/>
    <w:rsid w:val="00FE7254"/>
    <w:rsid w:val="00FE788B"/>
    <w:rsid w:val="00FE7B11"/>
    <w:rsid w:val="00FF096B"/>
    <w:rsid w:val="00FF2638"/>
    <w:rsid w:val="00FF2A1E"/>
    <w:rsid w:val="00FF42B5"/>
    <w:rsid w:val="00FF63BB"/>
    <w:rsid w:val="00FF6C9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mso-width-percent:350;mso-width-relative:margin;v-text-anchor:middle" o:allowincell="f" fill="f" fillcolor="white" strokecolor="none [3205]">
      <v:fill color="white" on="f"/>
      <v:stroke color="none [3205]" weight="3pt"/>
      <v:textbox style="mso-fit-shape-to-text:t" inset="10.8pt,7.2pt,10.8pt,7.2pt"/>
    </o:shapedefaults>
    <o:shapelayout v:ext="edit">
      <o:idmap v:ext="edit" data="1"/>
    </o:shapelayout>
  </w:shapeDefaults>
  <w:decimalSymbol w:val="."/>
  <w:listSeparator w:val=","/>
  <w14:docId w14:val="076B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21"/>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List Bullet" w:qFormat="1"/>
    <w:lsdException w:name="List Bullet 2" w:qFormat="1"/>
    <w:lsdException w:name="List Bullet 3" w:qFormat="1"/>
    <w:lsdException w:name="List Bullet 4"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950FC"/>
    <w:rPr>
      <w:sz w:val="20"/>
      <w:lang w:val="en-GB"/>
    </w:rPr>
  </w:style>
  <w:style w:type="paragraph" w:styleId="Heading1">
    <w:name w:val="heading 1"/>
    <w:aliases w:val="h1,consent heading 2,Main Heading,Chapter Heading,Chapter Heading1,Chapter Heading2,Chapter Heading3,Chapter Heading4,Chapter Heading5,Chapter Heading6,Chapter Heading7,Chapter Heading8,Chapter Heading9,Chapter Heading10,Chapter Heading11,g,B1"/>
    <w:basedOn w:val="Normal"/>
    <w:next w:val="Normal"/>
    <w:link w:val="Heading1Char"/>
    <w:autoRedefine/>
    <w:uiPriority w:val="9"/>
    <w:qFormat/>
    <w:rsid w:val="00D92508"/>
    <w:pPr>
      <w:keepNext/>
      <w:keepLines/>
      <w:pageBreakBefore/>
      <w:numPr>
        <w:numId w:val="1"/>
      </w:numPr>
      <w:tabs>
        <w:tab w:val="left" w:pos="1134"/>
      </w:tabs>
      <w:spacing w:after="1080" w:line="192" w:lineRule="auto"/>
      <w:ind w:right="284"/>
      <w:contextualSpacing/>
      <w:outlineLvl w:val="0"/>
    </w:pPr>
    <w:rPr>
      <w:rFonts w:ascii="Calibri" w:eastAsiaTheme="majorEastAsia" w:hAnsi="Calibri" w:cstheme="majorBidi"/>
      <w:bCs/>
      <w:caps/>
      <w:color w:val="000000" w:themeColor="text1"/>
      <w:sz w:val="68"/>
      <w:szCs w:val="68"/>
    </w:rPr>
  </w:style>
  <w:style w:type="paragraph" w:styleId="Heading2">
    <w:name w:val="heading 2"/>
    <w:aliases w:val="h2,Numbered Heading 2,Heading 21,Heading 22,Heading 211,H1,Major Heading,Prod Sheet Heading 2,H2,topic,Heading 2a,Not Kinhill Heading 2,headline,h,2 headline,China2,MAIN HEADING,Heading 2 Char Char,Heading 2 Char Char Char Char,heading 2"/>
    <w:basedOn w:val="Normal"/>
    <w:next w:val="Normal"/>
    <w:link w:val="Heading2Char"/>
    <w:autoRedefine/>
    <w:uiPriority w:val="9"/>
    <w:qFormat/>
    <w:rsid w:val="009861AC"/>
    <w:pPr>
      <w:keepNext/>
      <w:keepLines/>
      <w:numPr>
        <w:ilvl w:val="1"/>
        <w:numId w:val="1"/>
      </w:numPr>
      <w:spacing w:before="320" w:after="240"/>
      <w:contextualSpacing/>
      <w:outlineLvl w:val="1"/>
    </w:pPr>
    <w:rPr>
      <w:rFonts w:ascii="Calibri" w:eastAsiaTheme="majorEastAsia" w:hAnsi="Calibri" w:cstheme="majorBidi"/>
      <w:b/>
      <w:bCs/>
      <w:color w:val="76B900"/>
      <w:sz w:val="30"/>
      <w:szCs w:val="26"/>
    </w:rPr>
  </w:style>
  <w:style w:type="paragraph" w:styleId="Heading3">
    <w:name w:val="heading 3"/>
    <w:aliases w:val="3 bullet,b,2,h3,H3,H31,Level 1 - 1,(Appendix Nbr),Topic Sub Heading,h31,h32,Para3,C Sub-Sub/Italic,h3 sub heading,Head 3,Head 31,Head 32,C Sub-Sub/Italic1,3,Sub2Para,(Alt+3),3m,Minor,sub-sub,31,sub-sub1,32,sub-sub2,33,sub-sub3,34,sub-sub4,h33"/>
    <w:basedOn w:val="Normal"/>
    <w:next w:val="Normal"/>
    <w:link w:val="Heading3Char"/>
    <w:autoRedefine/>
    <w:uiPriority w:val="9"/>
    <w:qFormat/>
    <w:rsid w:val="00DF4E71"/>
    <w:pPr>
      <w:keepNext/>
      <w:keepLines/>
      <w:spacing w:before="240" w:after="120"/>
      <w:contextualSpacing/>
      <w:outlineLvl w:val="2"/>
    </w:pPr>
    <w:rPr>
      <w:rFonts w:ascii="Calibri" w:eastAsiaTheme="majorEastAsia" w:hAnsi="Calibri" w:cstheme="majorBidi"/>
      <w:b/>
      <w:bCs/>
      <w:color w:val="000000" w:themeColor="text1"/>
      <w:sz w:val="24"/>
    </w:rPr>
  </w:style>
  <w:style w:type="paragraph" w:styleId="Heading4">
    <w:name w:val="heading 4"/>
    <w:basedOn w:val="Normal"/>
    <w:next w:val="Normal"/>
    <w:link w:val="Heading4Char"/>
    <w:autoRedefine/>
    <w:uiPriority w:val="9"/>
    <w:unhideWhenUsed/>
    <w:rsid w:val="00B41126"/>
    <w:pPr>
      <w:keepNext/>
      <w:keepLines/>
      <w:spacing w:before="120"/>
      <w:contextualSpacing/>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onsent heading 2 Char,Main Heading Char,Chapter Heading Char,Chapter Heading1 Char,Chapter Heading2 Char,Chapter Heading3 Char,Chapter Heading4 Char,Chapter Heading5 Char,Chapter Heading6 Char,Chapter Heading7 Char,g Char,B1 Char"/>
    <w:basedOn w:val="DefaultParagraphFont"/>
    <w:link w:val="Heading1"/>
    <w:uiPriority w:val="9"/>
    <w:rsid w:val="00D92508"/>
    <w:rPr>
      <w:rFonts w:ascii="Calibri" w:eastAsiaTheme="majorEastAsia" w:hAnsi="Calibri" w:cstheme="majorBidi"/>
      <w:bCs/>
      <w:caps/>
      <w:color w:val="000000" w:themeColor="text1"/>
      <w:sz w:val="68"/>
      <w:szCs w:val="68"/>
      <w:lang w:val="en-GB"/>
    </w:rPr>
  </w:style>
  <w:style w:type="character" w:customStyle="1" w:styleId="Heading2Char">
    <w:name w:val="Heading 2 Char"/>
    <w:aliases w:val="h2 Char,Numbered Heading 2 Char,Heading 21 Char,Heading 22 Char,Heading 211 Char,H1 Char,Major Heading Char,Prod Sheet Heading 2 Char,H2 Char,topic Char,Heading 2a Char,Not Kinhill Heading 2 Char,headline Char,h Char,2 headline Char"/>
    <w:basedOn w:val="DefaultParagraphFont"/>
    <w:link w:val="Heading2"/>
    <w:uiPriority w:val="9"/>
    <w:rsid w:val="009861AC"/>
    <w:rPr>
      <w:rFonts w:ascii="Calibri" w:eastAsiaTheme="majorEastAsia" w:hAnsi="Calibri" w:cstheme="majorBidi"/>
      <w:b/>
      <w:bCs/>
      <w:color w:val="76B900"/>
      <w:sz w:val="30"/>
      <w:szCs w:val="26"/>
      <w:lang w:val="en-GB"/>
    </w:rPr>
  </w:style>
  <w:style w:type="character" w:customStyle="1" w:styleId="Heading3Char">
    <w:name w:val="Heading 3 Char"/>
    <w:aliases w:val="3 bullet Char,b Char,2 Char,h3 Char,H3 Char,H31 Char,Level 1 - 1 Char,(Appendix Nbr) Char,Topic Sub Heading Char,h31 Char,h32 Char,Para3 Char,C Sub-Sub/Italic Char,h3 sub heading Char,Head 3 Char,Head 31 Char,Head 32 Char,3 Char,3m Char"/>
    <w:basedOn w:val="DefaultParagraphFont"/>
    <w:link w:val="Heading3"/>
    <w:uiPriority w:val="9"/>
    <w:rsid w:val="00DF4E71"/>
    <w:rPr>
      <w:rFonts w:ascii="Calibri" w:eastAsiaTheme="majorEastAsia" w:hAnsi="Calibri" w:cstheme="majorBidi"/>
      <w:b/>
      <w:bCs/>
      <w:color w:val="000000" w:themeColor="text1"/>
      <w:sz w:val="24"/>
      <w:lang w:val="en-GB"/>
    </w:rPr>
  </w:style>
  <w:style w:type="character" w:customStyle="1" w:styleId="Heading4Char">
    <w:name w:val="Heading 4 Char"/>
    <w:basedOn w:val="DefaultParagraphFont"/>
    <w:link w:val="Heading4"/>
    <w:uiPriority w:val="9"/>
    <w:rsid w:val="00B41126"/>
    <w:rPr>
      <w:rFonts w:eastAsiaTheme="majorEastAsia" w:cstheme="majorBidi"/>
      <w:b/>
      <w:bCs/>
      <w:iCs/>
      <w:color w:val="000000" w:themeColor="text1"/>
      <w:sz w:val="20"/>
    </w:rPr>
  </w:style>
  <w:style w:type="paragraph" w:styleId="TOC1">
    <w:name w:val="toc 1"/>
    <w:aliases w:val="ToC Section Headings"/>
    <w:autoRedefine/>
    <w:uiPriority w:val="39"/>
    <w:unhideWhenUsed/>
    <w:rsid w:val="00A44AC1"/>
    <w:pPr>
      <w:pBdr>
        <w:bottom w:val="single" w:sz="2" w:space="1" w:color="76B900" w:themeColor="accent2"/>
      </w:pBdr>
      <w:tabs>
        <w:tab w:val="left" w:pos="8193"/>
      </w:tabs>
      <w:spacing w:before="240"/>
      <w:ind w:left="448" w:hanging="448"/>
      <w:contextualSpacing/>
    </w:pPr>
    <w:rPr>
      <w:b/>
      <w:caps/>
      <w:noProof/>
      <w:color w:val="000000" w:themeColor="text1"/>
      <w:sz w:val="20"/>
    </w:rPr>
  </w:style>
  <w:style w:type="paragraph" w:styleId="TOC2">
    <w:name w:val="toc 2"/>
    <w:basedOn w:val="Normal"/>
    <w:next w:val="Normal"/>
    <w:autoRedefine/>
    <w:uiPriority w:val="39"/>
    <w:unhideWhenUsed/>
    <w:rsid w:val="001B2B6D"/>
    <w:pPr>
      <w:pBdr>
        <w:bottom w:val="single" w:sz="2" w:space="1" w:color="76B900"/>
        <w:between w:val="single" w:sz="2" w:space="1" w:color="76B900"/>
        <w:bar w:val="single" w:sz="2" w:color="0097AC" w:themeColor="accent3"/>
      </w:pBdr>
      <w:tabs>
        <w:tab w:val="left" w:pos="8193"/>
      </w:tabs>
      <w:ind w:left="448" w:hanging="448"/>
      <w:contextualSpacing/>
    </w:pPr>
    <w:rPr>
      <w:noProof/>
      <w:color w:val="000000" w:themeColor="text1"/>
    </w:rPr>
  </w:style>
  <w:style w:type="paragraph" w:styleId="TOC3">
    <w:name w:val="toc 3"/>
    <w:basedOn w:val="TOC2"/>
    <w:next w:val="Normal"/>
    <w:autoRedefine/>
    <w:uiPriority w:val="39"/>
    <w:unhideWhenUsed/>
    <w:rsid w:val="006F3E62"/>
    <w:pPr>
      <w:pBdr>
        <w:bottom w:val="single" w:sz="2" w:space="1" w:color="76B900" w:themeColor="accent2"/>
      </w:pBdr>
      <w:ind w:left="892" w:hanging="446"/>
    </w:pPr>
  </w:style>
  <w:style w:type="paragraph" w:styleId="TOC4">
    <w:name w:val="toc 4"/>
    <w:basedOn w:val="Normal"/>
    <w:next w:val="Normal"/>
    <w:autoRedefine/>
    <w:uiPriority w:val="39"/>
    <w:unhideWhenUsed/>
    <w:rsid w:val="00D92508"/>
  </w:style>
  <w:style w:type="paragraph" w:styleId="Footer">
    <w:name w:val="footer"/>
    <w:basedOn w:val="Normal"/>
    <w:link w:val="FooterChar"/>
    <w:autoRedefine/>
    <w:uiPriority w:val="99"/>
    <w:unhideWhenUsed/>
    <w:qFormat/>
    <w:rsid w:val="008950FC"/>
    <w:pPr>
      <w:tabs>
        <w:tab w:val="left" w:pos="6888"/>
        <w:tab w:val="left" w:pos="7200"/>
        <w:tab w:val="right" w:pos="8220"/>
        <w:tab w:val="right" w:pos="8640"/>
      </w:tabs>
      <w:ind w:right="1152"/>
      <w:contextualSpacing/>
      <w:jc w:val="right"/>
    </w:pPr>
    <w:rPr>
      <w:rFonts w:ascii="Calibri" w:hAnsi="Calibri"/>
      <w:noProof/>
      <w:color w:val="404040" w:themeColor="text1" w:themeTint="BF"/>
      <w:sz w:val="16"/>
    </w:rPr>
  </w:style>
  <w:style w:type="character" w:customStyle="1" w:styleId="FooterChar">
    <w:name w:val="Footer Char"/>
    <w:basedOn w:val="DefaultParagraphFont"/>
    <w:link w:val="Footer"/>
    <w:uiPriority w:val="99"/>
    <w:rsid w:val="008950FC"/>
    <w:rPr>
      <w:rFonts w:ascii="Calibri" w:hAnsi="Calibri"/>
      <w:noProof/>
      <w:color w:val="404040" w:themeColor="text1" w:themeTint="BF"/>
      <w:sz w:val="16"/>
      <w:lang w:val="en-GB"/>
    </w:rPr>
  </w:style>
  <w:style w:type="character" w:styleId="FootnoteReference">
    <w:name w:val="footnote reference"/>
    <w:basedOn w:val="DefaultParagraphFont"/>
    <w:uiPriority w:val="99"/>
    <w:unhideWhenUsed/>
    <w:qFormat/>
    <w:rsid w:val="008950FC"/>
    <w:rPr>
      <w:rFonts w:ascii="Calibri" w:hAnsi="Calibri"/>
      <w:color w:val="808080" w:themeColor="background1" w:themeShade="80"/>
      <w:sz w:val="18"/>
      <w:bdr w:val="none" w:sz="0" w:space="0" w:color="auto"/>
      <w:vertAlign w:val="superscript"/>
    </w:rPr>
  </w:style>
  <w:style w:type="paragraph" w:customStyle="1" w:styleId="Bullet1">
    <w:name w:val="Bullet 1"/>
    <w:basedOn w:val="ListParagraph"/>
    <w:link w:val="Bullet1Char"/>
    <w:autoRedefine/>
    <w:qFormat/>
    <w:rsid w:val="00C43630"/>
    <w:pPr>
      <w:ind w:left="0"/>
    </w:pPr>
  </w:style>
  <w:style w:type="paragraph" w:customStyle="1" w:styleId="Bullet2">
    <w:name w:val="Bullet 2"/>
    <w:basedOn w:val="ListParagraph"/>
    <w:link w:val="Bullet2Char"/>
    <w:autoRedefine/>
    <w:qFormat/>
    <w:rsid w:val="008950FC"/>
    <w:pPr>
      <w:numPr>
        <w:numId w:val="3"/>
      </w:numPr>
      <w:ind w:left="432" w:hanging="216"/>
    </w:pPr>
  </w:style>
  <w:style w:type="character" w:customStyle="1" w:styleId="ListParagraphChar">
    <w:name w:val="List Paragraph Char"/>
    <w:basedOn w:val="DefaultParagraphFont"/>
    <w:link w:val="ListParagraph"/>
    <w:uiPriority w:val="34"/>
    <w:rsid w:val="00D637A9"/>
  </w:style>
  <w:style w:type="character" w:customStyle="1" w:styleId="Bullet1Char">
    <w:name w:val="Bullet 1 Char"/>
    <w:basedOn w:val="ListParagraphChar"/>
    <w:link w:val="Bullet1"/>
    <w:rsid w:val="00C43630"/>
    <w:rPr>
      <w:sz w:val="20"/>
      <w:lang w:val="en-GB"/>
    </w:rPr>
  </w:style>
  <w:style w:type="paragraph" w:styleId="Title">
    <w:name w:val="Title"/>
    <w:aliases w:val="DO NOT USE Title"/>
    <w:next w:val="Normal"/>
    <w:link w:val="TitleChar"/>
    <w:autoRedefine/>
    <w:uiPriority w:val="10"/>
    <w:rsid w:val="009C3B43"/>
    <w:pPr>
      <w:spacing w:line="216" w:lineRule="auto"/>
      <w:ind w:right="1985"/>
    </w:pPr>
    <w:rPr>
      <w:rFonts w:ascii="Calibri" w:eastAsiaTheme="majorEastAsia" w:hAnsi="Calibri" w:cstheme="majorBidi"/>
      <w:noProof/>
      <w:color w:val="92D050"/>
      <w:spacing w:val="5"/>
      <w:kern w:val="28"/>
      <w:sz w:val="48"/>
      <w:szCs w:val="48"/>
      <w:lang w:val="en-AU" w:eastAsia="en-AU"/>
    </w:rPr>
  </w:style>
  <w:style w:type="character" w:customStyle="1" w:styleId="TitleChar">
    <w:name w:val="Title Char"/>
    <w:aliases w:val="DO NOT USE Title Char"/>
    <w:basedOn w:val="DefaultParagraphFont"/>
    <w:link w:val="Title"/>
    <w:uiPriority w:val="10"/>
    <w:rsid w:val="009C3B43"/>
    <w:rPr>
      <w:rFonts w:ascii="Calibri" w:eastAsiaTheme="majorEastAsia" w:hAnsi="Calibri" w:cstheme="majorBidi"/>
      <w:noProof/>
      <w:color w:val="92D050"/>
      <w:spacing w:val="5"/>
      <w:kern w:val="28"/>
      <w:sz w:val="48"/>
      <w:szCs w:val="48"/>
      <w:lang w:val="en-AU" w:eastAsia="en-AU"/>
    </w:rPr>
  </w:style>
  <w:style w:type="character" w:styleId="Hyperlink">
    <w:name w:val="Hyperlink"/>
    <w:aliases w:val="DO NOT USE Hyperlink"/>
    <w:uiPriority w:val="99"/>
    <w:unhideWhenUsed/>
    <w:rsid w:val="00006852"/>
    <w:rPr>
      <w:rFonts w:asciiTheme="minorHAnsi" w:hAnsiTheme="minorHAnsi"/>
      <w:color w:val="92D050"/>
      <w:sz w:val="17"/>
      <w:u w:val="none"/>
    </w:rPr>
  </w:style>
  <w:style w:type="paragraph" w:styleId="TOCHeading">
    <w:name w:val="TOC Heading"/>
    <w:basedOn w:val="Heading1"/>
    <w:next w:val="Normal"/>
    <w:link w:val="TOCHeadingChar"/>
    <w:autoRedefine/>
    <w:uiPriority w:val="39"/>
    <w:unhideWhenUsed/>
    <w:rsid w:val="008950FC"/>
    <w:pPr>
      <w:numPr>
        <w:numId w:val="0"/>
      </w:numPr>
      <w:spacing w:before="600" w:line="360" w:lineRule="auto"/>
      <w:ind w:right="-1134"/>
      <w:outlineLvl w:val="9"/>
    </w:pPr>
    <w:rPr>
      <w:rFonts w:asciiTheme="minorHAnsi" w:hAnsiTheme="minorHAnsi"/>
      <w:noProof/>
      <w:color w:val="8DC63F"/>
      <w:kern w:val="0"/>
      <w:sz w:val="30"/>
      <w:szCs w:val="30"/>
      <w:lang w:eastAsia="en-US"/>
    </w:rPr>
  </w:style>
  <w:style w:type="paragraph" w:customStyle="1" w:styleId="Figureheading">
    <w:name w:val="Figure heading"/>
    <w:basedOn w:val="Normal"/>
    <w:next w:val="Normal"/>
    <w:link w:val="FigureheadingChar"/>
    <w:autoRedefine/>
    <w:rsid w:val="00B478FC"/>
    <w:pPr>
      <w:framePr w:hSpace="180" w:wrap="around" w:vAnchor="text" w:hAnchor="page" w:x="1217" w:y="11"/>
      <w:numPr>
        <w:numId w:val="2"/>
      </w:numPr>
      <w:spacing w:after="240"/>
    </w:pPr>
    <w:rPr>
      <w:rFonts w:ascii="Calibri" w:eastAsiaTheme="majorEastAsia" w:hAnsi="Calibri" w:cs="Times New Roman"/>
      <w:caps/>
      <w:color w:val="000000" w:themeColor="text1"/>
      <w:spacing w:val="20"/>
      <w:kern w:val="0"/>
      <w:szCs w:val="20"/>
      <w:lang w:eastAsia="en-US"/>
    </w:rPr>
  </w:style>
  <w:style w:type="character" w:customStyle="1" w:styleId="FigureheadingChar">
    <w:name w:val="Figure heading Char"/>
    <w:basedOn w:val="DefaultParagraphFont"/>
    <w:link w:val="Figureheading"/>
    <w:rsid w:val="00B478FC"/>
    <w:rPr>
      <w:rFonts w:ascii="Calibri" w:eastAsiaTheme="majorEastAsia" w:hAnsi="Calibri" w:cs="Times New Roman"/>
      <w:caps/>
      <w:color w:val="000000" w:themeColor="text1"/>
      <w:spacing w:val="20"/>
      <w:kern w:val="0"/>
      <w:sz w:val="20"/>
      <w:szCs w:val="20"/>
      <w:lang w:val="en-GB" w:eastAsia="en-US"/>
    </w:rPr>
  </w:style>
  <w:style w:type="paragraph" w:customStyle="1" w:styleId="Tablecolumnheading">
    <w:name w:val="Table column heading"/>
    <w:basedOn w:val="Normal"/>
    <w:autoRedefine/>
    <w:qFormat/>
    <w:rsid w:val="00C85557"/>
    <w:pPr>
      <w:keepNext/>
      <w:keepLines/>
      <w:spacing w:before="40" w:after="120"/>
    </w:pPr>
    <w:rPr>
      <w:rFonts w:cs="DINPro-Bold"/>
      <w:b/>
      <w:bCs/>
      <w:color w:val="000000" w:themeColor="text1"/>
      <w:kern w:val="0"/>
      <w:sz w:val="16"/>
      <w:szCs w:val="16"/>
      <w:lang w:val="en-AU"/>
    </w:rPr>
  </w:style>
  <w:style w:type="paragraph" w:customStyle="1" w:styleId="Tabletext">
    <w:name w:val="Table text"/>
    <w:basedOn w:val="Normal"/>
    <w:autoRedefine/>
    <w:rsid w:val="00C70B2C"/>
    <w:pPr>
      <w:keepNext/>
      <w:keepLines/>
      <w:tabs>
        <w:tab w:val="left" w:pos="284"/>
      </w:tabs>
      <w:spacing w:before="40"/>
      <w:ind w:left="720"/>
      <w:jc w:val="center"/>
    </w:pPr>
    <w:rPr>
      <w:rFonts w:ascii="Calibri" w:hAnsi="Calibri" w:cs="DINPro-Light"/>
      <w:color w:val="000000" w:themeColor="text1"/>
      <w:kern w:val="0"/>
      <w:sz w:val="16"/>
      <w:szCs w:val="18"/>
      <w:lang w:val="en-AU"/>
    </w:rPr>
  </w:style>
  <w:style w:type="paragraph" w:customStyle="1" w:styleId="TableName">
    <w:name w:val="Table Name"/>
    <w:basedOn w:val="Normal"/>
    <w:autoRedefine/>
    <w:rsid w:val="00B478FC"/>
    <w:pPr>
      <w:framePr w:w="9656" w:hSpace="181" w:vSpace="181" w:wrap="around" w:vAnchor="text" w:hAnchor="text" w:x="1136" w:y="244"/>
      <w:spacing w:after="120"/>
      <w:ind w:right="-2"/>
    </w:pPr>
    <w:rPr>
      <w:rFonts w:cs="DINPro-Bold"/>
      <w:b/>
      <w:bCs/>
      <w:caps/>
      <w:color w:val="000000" w:themeColor="text1"/>
      <w:kern w:val="0"/>
      <w:sz w:val="15"/>
      <w:szCs w:val="15"/>
      <w:lang w:val="en-AU"/>
    </w:rPr>
  </w:style>
  <w:style w:type="table" w:styleId="TableGrid">
    <w:name w:val="Table Grid"/>
    <w:aliases w:val="SGS Numeric Table,GTA"/>
    <w:basedOn w:val="TableNormal"/>
    <w:uiPriority w:val="59"/>
    <w:rsid w:val="007819D5"/>
    <w:tblPr>
      <w:tblInd w:w="0" w:type="dxa"/>
      <w:tblCellMar>
        <w:top w:w="0" w:type="dxa"/>
        <w:left w:w="108" w:type="dxa"/>
        <w:bottom w:w="0" w:type="dxa"/>
        <w:right w:w="108" w:type="dxa"/>
      </w:tblCellMar>
    </w:tblPr>
  </w:style>
  <w:style w:type="paragraph" w:customStyle="1" w:styleId="Breakouttext">
    <w:name w:val="Breakout text"/>
    <w:basedOn w:val="Normal"/>
    <w:autoRedefine/>
    <w:qFormat/>
    <w:rsid w:val="00813BD7"/>
    <w:pPr>
      <w:pBdr>
        <w:bottom w:val="single" w:sz="4" w:space="6" w:color="76B900"/>
      </w:pBdr>
      <w:contextualSpacing/>
    </w:pPr>
  </w:style>
  <w:style w:type="character" w:customStyle="1" w:styleId="IntroParagraph">
    <w:name w:val="Intro Paragraph"/>
    <w:rsid w:val="00B478FC"/>
    <w:rPr>
      <w:b/>
      <w:bCs/>
    </w:rPr>
  </w:style>
  <w:style w:type="paragraph" w:customStyle="1" w:styleId="ReportVersion">
    <w:name w:val="Report Version"/>
    <w:basedOn w:val="Normal"/>
    <w:autoRedefine/>
    <w:rsid w:val="00B478FC"/>
    <w:pPr>
      <w:ind w:right="4536"/>
      <w:contextualSpacing/>
    </w:pPr>
    <w:rPr>
      <w:rFonts w:ascii="Calibri" w:hAnsi="Calibri"/>
      <w:b/>
      <w:color w:val="000000" w:themeColor="text1"/>
      <w:sz w:val="30"/>
    </w:rPr>
  </w:style>
  <w:style w:type="paragraph" w:customStyle="1" w:styleId="Tablesource">
    <w:name w:val="Table source"/>
    <w:basedOn w:val="Normal"/>
    <w:autoRedefine/>
    <w:qFormat/>
    <w:rsid w:val="007C30F7"/>
    <w:pPr>
      <w:keepNext/>
      <w:keepLines/>
      <w:contextualSpacing/>
    </w:pPr>
    <w:rPr>
      <w:color w:val="A6A6A6" w:themeColor="background1" w:themeShade="A6"/>
      <w:sz w:val="14"/>
      <w:szCs w:val="14"/>
    </w:rPr>
  </w:style>
  <w:style w:type="paragraph" w:customStyle="1" w:styleId="Breakoutheading">
    <w:name w:val="Breakout heading"/>
    <w:basedOn w:val="Heading3"/>
    <w:autoRedefine/>
    <w:qFormat/>
    <w:rsid w:val="00813BD7"/>
    <w:pPr>
      <w:pBdr>
        <w:top w:val="single" w:sz="4" w:space="3" w:color="76B900"/>
      </w:pBdr>
      <w:outlineLvl w:val="9"/>
    </w:pPr>
  </w:style>
  <w:style w:type="paragraph" w:customStyle="1" w:styleId="Website">
    <w:name w:val="Website"/>
    <w:basedOn w:val="Normal"/>
    <w:autoRedefine/>
    <w:rsid w:val="00B478FC"/>
    <w:pPr>
      <w:tabs>
        <w:tab w:val="left" w:pos="14034"/>
      </w:tabs>
      <w:ind w:left="6033"/>
      <w:contextualSpacing/>
    </w:pPr>
    <w:rPr>
      <w:rFonts w:ascii="Calibri" w:hAnsi="Calibri" w:cs="Calibri"/>
      <w:noProof/>
      <w:color w:val="8DC63F"/>
      <w:szCs w:val="18"/>
    </w:rPr>
  </w:style>
  <w:style w:type="paragraph" w:customStyle="1" w:styleId="ESHeading1">
    <w:name w:val="E.S. Heading 1"/>
    <w:basedOn w:val="Heading1"/>
    <w:next w:val="Normal"/>
    <w:autoRedefine/>
    <w:qFormat/>
    <w:rsid w:val="00426FF5"/>
    <w:pPr>
      <w:keepLines w:val="0"/>
      <w:numPr>
        <w:numId w:val="0"/>
      </w:numPr>
    </w:pPr>
  </w:style>
  <w:style w:type="paragraph" w:customStyle="1" w:styleId="ESHeading2">
    <w:name w:val="E.S. Heading 2"/>
    <w:basedOn w:val="Heading2"/>
    <w:next w:val="Normal"/>
    <w:link w:val="ESHeading2Char"/>
    <w:autoRedefine/>
    <w:qFormat/>
    <w:rsid w:val="00813BD7"/>
    <w:pPr>
      <w:keepNext w:val="0"/>
      <w:keepLines w:val="0"/>
      <w:numPr>
        <w:ilvl w:val="0"/>
        <w:numId w:val="0"/>
      </w:numPr>
      <w:ind w:left="1077" w:hanging="1077"/>
    </w:pPr>
  </w:style>
  <w:style w:type="paragraph" w:customStyle="1" w:styleId="ClientMonthYear">
    <w:name w:val="Client Month Year"/>
    <w:basedOn w:val="Normal"/>
    <w:link w:val="ClientMonthYearChar"/>
    <w:autoRedefine/>
    <w:rsid w:val="00F14E12"/>
    <w:pPr>
      <w:ind w:right="4536"/>
      <w:contextualSpacing/>
    </w:pPr>
    <w:rPr>
      <w:rFonts w:ascii="Calibri" w:hAnsi="Calibri"/>
      <w:color w:val="7F7F7F" w:themeColor="text1" w:themeTint="80"/>
      <w:sz w:val="24"/>
    </w:rPr>
  </w:style>
  <w:style w:type="paragraph" w:customStyle="1" w:styleId="Disclaimer">
    <w:name w:val="Disclaimer"/>
    <w:basedOn w:val="Normal"/>
    <w:autoRedefine/>
    <w:rsid w:val="008950FC"/>
    <w:pPr>
      <w:widowControl w:val="0"/>
      <w:tabs>
        <w:tab w:val="left" w:pos="14034"/>
      </w:tabs>
      <w:ind w:left="3261"/>
      <w:contextualSpacing/>
    </w:pPr>
    <w:rPr>
      <w:rFonts w:ascii="Calibri" w:hAnsi="Calibri" w:cs="Calibri"/>
      <w:noProof/>
      <w:color w:val="8DC63F"/>
      <w:sz w:val="18"/>
      <w:szCs w:val="18"/>
    </w:rPr>
  </w:style>
  <w:style w:type="paragraph" w:styleId="BalloonText">
    <w:name w:val="Balloon Text"/>
    <w:basedOn w:val="Normal"/>
    <w:link w:val="BalloonTextChar"/>
    <w:uiPriority w:val="99"/>
    <w:semiHidden/>
    <w:unhideWhenUsed/>
    <w:rsid w:val="00F14E12"/>
    <w:rPr>
      <w:rFonts w:ascii="Tahoma" w:hAnsi="Tahoma" w:cs="Tahoma"/>
      <w:sz w:val="16"/>
      <w:szCs w:val="16"/>
    </w:rPr>
  </w:style>
  <w:style w:type="character" w:customStyle="1" w:styleId="BalloonTextChar">
    <w:name w:val="Balloon Text Char"/>
    <w:basedOn w:val="DefaultParagraphFont"/>
    <w:link w:val="BalloonText"/>
    <w:uiPriority w:val="99"/>
    <w:semiHidden/>
    <w:rsid w:val="00F14E12"/>
    <w:rPr>
      <w:rFonts w:ascii="Tahoma" w:hAnsi="Tahoma" w:cs="Tahoma"/>
      <w:sz w:val="16"/>
      <w:szCs w:val="16"/>
    </w:rPr>
  </w:style>
  <w:style w:type="paragraph" w:styleId="Header">
    <w:name w:val="header"/>
    <w:basedOn w:val="Normal"/>
    <w:link w:val="HeaderChar"/>
    <w:uiPriority w:val="99"/>
    <w:unhideWhenUsed/>
    <w:rsid w:val="007A3A88"/>
    <w:pPr>
      <w:tabs>
        <w:tab w:val="center" w:pos="4513"/>
        <w:tab w:val="right" w:pos="9026"/>
      </w:tabs>
    </w:pPr>
  </w:style>
  <w:style w:type="character" w:customStyle="1" w:styleId="HeaderChar">
    <w:name w:val="Header Char"/>
    <w:basedOn w:val="DefaultParagraphFont"/>
    <w:link w:val="Header"/>
    <w:uiPriority w:val="99"/>
    <w:rsid w:val="007A3A88"/>
  </w:style>
  <w:style w:type="paragraph" w:customStyle="1" w:styleId="PageNo">
    <w:name w:val="Page No."/>
    <w:basedOn w:val="Normal"/>
    <w:autoRedefine/>
    <w:rsid w:val="00DE59D2"/>
    <w:pPr>
      <w:widowControl w:val="0"/>
      <w:tabs>
        <w:tab w:val="right" w:pos="10632"/>
      </w:tabs>
      <w:ind w:right="1152"/>
      <w:contextualSpacing/>
      <w:jc w:val="right"/>
    </w:pPr>
    <w:rPr>
      <w:rFonts w:ascii="Calibri" w:hAnsi="Calibri"/>
      <w:noProof/>
      <w:color w:val="404040" w:themeColor="text1" w:themeTint="BF"/>
      <w:sz w:val="14"/>
    </w:rPr>
  </w:style>
  <w:style w:type="paragraph" w:styleId="Caption">
    <w:name w:val="caption"/>
    <w:aliases w:val="Table heading,Char Char Char,Char Char, Char,Char"/>
    <w:basedOn w:val="Normal"/>
    <w:next w:val="Normal"/>
    <w:link w:val="CaptionChar"/>
    <w:uiPriority w:val="35"/>
    <w:unhideWhenUsed/>
    <w:qFormat/>
    <w:rsid w:val="00AF58F7"/>
    <w:pPr>
      <w:spacing w:before="240" w:after="60"/>
      <w:ind w:left="1049" w:hanging="1049"/>
    </w:pPr>
    <w:rPr>
      <w:rFonts w:ascii="Calibri" w:hAnsi="Calibri"/>
      <w:bCs/>
      <w:caps/>
      <w:spacing w:val="20"/>
      <w:szCs w:val="18"/>
    </w:rPr>
  </w:style>
  <w:style w:type="paragraph" w:customStyle="1" w:styleId="TableSource0">
    <w:name w:val="Table Source"/>
    <w:basedOn w:val="Normal"/>
    <w:autoRedefine/>
    <w:qFormat/>
    <w:rsid w:val="0042602C"/>
    <w:pPr>
      <w:keepNext/>
      <w:keepLines/>
      <w:contextualSpacing/>
    </w:pPr>
    <w:rPr>
      <w:color w:val="A6A6A6" w:themeColor="background1" w:themeShade="A6"/>
      <w:sz w:val="14"/>
      <w:szCs w:val="14"/>
    </w:rPr>
  </w:style>
  <w:style w:type="paragraph" w:styleId="FootnoteText">
    <w:name w:val="footnote text"/>
    <w:basedOn w:val="Normal"/>
    <w:link w:val="FootnoteTextChar"/>
    <w:autoRedefine/>
    <w:uiPriority w:val="99"/>
    <w:unhideWhenUsed/>
    <w:rsid w:val="009F1656"/>
    <w:pPr>
      <w:pBdr>
        <w:top w:val="single" w:sz="4" w:space="1" w:color="76B900" w:themeColor="accent2"/>
      </w:pBdr>
      <w:ind w:left="144" w:hanging="144"/>
    </w:pPr>
    <w:rPr>
      <w:color w:val="808080" w:themeColor="background1" w:themeShade="80"/>
      <w:sz w:val="16"/>
      <w:szCs w:val="20"/>
    </w:rPr>
  </w:style>
  <w:style w:type="character" w:customStyle="1" w:styleId="FootnoteTextChar">
    <w:name w:val="Footnote Text Char"/>
    <w:basedOn w:val="DefaultParagraphFont"/>
    <w:link w:val="FootnoteText"/>
    <w:uiPriority w:val="99"/>
    <w:rsid w:val="009F1656"/>
    <w:rPr>
      <w:color w:val="808080" w:themeColor="background1" w:themeShade="80"/>
      <w:sz w:val="16"/>
      <w:szCs w:val="20"/>
      <w:lang w:val="en-GB"/>
    </w:rPr>
  </w:style>
  <w:style w:type="paragraph" w:customStyle="1" w:styleId="Contactus">
    <w:name w:val="Contact us"/>
    <w:basedOn w:val="Normal"/>
    <w:autoRedefine/>
    <w:rsid w:val="0073703E"/>
    <w:pPr>
      <w:autoSpaceDE w:val="0"/>
      <w:autoSpaceDN w:val="0"/>
      <w:adjustRightInd w:val="0"/>
      <w:spacing w:after="160"/>
    </w:pPr>
    <w:rPr>
      <w:rFonts w:ascii="Calibri" w:hAnsi="Calibri" w:cs="Calibri-Bold"/>
      <w:b/>
      <w:bCs/>
      <w:color w:val="000000"/>
      <w:kern w:val="0"/>
      <w:sz w:val="42"/>
      <w:szCs w:val="42"/>
      <w:lang w:val="en-AU"/>
    </w:rPr>
  </w:style>
  <w:style w:type="paragraph" w:customStyle="1" w:styleId="StateOffice">
    <w:name w:val="State Office"/>
    <w:basedOn w:val="Normal"/>
    <w:autoRedefine/>
    <w:rsid w:val="0073703E"/>
    <w:pPr>
      <w:autoSpaceDE w:val="0"/>
      <w:autoSpaceDN w:val="0"/>
      <w:adjustRightInd w:val="0"/>
      <w:spacing w:after="60"/>
    </w:pPr>
    <w:rPr>
      <w:rFonts w:ascii="Calibri" w:hAnsi="Calibri" w:cs="Calibri-Bold"/>
      <w:b/>
      <w:bCs/>
      <w:caps/>
      <w:color w:val="8DC73F"/>
      <w:kern w:val="0"/>
      <w:szCs w:val="18"/>
      <w:lang w:val="en-AU"/>
    </w:rPr>
  </w:style>
  <w:style w:type="paragraph" w:customStyle="1" w:styleId="ContactAddress">
    <w:name w:val="Contact Address"/>
    <w:basedOn w:val="Normal"/>
    <w:autoRedefine/>
    <w:rsid w:val="0073703E"/>
    <w:pPr>
      <w:autoSpaceDE w:val="0"/>
      <w:autoSpaceDN w:val="0"/>
      <w:adjustRightInd w:val="0"/>
      <w:spacing w:after="60"/>
    </w:pPr>
    <w:rPr>
      <w:rFonts w:ascii="Calibri" w:hAnsi="Calibri" w:cs="Calibri"/>
      <w:color w:val="000000"/>
      <w:kern w:val="0"/>
      <w:szCs w:val="18"/>
      <w:lang w:val="en-AU"/>
    </w:rPr>
  </w:style>
  <w:style w:type="paragraph" w:customStyle="1" w:styleId="ContactDetails">
    <w:name w:val="Contact Details"/>
    <w:basedOn w:val="Normal"/>
    <w:autoRedefine/>
    <w:rsid w:val="0073703E"/>
    <w:pPr>
      <w:autoSpaceDE w:val="0"/>
      <w:autoSpaceDN w:val="0"/>
      <w:adjustRightInd w:val="0"/>
      <w:spacing w:after="240"/>
    </w:pPr>
    <w:rPr>
      <w:rFonts w:ascii="Calibri" w:hAnsi="Calibri" w:cs="Calibri"/>
      <w:color w:val="000000"/>
      <w:kern w:val="0"/>
      <w:szCs w:val="18"/>
      <w:lang w:val="en-AU"/>
    </w:rPr>
  </w:style>
  <w:style w:type="paragraph" w:customStyle="1" w:styleId="DONOTUSEClientName">
    <w:name w:val="DO NOT USE Client Name"/>
    <w:basedOn w:val="ClientMonthYear"/>
    <w:link w:val="ClientNameChar"/>
    <w:rsid w:val="00622149"/>
  </w:style>
  <w:style w:type="table" w:styleId="MediumList2-Accent1">
    <w:name w:val="Medium List 2 Accent 1"/>
    <w:basedOn w:val="TableNormal"/>
    <w:uiPriority w:val="66"/>
    <w:rsid w:val="0006688B"/>
    <w:rPr>
      <w:rFonts w:asciiTheme="majorHAnsi" w:eastAsiaTheme="majorEastAsia" w:hAnsiTheme="majorHAnsi" w:cstheme="majorBidi"/>
      <w:color w:val="000000" w:themeColor="text1"/>
      <w:kern w:val="0"/>
      <w:sz w:val="22"/>
      <w:szCs w:val="22"/>
      <w:lang w:eastAsia="en-US" w:bidi="en-US"/>
    </w:rPr>
    <w:tblPr>
      <w:tblStyleRowBandSize w:val="1"/>
      <w:tblStyleColBandSize w:val="1"/>
      <w:tblInd w:w="0" w:type="dxa"/>
      <w:tblBorders>
        <w:top w:val="single" w:sz="8" w:space="0" w:color="E1D100" w:themeColor="accent1"/>
        <w:left w:val="single" w:sz="8" w:space="0" w:color="E1D100" w:themeColor="accent1"/>
        <w:bottom w:val="single" w:sz="8" w:space="0" w:color="E1D100" w:themeColor="accent1"/>
        <w:right w:val="single" w:sz="8" w:space="0" w:color="E1D1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E1D100" w:themeColor="accent1"/>
          <w:right w:val="nil"/>
          <w:insideH w:val="nil"/>
          <w:insideV w:val="nil"/>
        </w:tcBorders>
        <w:shd w:val="clear" w:color="auto" w:fill="FFFFFF" w:themeFill="background1"/>
      </w:tcPr>
    </w:tblStylePr>
    <w:tblStylePr w:type="lastRow">
      <w:tblPr/>
      <w:tcPr>
        <w:tcBorders>
          <w:top w:val="single" w:sz="8" w:space="0" w:color="E1D1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D100" w:themeColor="accent1"/>
          <w:insideH w:val="nil"/>
          <w:insideV w:val="nil"/>
        </w:tcBorders>
        <w:shd w:val="clear" w:color="auto" w:fill="FFFFFF" w:themeFill="background1"/>
      </w:tcPr>
    </w:tblStylePr>
    <w:tblStylePr w:type="lastCol">
      <w:tblPr/>
      <w:tcPr>
        <w:tcBorders>
          <w:top w:val="nil"/>
          <w:left w:val="single" w:sz="8" w:space="0" w:color="E1D1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B8" w:themeFill="accent1" w:themeFillTint="3F"/>
      </w:tcPr>
    </w:tblStylePr>
    <w:tblStylePr w:type="band1Horz">
      <w:tblPr/>
      <w:tcPr>
        <w:tcBorders>
          <w:top w:val="nil"/>
          <w:bottom w:val="nil"/>
          <w:insideH w:val="nil"/>
          <w:insideV w:val="nil"/>
        </w:tcBorders>
        <w:shd w:val="clear" w:color="auto" w:fill="FFF9B8"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lientMonthYearChar">
    <w:name w:val="Client Month Year Char"/>
    <w:basedOn w:val="DefaultParagraphFont"/>
    <w:link w:val="ClientMonthYear"/>
    <w:rsid w:val="00622149"/>
    <w:rPr>
      <w:rFonts w:ascii="Calibri" w:hAnsi="Calibri"/>
      <w:color w:val="7F7F7F" w:themeColor="text1" w:themeTint="80"/>
      <w:sz w:val="24"/>
    </w:rPr>
  </w:style>
  <w:style w:type="character" w:customStyle="1" w:styleId="ClientNameChar">
    <w:name w:val="Client Name Char"/>
    <w:basedOn w:val="ClientMonthYearChar"/>
    <w:link w:val="DONOTUSEClientName"/>
    <w:rsid w:val="00622149"/>
    <w:rPr>
      <w:rFonts w:ascii="Calibri" w:hAnsi="Calibri"/>
      <w:color w:val="7F7F7F" w:themeColor="text1" w:themeTint="80"/>
      <w:sz w:val="24"/>
    </w:rPr>
  </w:style>
  <w:style w:type="table" w:customStyle="1" w:styleId="TableGrid1">
    <w:name w:val="Table Grid1"/>
    <w:basedOn w:val="TableNormal"/>
    <w:next w:val="TableNormal"/>
    <w:uiPriority w:val="59"/>
    <w:rsid w:val="00B6347F"/>
    <w:rPr>
      <w:rFonts w:eastAsiaTheme="minorHAnsi"/>
      <w:kern w:val="0"/>
      <w:sz w:val="22"/>
      <w:szCs w:val="22"/>
      <w:lang w:val="en-GB" w:eastAsia="en-US"/>
    </w:rPr>
    <w:tblPr>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insideH w:val="single" w:sz="4" w:space="0" w:color="76B900" w:themeColor="accent2"/>
        <w:insideV w:val="single" w:sz="4" w:space="0" w:color="76B900" w:themeColor="accent2"/>
      </w:tblBorders>
      <w:tblCellMar>
        <w:top w:w="0" w:type="dxa"/>
        <w:left w:w="108" w:type="dxa"/>
        <w:bottom w:w="0" w:type="dxa"/>
        <w:right w:w="108" w:type="dxa"/>
      </w:tblCellMar>
    </w:tblPr>
    <w:tcPr>
      <w:shd w:val="clear" w:color="auto" w:fill="auto"/>
      <w:tcMar>
        <w:left w:w="0" w:type="dxa"/>
      </w:tcMar>
    </w:tcPr>
  </w:style>
  <w:style w:type="paragraph" w:styleId="ListParagraph">
    <w:name w:val="List Paragraph"/>
    <w:basedOn w:val="Normal"/>
    <w:link w:val="ListParagraphChar"/>
    <w:uiPriority w:val="34"/>
    <w:qFormat/>
    <w:rsid w:val="008237B3"/>
    <w:pPr>
      <w:ind w:left="720"/>
      <w:contextualSpacing/>
    </w:pPr>
  </w:style>
  <w:style w:type="paragraph" w:customStyle="1" w:styleId="CoverTitle2">
    <w:name w:val="Cover Title 2"/>
    <w:basedOn w:val="Title"/>
    <w:link w:val="CoverTitle2Char"/>
    <w:rsid w:val="00813BD7"/>
    <w:rPr>
      <w:b/>
      <w:color w:val="76B900"/>
    </w:rPr>
  </w:style>
  <w:style w:type="character" w:customStyle="1" w:styleId="CoverTitle2Char">
    <w:name w:val="Cover Title 2 Char"/>
    <w:basedOn w:val="TitleChar"/>
    <w:link w:val="CoverTitle2"/>
    <w:rsid w:val="00813BD7"/>
    <w:rPr>
      <w:rFonts w:ascii="Calibri" w:eastAsiaTheme="majorEastAsia" w:hAnsi="Calibri" w:cstheme="majorBidi"/>
      <w:b/>
      <w:noProof/>
      <w:color w:val="76B900"/>
      <w:spacing w:val="5"/>
      <w:kern w:val="28"/>
      <w:sz w:val="48"/>
      <w:szCs w:val="48"/>
      <w:lang w:val="en-AU" w:eastAsia="en-AU"/>
    </w:rPr>
  </w:style>
  <w:style w:type="paragraph" w:customStyle="1" w:styleId="Bullet3">
    <w:name w:val="Bullet 3"/>
    <w:basedOn w:val="ListParagraph"/>
    <w:link w:val="Bullet3Char"/>
    <w:autoRedefine/>
    <w:qFormat/>
    <w:rsid w:val="008950FC"/>
    <w:pPr>
      <w:numPr>
        <w:numId w:val="4"/>
      </w:numPr>
      <w:ind w:left="648" w:hanging="216"/>
    </w:pPr>
  </w:style>
  <w:style w:type="character" w:customStyle="1" w:styleId="Bullet2Char">
    <w:name w:val="Bullet 2 Char"/>
    <w:basedOn w:val="ListParagraphChar"/>
    <w:link w:val="Bullet2"/>
    <w:rsid w:val="008950FC"/>
    <w:rPr>
      <w:sz w:val="20"/>
      <w:lang w:val="en-GB"/>
    </w:rPr>
  </w:style>
  <w:style w:type="character" w:customStyle="1" w:styleId="Bullet3Char">
    <w:name w:val="Bullet 3 Char"/>
    <w:basedOn w:val="ListParagraphChar"/>
    <w:link w:val="Bullet3"/>
    <w:rsid w:val="008950FC"/>
    <w:rPr>
      <w:sz w:val="20"/>
      <w:lang w:val="en-GB"/>
    </w:rPr>
  </w:style>
  <w:style w:type="table" w:customStyle="1" w:styleId="GTA2">
    <w:name w:val="GTA2"/>
    <w:basedOn w:val="TableNormal"/>
    <w:next w:val="TableNormal"/>
    <w:uiPriority w:val="59"/>
    <w:rsid w:val="00DC6824"/>
    <w:rPr>
      <w:rFonts w:ascii="Times" w:eastAsia="Times" w:hAnsi="Times" w:cs="Times New Roman"/>
      <w:kern w:val="0"/>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TA3">
    <w:name w:val="GTA3"/>
    <w:basedOn w:val="TableNormal"/>
    <w:next w:val="TableNormal"/>
    <w:uiPriority w:val="59"/>
    <w:rsid w:val="00DC6824"/>
    <w:rPr>
      <w:rFonts w:ascii="Times" w:eastAsia="Times" w:hAnsi="Times" w:cs="Times New Roman"/>
      <w:kern w:val="0"/>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1697E"/>
    <w:rPr>
      <w:rFonts w:ascii="Tahoma" w:hAnsi="Tahoma" w:cs="Tahoma"/>
      <w:sz w:val="16"/>
      <w:szCs w:val="16"/>
    </w:rPr>
  </w:style>
  <w:style w:type="character" w:customStyle="1" w:styleId="DocumentMapChar">
    <w:name w:val="Document Map Char"/>
    <w:basedOn w:val="DefaultParagraphFont"/>
    <w:link w:val="DocumentMap"/>
    <w:uiPriority w:val="99"/>
    <w:semiHidden/>
    <w:rsid w:val="0091697E"/>
    <w:rPr>
      <w:rFonts w:ascii="Tahoma" w:hAnsi="Tahoma" w:cs="Tahoma"/>
      <w:sz w:val="16"/>
      <w:szCs w:val="16"/>
      <w:lang w:val="en-GB"/>
    </w:rPr>
  </w:style>
  <w:style w:type="character" w:customStyle="1" w:styleId="ESHeading2Char">
    <w:name w:val="E.S. Heading 2 Char"/>
    <w:basedOn w:val="Heading2Char"/>
    <w:link w:val="ESHeading2"/>
    <w:rsid w:val="00813BD7"/>
    <w:rPr>
      <w:rFonts w:ascii="Calibri" w:eastAsiaTheme="majorEastAsia" w:hAnsi="Calibri" w:cstheme="majorBidi"/>
      <w:b/>
      <w:bCs/>
      <w:color w:val="76B900"/>
      <w:sz w:val="30"/>
      <w:szCs w:val="26"/>
      <w:lang w:val="en-GB"/>
    </w:rPr>
  </w:style>
  <w:style w:type="paragraph" w:customStyle="1" w:styleId="TableColumnHeading0">
    <w:name w:val="Table Column Heading"/>
    <w:basedOn w:val="Normal"/>
    <w:autoRedefine/>
    <w:qFormat/>
    <w:rsid w:val="008950FC"/>
    <w:pPr>
      <w:keepNext/>
      <w:keepLines/>
      <w:spacing w:before="40" w:after="120"/>
    </w:pPr>
    <w:rPr>
      <w:rFonts w:cs="DINPro-Bold"/>
      <w:b/>
      <w:bCs/>
      <w:color w:val="000000" w:themeColor="text1"/>
      <w:kern w:val="0"/>
      <w:sz w:val="16"/>
      <w:szCs w:val="16"/>
      <w:lang w:val="en-AU"/>
    </w:rPr>
  </w:style>
  <w:style w:type="table" w:customStyle="1" w:styleId="SGStexttable">
    <w:name w:val="SGS text table"/>
    <w:basedOn w:val="TableNormal"/>
    <w:uiPriority w:val="99"/>
    <w:qFormat/>
    <w:rsid w:val="00120925"/>
    <w:rPr>
      <w:sz w:val="16"/>
    </w:rPr>
    <w:tblPr>
      <w:tblInd w:w="0" w:type="dxa"/>
      <w:tblBorders>
        <w:top w:val="single" w:sz="2" w:space="0" w:color="76B900" w:themeColor="accent2"/>
        <w:left w:val="single" w:sz="2" w:space="0" w:color="76B900" w:themeColor="accent2"/>
        <w:bottom w:val="single" w:sz="2" w:space="0" w:color="76B900" w:themeColor="accent2"/>
        <w:right w:val="single" w:sz="2" w:space="0" w:color="76B900" w:themeColor="accent2"/>
        <w:insideH w:val="single" w:sz="2" w:space="0" w:color="76B900" w:themeColor="accent2"/>
        <w:insideV w:val="single" w:sz="2" w:space="0" w:color="76B900" w:themeColor="accent2"/>
      </w:tblBorders>
      <w:tblCellMar>
        <w:top w:w="0" w:type="dxa"/>
        <w:left w:w="108" w:type="dxa"/>
        <w:bottom w:w="0" w:type="dxa"/>
        <w:right w:w="108" w:type="dxa"/>
      </w:tblCellMar>
    </w:tblPr>
    <w:tcPr>
      <w:tcMar>
        <w:left w:w="0" w:type="dxa"/>
        <w:right w:w="0" w:type="dxa"/>
      </w:tcMar>
    </w:tcPr>
    <w:tblStylePr w:type="firstRow">
      <w:rPr>
        <w:rFonts w:asciiTheme="minorHAnsi" w:hAnsiTheme="minorHAnsi"/>
        <w:b/>
        <w:sz w:val="16"/>
      </w:rPr>
    </w:tblStylePr>
  </w:style>
  <w:style w:type="paragraph" w:styleId="TableofFigures">
    <w:name w:val="table of figures"/>
    <w:basedOn w:val="Normal"/>
    <w:next w:val="Normal"/>
    <w:uiPriority w:val="99"/>
    <w:unhideWhenUsed/>
    <w:rsid w:val="00094B36"/>
    <w:pPr>
      <w:tabs>
        <w:tab w:val="left" w:pos="8108"/>
      </w:tabs>
      <w:ind w:left="1021" w:hanging="1021"/>
    </w:pPr>
    <w:rPr>
      <w:caps/>
      <w:spacing w:val="20"/>
    </w:rPr>
  </w:style>
  <w:style w:type="paragraph" w:customStyle="1" w:styleId="ListofFiguresandTables">
    <w:name w:val="List of Figures and Tables"/>
    <w:basedOn w:val="TOCHeading"/>
    <w:link w:val="ListofFiguresandTablesChar"/>
    <w:qFormat/>
    <w:rsid w:val="00813BD7"/>
    <w:pPr>
      <w:pageBreakBefore w:val="0"/>
      <w:spacing w:after="600"/>
    </w:pPr>
    <w:rPr>
      <w:color w:val="76B900"/>
    </w:rPr>
  </w:style>
  <w:style w:type="paragraph" w:customStyle="1" w:styleId="TableText0">
    <w:name w:val="Table Text"/>
    <w:basedOn w:val="Normal"/>
    <w:link w:val="TableTextChar"/>
    <w:qFormat/>
    <w:rsid w:val="009E187E"/>
    <w:pPr>
      <w:keepNext/>
      <w:keepLines/>
      <w:spacing w:before="40"/>
    </w:pPr>
    <w:rPr>
      <w:sz w:val="16"/>
    </w:rPr>
  </w:style>
  <w:style w:type="character" w:customStyle="1" w:styleId="TOCHeadingChar">
    <w:name w:val="TOC Heading Char"/>
    <w:basedOn w:val="Heading1Char"/>
    <w:link w:val="TOCHeading"/>
    <w:uiPriority w:val="39"/>
    <w:rsid w:val="001267CE"/>
    <w:rPr>
      <w:rFonts w:ascii="Calibri" w:eastAsiaTheme="majorEastAsia" w:hAnsi="Calibri" w:cstheme="majorBidi"/>
      <w:bCs/>
      <w:caps/>
      <w:noProof/>
      <w:color w:val="8DC63F"/>
      <w:kern w:val="0"/>
      <w:sz w:val="30"/>
      <w:szCs w:val="30"/>
      <w:lang w:val="en-GB" w:eastAsia="en-US"/>
    </w:rPr>
  </w:style>
  <w:style w:type="character" w:customStyle="1" w:styleId="ListofFiguresandTablesChar">
    <w:name w:val="List of Figures and Tables Char"/>
    <w:basedOn w:val="TOCHeadingChar"/>
    <w:link w:val="ListofFiguresandTables"/>
    <w:rsid w:val="00813BD7"/>
    <w:rPr>
      <w:rFonts w:ascii="Calibri" w:eastAsiaTheme="majorEastAsia" w:hAnsi="Calibri" w:cstheme="majorBidi"/>
      <w:bCs/>
      <w:caps/>
      <w:noProof/>
      <w:color w:val="76B900"/>
      <w:kern w:val="0"/>
      <w:sz w:val="30"/>
      <w:szCs w:val="30"/>
      <w:lang w:val="en-GB" w:eastAsia="en-US"/>
    </w:rPr>
  </w:style>
  <w:style w:type="table" w:customStyle="1" w:styleId="LightShading-Accent11">
    <w:name w:val="Light Shading - Accent 11"/>
    <w:basedOn w:val="TableNormal"/>
    <w:uiPriority w:val="60"/>
    <w:rsid w:val="00656AFA"/>
    <w:rPr>
      <w:color w:val="A89B00" w:themeColor="accent1" w:themeShade="BF"/>
    </w:rPr>
    <w:tblPr>
      <w:tblStyleRowBandSize w:val="1"/>
      <w:tblStyleColBandSize w:val="1"/>
      <w:tblInd w:w="0" w:type="dxa"/>
      <w:tblBorders>
        <w:top w:val="single" w:sz="8" w:space="0" w:color="E1D100" w:themeColor="accent1"/>
        <w:bottom w:val="single" w:sz="8" w:space="0" w:color="E1D1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1D100" w:themeColor="accent1"/>
          <w:left w:val="nil"/>
          <w:bottom w:val="single" w:sz="8" w:space="0" w:color="E1D100" w:themeColor="accent1"/>
          <w:right w:val="nil"/>
          <w:insideH w:val="nil"/>
          <w:insideV w:val="nil"/>
        </w:tcBorders>
      </w:tcPr>
    </w:tblStylePr>
    <w:tblStylePr w:type="lastRow">
      <w:pPr>
        <w:spacing w:before="0" w:after="0" w:line="240" w:lineRule="auto"/>
      </w:pPr>
      <w:rPr>
        <w:b/>
        <w:bCs/>
      </w:rPr>
      <w:tblPr/>
      <w:tcPr>
        <w:tcBorders>
          <w:top w:val="single" w:sz="8" w:space="0" w:color="E1D100" w:themeColor="accent1"/>
          <w:left w:val="nil"/>
          <w:bottom w:val="single" w:sz="8" w:space="0" w:color="E1D1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B8" w:themeFill="accent1" w:themeFillTint="3F"/>
      </w:tcPr>
    </w:tblStylePr>
    <w:tblStylePr w:type="band1Horz">
      <w:tblPr/>
      <w:tcPr>
        <w:tcBorders>
          <w:left w:val="nil"/>
          <w:right w:val="nil"/>
          <w:insideH w:val="nil"/>
          <w:insideV w:val="nil"/>
        </w:tcBorders>
        <w:shd w:val="clear" w:color="auto" w:fill="FFF9B8" w:themeFill="accent1" w:themeFillTint="3F"/>
      </w:tcPr>
    </w:tblStylePr>
  </w:style>
  <w:style w:type="character" w:customStyle="1" w:styleId="TableTextChar">
    <w:name w:val="Table Text Char"/>
    <w:basedOn w:val="DefaultParagraphFont"/>
    <w:link w:val="TableText0"/>
    <w:rsid w:val="009E187E"/>
    <w:rPr>
      <w:sz w:val="16"/>
      <w:lang w:val="en-GB"/>
    </w:rPr>
  </w:style>
  <w:style w:type="character" w:styleId="FollowedHyperlink">
    <w:name w:val="FollowedHyperlink"/>
    <w:basedOn w:val="DefaultParagraphFont"/>
    <w:uiPriority w:val="99"/>
    <w:semiHidden/>
    <w:unhideWhenUsed/>
    <w:rsid w:val="00AB0685"/>
    <w:rPr>
      <w:color w:val="800080" w:themeColor="followedHyperlink"/>
      <w:u w:val="single"/>
    </w:rPr>
  </w:style>
  <w:style w:type="paragraph" w:styleId="NormalWeb">
    <w:name w:val="Normal (Web)"/>
    <w:basedOn w:val="Normal"/>
    <w:uiPriority w:val="99"/>
    <w:unhideWhenUsed/>
    <w:rsid w:val="0042231F"/>
    <w:pPr>
      <w:spacing w:before="100" w:beforeAutospacing="1" w:after="100" w:afterAutospacing="1"/>
    </w:pPr>
    <w:rPr>
      <w:rFonts w:ascii="Times New Roman" w:eastAsia="Times New Roman" w:hAnsi="Times New Roman" w:cs="Times New Roman"/>
      <w:kern w:val="0"/>
      <w:sz w:val="24"/>
      <w:szCs w:val="24"/>
      <w:lang w:val="en-AU" w:eastAsia="en-AU"/>
    </w:rPr>
  </w:style>
  <w:style w:type="character" w:customStyle="1" w:styleId="apple-converted-space">
    <w:name w:val="apple-converted-space"/>
    <w:basedOn w:val="DefaultParagraphFont"/>
    <w:rsid w:val="00F26871"/>
  </w:style>
  <w:style w:type="character" w:customStyle="1" w:styleId="CaptionChar">
    <w:name w:val="Caption Char"/>
    <w:aliases w:val="Table heading Char,Char Char Char Char,Char Char Char1, Char Char,Char Char1"/>
    <w:basedOn w:val="DefaultParagraphFont"/>
    <w:link w:val="Caption"/>
    <w:uiPriority w:val="35"/>
    <w:rsid w:val="00AF4290"/>
    <w:rPr>
      <w:rFonts w:ascii="Calibri" w:hAnsi="Calibri"/>
      <w:bCs/>
      <w:caps/>
      <w:spacing w:val="20"/>
      <w:sz w:val="20"/>
      <w:szCs w:val="18"/>
      <w:lang w:val="en-GB"/>
    </w:rPr>
  </w:style>
  <w:style w:type="paragraph" w:styleId="BodyText">
    <w:name w:val="Body Text"/>
    <w:basedOn w:val="Normal"/>
    <w:link w:val="BodyTextChar"/>
    <w:uiPriority w:val="1"/>
    <w:qFormat/>
    <w:rsid w:val="0086063A"/>
    <w:pPr>
      <w:widowControl w:val="0"/>
      <w:ind w:left="100"/>
    </w:pPr>
    <w:rPr>
      <w:rFonts w:ascii="Garamond Premr Pro" w:eastAsia="Garamond Premr Pro" w:hAnsi="Garamond Premr Pro"/>
      <w:kern w:val="0"/>
      <w:szCs w:val="20"/>
      <w:lang w:val="en-US" w:eastAsia="en-US"/>
    </w:rPr>
  </w:style>
  <w:style w:type="character" w:customStyle="1" w:styleId="BodyTextChar">
    <w:name w:val="Body Text Char"/>
    <w:basedOn w:val="DefaultParagraphFont"/>
    <w:link w:val="BodyText"/>
    <w:uiPriority w:val="1"/>
    <w:rsid w:val="0086063A"/>
    <w:rPr>
      <w:rFonts w:ascii="Garamond Premr Pro" w:eastAsia="Garamond Premr Pro" w:hAnsi="Garamond Premr Pro"/>
      <w:kern w:val="0"/>
      <w:sz w:val="20"/>
      <w:szCs w:val="20"/>
      <w:lang w:eastAsia="en-US"/>
    </w:rPr>
  </w:style>
  <w:style w:type="table" w:styleId="LightList-Accent3">
    <w:name w:val="Light List Accent 3"/>
    <w:basedOn w:val="TableNormal"/>
    <w:uiPriority w:val="61"/>
    <w:rsid w:val="005C5D0D"/>
    <w:rPr>
      <w:rFonts w:ascii="Times" w:eastAsia="Times" w:hAnsi="Times" w:cs="Times New Roman"/>
      <w:kern w:val="0"/>
      <w:sz w:val="20"/>
      <w:szCs w:val="20"/>
      <w:lang w:val="en-AU" w:eastAsia="en-AU"/>
    </w:rPr>
    <w:tblPr>
      <w:tblStyleRowBandSize w:val="1"/>
      <w:tblStyleColBandSize w:val="1"/>
      <w:tblInd w:w="0" w:type="dxa"/>
      <w:tblBorders>
        <w:top w:val="single" w:sz="8" w:space="0" w:color="0097AC" w:themeColor="accent3"/>
        <w:left w:val="single" w:sz="8" w:space="0" w:color="0097AC" w:themeColor="accent3"/>
        <w:bottom w:val="single" w:sz="8" w:space="0" w:color="0097AC" w:themeColor="accent3"/>
        <w:right w:val="single" w:sz="8" w:space="0" w:color="0097A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7AC" w:themeFill="accent3"/>
      </w:tcPr>
    </w:tblStylePr>
    <w:tblStylePr w:type="lastRow">
      <w:pPr>
        <w:spacing w:before="0" w:after="0" w:line="240" w:lineRule="auto"/>
      </w:pPr>
      <w:rPr>
        <w:b/>
        <w:bCs/>
      </w:rPr>
      <w:tblPr/>
      <w:tcPr>
        <w:tcBorders>
          <w:top w:val="double" w:sz="6" w:space="0" w:color="0097AC" w:themeColor="accent3"/>
          <w:left w:val="single" w:sz="8" w:space="0" w:color="0097AC" w:themeColor="accent3"/>
          <w:bottom w:val="single" w:sz="8" w:space="0" w:color="0097AC" w:themeColor="accent3"/>
          <w:right w:val="single" w:sz="8" w:space="0" w:color="0097AC" w:themeColor="accent3"/>
        </w:tcBorders>
      </w:tcPr>
    </w:tblStylePr>
    <w:tblStylePr w:type="firstCol">
      <w:rPr>
        <w:b/>
        <w:bCs/>
      </w:rPr>
    </w:tblStylePr>
    <w:tblStylePr w:type="lastCol">
      <w:rPr>
        <w:b/>
        <w:bCs/>
      </w:rPr>
    </w:tblStylePr>
    <w:tblStylePr w:type="band1Vert">
      <w:tblPr/>
      <w:tcPr>
        <w:tcBorders>
          <w:top w:val="single" w:sz="8" w:space="0" w:color="0097AC" w:themeColor="accent3"/>
          <w:left w:val="single" w:sz="8" w:space="0" w:color="0097AC" w:themeColor="accent3"/>
          <w:bottom w:val="single" w:sz="8" w:space="0" w:color="0097AC" w:themeColor="accent3"/>
          <w:right w:val="single" w:sz="8" w:space="0" w:color="0097AC" w:themeColor="accent3"/>
        </w:tcBorders>
      </w:tcPr>
    </w:tblStylePr>
    <w:tblStylePr w:type="band1Horz">
      <w:tblPr/>
      <w:tcPr>
        <w:tcBorders>
          <w:top w:val="single" w:sz="8" w:space="0" w:color="0097AC" w:themeColor="accent3"/>
          <w:left w:val="single" w:sz="8" w:space="0" w:color="0097AC" w:themeColor="accent3"/>
          <w:bottom w:val="single" w:sz="8" w:space="0" w:color="0097AC" w:themeColor="accent3"/>
          <w:right w:val="single" w:sz="8" w:space="0" w:color="0097AC" w:themeColor="accent3"/>
        </w:tcBorders>
      </w:tcPr>
    </w:tblStylePr>
  </w:style>
  <w:style w:type="table" w:customStyle="1" w:styleId="PlainTable21">
    <w:name w:val="Plain Table 21"/>
    <w:basedOn w:val="TableNormal"/>
    <w:uiPriority w:val="42"/>
    <w:rsid w:val="00350A8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350A8C"/>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
    <w:name w:val="List Table 3 - Accent 21"/>
    <w:basedOn w:val="TableNormal"/>
    <w:uiPriority w:val="48"/>
    <w:rsid w:val="00513B75"/>
    <w:tblPr>
      <w:tblStyleRowBandSize w:val="1"/>
      <w:tblStyleColBandSize w:val="1"/>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tblBorders>
      <w:tblCellMar>
        <w:top w:w="0" w:type="dxa"/>
        <w:left w:w="108" w:type="dxa"/>
        <w:bottom w:w="0" w:type="dxa"/>
        <w:right w:w="108" w:type="dxa"/>
      </w:tblCellMar>
    </w:tblPr>
    <w:tblStylePr w:type="firstRow">
      <w:rPr>
        <w:b/>
        <w:bCs/>
        <w:color w:val="FFFFFF" w:themeColor="background1"/>
      </w:rPr>
      <w:tblPr/>
      <w:tcPr>
        <w:shd w:val="clear" w:color="auto" w:fill="76B900" w:themeFill="accent2"/>
      </w:tcPr>
    </w:tblStylePr>
    <w:tblStylePr w:type="lastRow">
      <w:rPr>
        <w:b/>
        <w:bCs/>
      </w:rPr>
      <w:tblPr/>
      <w:tcPr>
        <w:tcBorders>
          <w:top w:val="double" w:sz="4" w:space="0" w:color="76B9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B900" w:themeColor="accent2"/>
          <w:right w:val="single" w:sz="4" w:space="0" w:color="76B900" w:themeColor="accent2"/>
        </w:tcBorders>
      </w:tcPr>
    </w:tblStylePr>
    <w:tblStylePr w:type="band1Horz">
      <w:tblPr/>
      <w:tcPr>
        <w:tcBorders>
          <w:top w:val="single" w:sz="4" w:space="0" w:color="76B900" w:themeColor="accent2"/>
          <w:bottom w:val="single" w:sz="4" w:space="0" w:color="76B9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B900" w:themeColor="accent2"/>
          <w:left w:val="nil"/>
        </w:tcBorders>
      </w:tcPr>
    </w:tblStylePr>
    <w:tblStylePr w:type="swCell">
      <w:tblPr/>
      <w:tcPr>
        <w:tcBorders>
          <w:top w:val="double" w:sz="4" w:space="0" w:color="76B900" w:themeColor="accent2"/>
          <w:right w:val="nil"/>
        </w:tcBorders>
      </w:tcPr>
    </w:tblStylePr>
  </w:style>
  <w:style w:type="paragraph" w:styleId="ListBullet">
    <w:name w:val="List Bullet"/>
    <w:basedOn w:val="Normal"/>
    <w:uiPriority w:val="99"/>
    <w:unhideWhenUsed/>
    <w:qFormat/>
    <w:rsid w:val="00DF31F6"/>
    <w:pPr>
      <w:numPr>
        <w:numId w:val="36"/>
      </w:numPr>
      <w:contextualSpacing/>
    </w:pPr>
  </w:style>
  <w:style w:type="table" w:customStyle="1" w:styleId="GridTable4-Accent21">
    <w:name w:val="Grid Table 4 - Accent 21"/>
    <w:basedOn w:val="TableNormal"/>
    <w:uiPriority w:val="49"/>
    <w:rsid w:val="00896C6F"/>
    <w:tblPr>
      <w:tblStyleRowBandSize w:val="1"/>
      <w:tblStyleColBandSize w:val="1"/>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insideH w:val="single" w:sz="6" w:space="0" w:color="76B900" w:themeColor="accent2"/>
        <w:insideV w:val="single" w:sz="6" w:space="0" w:color="76B900" w:themeColor="accent2"/>
      </w:tblBorders>
      <w:tblCellMar>
        <w:top w:w="0" w:type="dxa"/>
        <w:left w:w="108" w:type="dxa"/>
        <w:bottom w:w="0" w:type="dxa"/>
        <w:right w:w="108" w:type="dxa"/>
      </w:tblCellMar>
    </w:tblPr>
    <w:tblStylePr w:type="firstRow">
      <w:rPr>
        <w:b/>
        <w:bCs/>
        <w:color w:val="FFFFFF" w:themeColor="background1"/>
      </w:rPr>
      <w:tblPr/>
      <w:tcPr>
        <w:tcBorders>
          <w:top w:val="single" w:sz="4" w:space="0" w:color="76B900" w:themeColor="accent2"/>
          <w:left w:val="single" w:sz="4" w:space="0" w:color="76B900" w:themeColor="accent2"/>
          <w:bottom w:val="single" w:sz="4" w:space="0" w:color="76B900" w:themeColor="accent2"/>
          <w:right w:val="single" w:sz="4" w:space="0" w:color="76B900" w:themeColor="accent2"/>
          <w:insideH w:val="nil"/>
          <w:insideV w:val="nil"/>
        </w:tcBorders>
        <w:shd w:val="clear" w:color="auto" w:fill="76B900" w:themeFill="accent2"/>
      </w:tcPr>
    </w:tblStylePr>
    <w:tblStylePr w:type="lastRow">
      <w:rPr>
        <w:b/>
        <w:bCs/>
      </w:rPr>
      <w:tblPr/>
      <w:tcPr>
        <w:tcBorders>
          <w:top w:val="double" w:sz="4" w:space="0" w:color="76B900" w:themeColor="accent2"/>
        </w:tcBorders>
      </w:tcPr>
    </w:tblStylePr>
    <w:tblStylePr w:type="firstCol">
      <w:rPr>
        <w:b/>
        <w:bCs/>
      </w:rPr>
    </w:tblStylePr>
    <w:tblStylePr w:type="lastCol">
      <w:rPr>
        <w:b/>
        <w:bCs/>
      </w:rPr>
    </w:tblStylePr>
    <w:tblStylePr w:type="band1Vert">
      <w:tblPr/>
      <w:tcPr>
        <w:shd w:val="clear" w:color="auto" w:fill="E7FFBE" w:themeFill="accent2" w:themeFillTint="33"/>
      </w:tcPr>
    </w:tblStylePr>
    <w:tblStylePr w:type="band1Horz">
      <w:tblPr/>
      <w:tcPr>
        <w:shd w:val="clear" w:color="auto" w:fill="E7FFBE" w:themeFill="accent2" w:themeFillTint="33"/>
      </w:tcPr>
    </w:tblStylePr>
  </w:style>
  <w:style w:type="table" w:styleId="MediumShading1-Accent2">
    <w:name w:val="Medium Shading 1 Accent 2"/>
    <w:basedOn w:val="TableNormal"/>
    <w:uiPriority w:val="63"/>
    <w:rsid w:val="00896C6F"/>
    <w:tblPr>
      <w:tblStyleRowBandSize w:val="1"/>
      <w:tblStyleColBandSize w:val="1"/>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insideH w:val="single" w:sz="6" w:space="0" w:color="76B900" w:themeColor="accent2"/>
        <w:insideV w:val="single" w:sz="6" w:space="0" w:color="76B9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6FF0B" w:themeColor="accent2" w:themeTint="BF"/>
          <w:left w:val="single" w:sz="8" w:space="0" w:color="A6FF0B" w:themeColor="accent2" w:themeTint="BF"/>
          <w:bottom w:val="single" w:sz="8" w:space="0" w:color="A6FF0B" w:themeColor="accent2" w:themeTint="BF"/>
          <w:right w:val="single" w:sz="8" w:space="0" w:color="A6FF0B" w:themeColor="accent2" w:themeTint="BF"/>
          <w:insideH w:val="nil"/>
          <w:insideV w:val="nil"/>
        </w:tcBorders>
        <w:shd w:val="clear" w:color="auto" w:fill="76B900" w:themeFill="accent2"/>
      </w:tcPr>
    </w:tblStylePr>
    <w:tblStylePr w:type="lastRow">
      <w:pPr>
        <w:spacing w:before="0" w:after="0" w:line="240" w:lineRule="auto"/>
      </w:pPr>
      <w:rPr>
        <w:b/>
        <w:bCs/>
      </w:rPr>
      <w:tblPr/>
      <w:tcPr>
        <w:tcBorders>
          <w:top w:val="double" w:sz="6" w:space="0" w:color="A6FF0B" w:themeColor="accent2" w:themeTint="BF"/>
          <w:left w:val="single" w:sz="8" w:space="0" w:color="A6FF0B" w:themeColor="accent2" w:themeTint="BF"/>
          <w:bottom w:val="single" w:sz="8" w:space="0" w:color="A6FF0B" w:themeColor="accent2" w:themeTint="BF"/>
          <w:right w:val="single" w:sz="8" w:space="0" w:color="A6FF0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FAE" w:themeFill="accent2" w:themeFillTint="3F"/>
      </w:tcPr>
    </w:tblStylePr>
    <w:tblStylePr w:type="band1Horz">
      <w:tblPr/>
      <w:tcPr>
        <w:tcBorders>
          <w:insideH w:val="nil"/>
          <w:insideV w:val="nil"/>
        </w:tcBorders>
        <w:shd w:val="clear" w:color="auto" w:fill="E1FFAE" w:themeFill="accent2" w:themeFillTint="3F"/>
      </w:tcPr>
    </w:tblStylePr>
    <w:tblStylePr w:type="band2Horz">
      <w:tblPr/>
      <w:tcPr>
        <w:tcBorders>
          <w:insideH w:val="nil"/>
          <w:insideV w:val="nil"/>
        </w:tcBorders>
      </w:tcPr>
    </w:tblStylePr>
  </w:style>
  <w:style w:type="paragraph" w:customStyle="1" w:styleId="Default">
    <w:name w:val="Default"/>
    <w:rsid w:val="00BC2B05"/>
    <w:pPr>
      <w:autoSpaceDE w:val="0"/>
      <w:autoSpaceDN w:val="0"/>
      <w:adjustRightInd w:val="0"/>
    </w:pPr>
    <w:rPr>
      <w:rFonts w:ascii="Calibri" w:hAnsi="Calibri" w:cs="Calibri"/>
      <w:color w:val="000000"/>
      <w:kern w:val="0"/>
      <w:sz w:val="24"/>
      <w:szCs w:val="24"/>
      <w:lang w:val="en-AU"/>
    </w:rPr>
  </w:style>
  <w:style w:type="character" w:styleId="CommentReference">
    <w:name w:val="annotation reference"/>
    <w:basedOn w:val="DefaultParagraphFont"/>
    <w:uiPriority w:val="99"/>
    <w:semiHidden/>
    <w:unhideWhenUsed/>
    <w:rsid w:val="006774B9"/>
    <w:rPr>
      <w:sz w:val="16"/>
      <w:szCs w:val="16"/>
    </w:rPr>
  </w:style>
  <w:style w:type="paragraph" w:styleId="CommentText">
    <w:name w:val="annotation text"/>
    <w:basedOn w:val="Normal"/>
    <w:link w:val="CommentTextChar"/>
    <w:uiPriority w:val="99"/>
    <w:unhideWhenUsed/>
    <w:rsid w:val="006774B9"/>
    <w:rPr>
      <w:szCs w:val="20"/>
    </w:rPr>
  </w:style>
  <w:style w:type="character" w:customStyle="1" w:styleId="CommentTextChar">
    <w:name w:val="Comment Text Char"/>
    <w:basedOn w:val="DefaultParagraphFont"/>
    <w:link w:val="CommentText"/>
    <w:uiPriority w:val="99"/>
    <w:rsid w:val="006774B9"/>
    <w:rPr>
      <w:sz w:val="20"/>
      <w:szCs w:val="20"/>
      <w:lang w:val="en-GB"/>
    </w:rPr>
  </w:style>
  <w:style w:type="paragraph" w:styleId="CommentSubject">
    <w:name w:val="annotation subject"/>
    <w:basedOn w:val="CommentText"/>
    <w:next w:val="CommentText"/>
    <w:link w:val="CommentSubjectChar"/>
    <w:uiPriority w:val="99"/>
    <w:semiHidden/>
    <w:unhideWhenUsed/>
    <w:rsid w:val="006774B9"/>
    <w:rPr>
      <w:b/>
      <w:bCs/>
    </w:rPr>
  </w:style>
  <w:style w:type="character" w:customStyle="1" w:styleId="CommentSubjectChar">
    <w:name w:val="Comment Subject Char"/>
    <w:basedOn w:val="CommentTextChar"/>
    <w:link w:val="CommentSubject"/>
    <w:uiPriority w:val="99"/>
    <w:semiHidden/>
    <w:rsid w:val="006774B9"/>
    <w:rPr>
      <w:b/>
      <w:bCs/>
      <w:sz w:val="20"/>
      <w:szCs w:val="20"/>
      <w:lang w:val="en-GB"/>
    </w:rPr>
  </w:style>
  <w:style w:type="paragraph" w:styleId="Revision">
    <w:name w:val="Revision"/>
    <w:hidden/>
    <w:uiPriority w:val="99"/>
    <w:semiHidden/>
    <w:rsid w:val="00835E32"/>
    <w:rPr>
      <w:sz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21"/>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List Bullet" w:qFormat="1"/>
    <w:lsdException w:name="List Bullet 2" w:qFormat="1"/>
    <w:lsdException w:name="List Bullet 3" w:qFormat="1"/>
    <w:lsdException w:name="List Bullet 4"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950FC"/>
    <w:rPr>
      <w:sz w:val="20"/>
      <w:lang w:val="en-GB"/>
    </w:rPr>
  </w:style>
  <w:style w:type="paragraph" w:styleId="Heading1">
    <w:name w:val="heading 1"/>
    <w:aliases w:val="h1,consent heading 2,Main Heading,Chapter Heading,Chapter Heading1,Chapter Heading2,Chapter Heading3,Chapter Heading4,Chapter Heading5,Chapter Heading6,Chapter Heading7,Chapter Heading8,Chapter Heading9,Chapter Heading10,Chapter Heading11,g,B1"/>
    <w:basedOn w:val="Normal"/>
    <w:next w:val="Normal"/>
    <w:link w:val="Heading1Char"/>
    <w:autoRedefine/>
    <w:uiPriority w:val="9"/>
    <w:qFormat/>
    <w:rsid w:val="00D92508"/>
    <w:pPr>
      <w:keepNext/>
      <w:keepLines/>
      <w:pageBreakBefore/>
      <w:numPr>
        <w:numId w:val="1"/>
      </w:numPr>
      <w:tabs>
        <w:tab w:val="left" w:pos="1134"/>
      </w:tabs>
      <w:spacing w:after="1080" w:line="192" w:lineRule="auto"/>
      <w:ind w:right="284"/>
      <w:contextualSpacing/>
      <w:outlineLvl w:val="0"/>
    </w:pPr>
    <w:rPr>
      <w:rFonts w:ascii="Calibri" w:eastAsiaTheme="majorEastAsia" w:hAnsi="Calibri" w:cstheme="majorBidi"/>
      <w:bCs/>
      <w:caps/>
      <w:color w:val="000000" w:themeColor="text1"/>
      <w:sz w:val="68"/>
      <w:szCs w:val="68"/>
    </w:rPr>
  </w:style>
  <w:style w:type="paragraph" w:styleId="Heading2">
    <w:name w:val="heading 2"/>
    <w:aliases w:val="h2,Numbered Heading 2,Heading 21,Heading 22,Heading 211,H1,Major Heading,Prod Sheet Heading 2,H2,topic,Heading 2a,Not Kinhill Heading 2,headline,h,2 headline,China2,MAIN HEADING,Heading 2 Char Char,Heading 2 Char Char Char Char,heading 2"/>
    <w:basedOn w:val="Normal"/>
    <w:next w:val="Normal"/>
    <w:link w:val="Heading2Char"/>
    <w:autoRedefine/>
    <w:uiPriority w:val="9"/>
    <w:qFormat/>
    <w:rsid w:val="009861AC"/>
    <w:pPr>
      <w:keepNext/>
      <w:keepLines/>
      <w:numPr>
        <w:ilvl w:val="1"/>
        <w:numId w:val="1"/>
      </w:numPr>
      <w:spacing w:before="320" w:after="240"/>
      <w:contextualSpacing/>
      <w:outlineLvl w:val="1"/>
    </w:pPr>
    <w:rPr>
      <w:rFonts w:ascii="Calibri" w:eastAsiaTheme="majorEastAsia" w:hAnsi="Calibri" w:cstheme="majorBidi"/>
      <w:b/>
      <w:bCs/>
      <w:color w:val="76B900"/>
      <w:sz w:val="30"/>
      <w:szCs w:val="26"/>
    </w:rPr>
  </w:style>
  <w:style w:type="paragraph" w:styleId="Heading3">
    <w:name w:val="heading 3"/>
    <w:aliases w:val="3 bullet,b,2,h3,H3,H31,Level 1 - 1,(Appendix Nbr),Topic Sub Heading,h31,h32,Para3,C Sub-Sub/Italic,h3 sub heading,Head 3,Head 31,Head 32,C Sub-Sub/Italic1,3,Sub2Para,(Alt+3),3m,Minor,sub-sub,31,sub-sub1,32,sub-sub2,33,sub-sub3,34,sub-sub4,h33"/>
    <w:basedOn w:val="Normal"/>
    <w:next w:val="Normal"/>
    <w:link w:val="Heading3Char"/>
    <w:autoRedefine/>
    <w:uiPriority w:val="9"/>
    <w:qFormat/>
    <w:rsid w:val="00DF4E71"/>
    <w:pPr>
      <w:keepNext/>
      <w:keepLines/>
      <w:spacing w:before="240" w:after="120"/>
      <w:contextualSpacing/>
      <w:outlineLvl w:val="2"/>
    </w:pPr>
    <w:rPr>
      <w:rFonts w:ascii="Calibri" w:eastAsiaTheme="majorEastAsia" w:hAnsi="Calibri" w:cstheme="majorBidi"/>
      <w:b/>
      <w:bCs/>
      <w:color w:val="000000" w:themeColor="text1"/>
      <w:sz w:val="24"/>
    </w:rPr>
  </w:style>
  <w:style w:type="paragraph" w:styleId="Heading4">
    <w:name w:val="heading 4"/>
    <w:basedOn w:val="Normal"/>
    <w:next w:val="Normal"/>
    <w:link w:val="Heading4Char"/>
    <w:autoRedefine/>
    <w:uiPriority w:val="9"/>
    <w:unhideWhenUsed/>
    <w:rsid w:val="00B41126"/>
    <w:pPr>
      <w:keepNext/>
      <w:keepLines/>
      <w:spacing w:before="120"/>
      <w:contextualSpacing/>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onsent heading 2 Char,Main Heading Char,Chapter Heading Char,Chapter Heading1 Char,Chapter Heading2 Char,Chapter Heading3 Char,Chapter Heading4 Char,Chapter Heading5 Char,Chapter Heading6 Char,Chapter Heading7 Char,g Char,B1 Char"/>
    <w:basedOn w:val="DefaultParagraphFont"/>
    <w:link w:val="Heading1"/>
    <w:uiPriority w:val="9"/>
    <w:rsid w:val="00D92508"/>
    <w:rPr>
      <w:rFonts w:ascii="Calibri" w:eastAsiaTheme="majorEastAsia" w:hAnsi="Calibri" w:cstheme="majorBidi"/>
      <w:bCs/>
      <w:caps/>
      <w:color w:val="000000" w:themeColor="text1"/>
      <w:sz w:val="68"/>
      <w:szCs w:val="68"/>
      <w:lang w:val="en-GB"/>
    </w:rPr>
  </w:style>
  <w:style w:type="character" w:customStyle="1" w:styleId="Heading2Char">
    <w:name w:val="Heading 2 Char"/>
    <w:aliases w:val="h2 Char,Numbered Heading 2 Char,Heading 21 Char,Heading 22 Char,Heading 211 Char,H1 Char,Major Heading Char,Prod Sheet Heading 2 Char,H2 Char,topic Char,Heading 2a Char,Not Kinhill Heading 2 Char,headline Char,h Char,2 headline Char"/>
    <w:basedOn w:val="DefaultParagraphFont"/>
    <w:link w:val="Heading2"/>
    <w:uiPriority w:val="9"/>
    <w:rsid w:val="009861AC"/>
    <w:rPr>
      <w:rFonts w:ascii="Calibri" w:eastAsiaTheme="majorEastAsia" w:hAnsi="Calibri" w:cstheme="majorBidi"/>
      <w:b/>
      <w:bCs/>
      <w:color w:val="76B900"/>
      <w:sz w:val="30"/>
      <w:szCs w:val="26"/>
      <w:lang w:val="en-GB"/>
    </w:rPr>
  </w:style>
  <w:style w:type="character" w:customStyle="1" w:styleId="Heading3Char">
    <w:name w:val="Heading 3 Char"/>
    <w:aliases w:val="3 bullet Char,b Char,2 Char,h3 Char,H3 Char,H31 Char,Level 1 - 1 Char,(Appendix Nbr) Char,Topic Sub Heading Char,h31 Char,h32 Char,Para3 Char,C Sub-Sub/Italic Char,h3 sub heading Char,Head 3 Char,Head 31 Char,Head 32 Char,3 Char,3m Char"/>
    <w:basedOn w:val="DefaultParagraphFont"/>
    <w:link w:val="Heading3"/>
    <w:uiPriority w:val="9"/>
    <w:rsid w:val="00DF4E71"/>
    <w:rPr>
      <w:rFonts w:ascii="Calibri" w:eastAsiaTheme="majorEastAsia" w:hAnsi="Calibri" w:cstheme="majorBidi"/>
      <w:b/>
      <w:bCs/>
      <w:color w:val="000000" w:themeColor="text1"/>
      <w:sz w:val="24"/>
      <w:lang w:val="en-GB"/>
    </w:rPr>
  </w:style>
  <w:style w:type="character" w:customStyle="1" w:styleId="Heading4Char">
    <w:name w:val="Heading 4 Char"/>
    <w:basedOn w:val="DefaultParagraphFont"/>
    <w:link w:val="Heading4"/>
    <w:uiPriority w:val="9"/>
    <w:rsid w:val="00B41126"/>
    <w:rPr>
      <w:rFonts w:eastAsiaTheme="majorEastAsia" w:cstheme="majorBidi"/>
      <w:b/>
      <w:bCs/>
      <w:iCs/>
      <w:color w:val="000000" w:themeColor="text1"/>
      <w:sz w:val="20"/>
    </w:rPr>
  </w:style>
  <w:style w:type="paragraph" w:styleId="TOC1">
    <w:name w:val="toc 1"/>
    <w:aliases w:val="ToC Section Headings"/>
    <w:autoRedefine/>
    <w:uiPriority w:val="39"/>
    <w:unhideWhenUsed/>
    <w:rsid w:val="00A44AC1"/>
    <w:pPr>
      <w:pBdr>
        <w:bottom w:val="single" w:sz="2" w:space="1" w:color="76B900" w:themeColor="accent2"/>
      </w:pBdr>
      <w:tabs>
        <w:tab w:val="left" w:pos="8193"/>
      </w:tabs>
      <w:spacing w:before="240"/>
      <w:ind w:left="448" w:hanging="448"/>
      <w:contextualSpacing/>
    </w:pPr>
    <w:rPr>
      <w:b/>
      <w:caps/>
      <w:noProof/>
      <w:color w:val="000000" w:themeColor="text1"/>
      <w:sz w:val="20"/>
    </w:rPr>
  </w:style>
  <w:style w:type="paragraph" w:styleId="TOC2">
    <w:name w:val="toc 2"/>
    <w:basedOn w:val="Normal"/>
    <w:next w:val="Normal"/>
    <w:autoRedefine/>
    <w:uiPriority w:val="39"/>
    <w:unhideWhenUsed/>
    <w:rsid w:val="001B2B6D"/>
    <w:pPr>
      <w:pBdr>
        <w:bottom w:val="single" w:sz="2" w:space="1" w:color="76B900"/>
        <w:between w:val="single" w:sz="2" w:space="1" w:color="76B900"/>
        <w:bar w:val="single" w:sz="2" w:color="0097AC" w:themeColor="accent3"/>
      </w:pBdr>
      <w:tabs>
        <w:tab w:val="left" w:pos="8193"/>
      </w:tabs>
      <w:ind w:left="448" w:hanging="448"/>
      <w:contextualSpacing/>
    </w:pPr>
    <w:rPr>
      <w:noProof/>
      <w:color w:val="000000" w:themeColor="text1"/>
    </w:rPr>
  </w:style>
  <w:style w:type="paragraph" w:styleId="TOC3">
    <w:name w:val="toc 3"/>
    <w:basedOn w:val="TOC2"/>
    <w:next w:val="Normal"/>
    <w:autoRedefine/>
    <w:uiPriority w:val="39"/>
    <w:unhideWhenUsed/>
    <w:rsid w:val="006F3E62"/>
    <w:pPr>
      <w:pBdr>
        <w:bottom w:val="single" w:sz="2" w:space="1" w:color="76B900" w:themeColor="accent2"/>
      </w:pBdr>
      <w:ind w:left="892" w:hanging="446"/>
    </w:pPr>
  </w:style>
  <w:style w:type="paragraph" w:styleId="TOC4">
    <w:name w:val="toc 4"/>
    <w:basedOn w:val="Normal"/>
    <w:next w:val="Normal"/>
    <w:autoRedefine/>
    <w:uiPriority w:val="39"/>
    <w:unhideWhenUsed/>
    <w:rsid w:val="00D92508"/>
  </w:style>
  <w:style w:type="paragraph" w:styleId="Footer">
    <w:name w:val="footer"/>
    <w:basedOn w:val="Normal"/>
    <w:link w:val="FooterChar"/>
    <w:autoRedefine/>
    <w:uiPriority w:val="99"/>
    <w:unhideWhenUsed/>
    <w:qFormat/>
    <w:rsid w:val="008950FC"/>
    <w:pPr>
      <w:tabs>
        <w:tab w:val="left" w:pos="6888"/>
        <w:tab w:val="left" w:pos="7200"/>
        <w:tab w:val="right" w:pos="8220"/>
        <w:tab w:val="right" w:pos="8640"/>
      </w:tabs>
      <w:ind w:right="1152"/>
      <w:contextualSpacing/>
      <w:jc w:val="right"/>
    </w:pPr>
    <w:rPr>
      <w:rFonts w:ascii="Calibri" w:hAnsi="Calibri"/>
      <w:noProof/>
      <w:color w:val="404040" w:themeColor="text1" w:themeTint="BF"/>
      <w:sz w:val="16"/>
    </w:rPr>
  </w:style>
  <w:style w:type="character" w:customStyle="1" w:styleId="FooterChar">
    <w:name w:val="Footer Char"/>
    <w:basedOn w:val="DefaultParagraphFont"/>
    <w:link w:val="Footer"/>
    <w:uiPriority w:val="99"/>
    <w:rsid w:val="008950FC"/>
    <w:rPr>
      <w:rFonts w:ascii="Calibri" w:hAnsi="Calibri"/>
      <w:noProof/>
      <w:color w:val="404040" w:themeColor="text1" w:themeTint="BF"/>
      <w:sz w:val="16"/>
      <w:lang w:val="en-GB"/>
    </w:rPr>
  </w:style>
  <w:style w:type="character" w:styleId="FootnoteReference">
    <w:name w:val="footnote reference"/>
    <w:basedOn w:val="DefaultParagraphFont"/>
    <w:uiPriority w:val="99"/>
    <w:unhideWhenUsed/>
    <w:qFormat/>
    <w:rsid w:val="008950FC"/>
    <w:rPr>
      <w:rFonts w:ascii="Calibri" w:hAnsi="Calibri"/>
      <w:color w:val="808080" w:themeColor="background1" w:themeShade="80"/>
      <w:sz w:val="18"/>
      <w:bdr w:val="none" w:sz="0" w:space="0" w:color="auto"/>
      <w:vertAlign w:val="superscript"/>
    </w:rPr>
  </w:style>
  <w:style w:type="paragraph" w:customStyle="1" w:styleId="Bullet1">
    <w:name w:val="Bullet 1"/>
    <w:basedOn w:val="ListParagraph"/>
    <w:link w:val="Bullet1Char"/>
    <w:autoRedefine/>
    <w:qFormat/>
    <w:rsid w:val="00C43630"/>
    <w:pPr>
      <w:ind w:left="0"/>
    </w:pPr>
  </w:style>
  <w:style w:type="paragraph" w:customStyle="1" w:styleId="Bullet2">
    <w:name w:val="Bullet 2"/>
    <w:basedOn w:val="ListParagraph"/>
    <w:link w:val="Bullet2Char"/>
    <w:autoRedefine/>
    <w:qFormat/>
    <w:rsid w:val="008950FC"/>
    <w:pPr>
      <w:numPr>
        <w:numId w:val="3"/>
      </w:numPr>
      <w:ind w:left="432" w:hanging="216"/>
    </w:pPr>
  </w:style>
  <w:style w:type="character" w:customStyle="1" w:styleId="ListParagraphChar">
    <w:name w:val="List Paragraph Char"/>
    <w:basedOn w:val="DefaultParagraphFont"/>
    <w:link w:val="ListParagraph"/>
    <w:uiPriority w:val="34"/>
    <w:rsid w:val="00D637A9"/>
  </w:style>
  <w:style w:type="character" w:customStyle="1" w:styleId="Bullet1Char">
    <w:name w:val="Bullet 1 Char"/>
    <w:basedOn w:val="ListParagraphChar"/>
    <w:link w:val="Bullet1"/>
    <w:rsid w:val="00C43630"/>
    <w:rPr>
      <w:sz w:val="20"/>
      <w:lang w:val="en-GB"/>
    </w:rPr>
  </w:style>
  <w:style w:type="paragraph" w:styleId="Title">
    <w:name w:val="Title"/>
    <w:aliases w:val="DO NOT USE Title"/>
    <w:next w:val="Normal"/>
    <w:link w:val="TitleChar"/>
    <w:autoRedefine/>
    <w:uiPriority w:val="10"/>
    <w:rsid w:val="009C3B43"/>
    <w:pPr>
      <w:spacing w:line="216" w:lineRule="auto"/>
      <w:ind w:right="1985"/>
    </w:pPr>
    <w:rPr>
      <w:rFonts w:ascii="Calibri" w:eastAsiaTheme="majorEastAsia" w:hAnsi="Calibri" w:cstheme="majorBidi"/>
      <w:noProof/>
      <w:color w:val="92D050"/>
      <w:spacing w:val="5"/>
      <w:kern w:val="28"/>
      <w:sz w:val="48"/>
      <w:szCs w:val="48"/>
      <w:lang w:val="en-AU" w:eastAsia="en-AU"/>
    </w:rPr>
  </w:style>
  <w:style w:type="character" w:customStyle="1" w:styleId="TitleChar">
    <w:name w:val="Title Char"/>
    <w:aliases w:val="DO NOT USE Title Char"/>
    <w:basedOn w:val="DefaultParagraphFont"/>
    <w:link w:val="Title"/>
    <w:uiPriority w:val="10"/>
    <w:rsid w:val="009C3B43"/>
    <w:rPr>
      <w:rFonts w:ascii="Calibri" w:eastAsiaTheme="majorEastAsia" w:hAnsi="Calibri" w:cstheme="majorBidi"/>
      <w:noProof/>
      <w:color w:val="92D050"/>
      <w:spacing w:val="5"/>
      <w:kern w:val="28"/>
      <w:sz w:val="48"/>
      <w:szCs w:val="48"/>
      <w:lang w:val="en-AU" w:eastAsia="en-AU"/>
    </w:rPr>
  </w:style>
  <w:style w:type="character" w:styleId="Hyperlink">
    <w:name w:val="Hyperlink"/>
    <w:aliases w:val="DO NOT USE Hyperlink"/>
    <w:uiPriority w:val="99"/>
    <w:unhideWhenUsed/>
    <w:rsid w:val="00006852"/>
    <w:rPr>
      <w:rFonts w:asciiTheme="minorHAnsi" w:hAnsiTheme="minorHAnsi"/>
      <w:color w:val="92D050"/>
      <w:sz w:val="17"/>
      <w:u w:val="none"/>
    </w:rPr>
  </w:style>
  <w:style w:type="paragraph" w:styleId="TOCHeading">
    <w:name w:val="TOC Heading"/>
    <w:basedOn w:val="Heading1"/>
    <w:next w:val="Normal"/>
    <w:link w:val="TOCHeadingChar"/>
    <w:autoRedefine/>
    <w:uiPriority w:val="39"/>
    <w:unhideWhenUsed/>
    <w:rsid w:val="008950FC"/>
    <w:pPr>
      <w:numPr>
        <w:numId w:val="0"/>
      </w:numPr>
      <w:spacing w:before="600" w:line="360" w:lineRule="auto"/>
      <w:ind w:right="-1134"/>
      <w:outlineLvl w:val="9"/>
    </w:pPr>
    <w:rPr>
      <w:rFonts w:asciiTheme="minorHAnsi" w:hAnsiTheme="minorHAnsi"/>
      <w:noProof/>
      <w:color w:val="8DC63F"/>
      <w:kern w:val="0"/>
      <w:sz w:val="30"/>
      <w:szCs w:val="30"/>
      <w:lang w:eastAsia="en-US"/>
    </w:rPr>
  </w:style>
  <w:style w:type="paragraph" w:customStyle="1" w:styleId="Figureheading">
    <w:name w:val="Figure heading"/>
    <w:basedOn w:val="Normal"/>
    <w:next w:val="Normal"/>
    <w:link w:val="FigureheadingChar"/>
    <w:autoRedefine/>
    <w:rsid w:val="00B478FC"/>
    <w:pPr>
      <w:framePr w:hSpace="180" w:wrap="around" w:vAnchor="text" w:hAnchor="page" w:x="1217" w:y="11"/>
      <w:numPr>
        <w:numId w:val="2"/>
      </w:numPr>
      <w:spacing w:after="240"/>
    </w:pPr>
    <w:rPr>
      <w:rFonts w:ascii="Calibri" w:eastAsiaTheme="majorEastAsia" w:hAnsi="Calibri" w:cs="Times New Roman"/>
      <w:caps/>
      <w:color w:val="000000" w:themeColor="text1"/>
      <w:spacing w:val="20"/>
      <w:kern w:val="0"/>
      <w:szCs w:val="20"/>
      <w:lang w:eastAsia="en-US"/>
    </w:rPr>
  </w:style>
  <w:style w:type="character" w:customStyle="1" w:styleId="FigureheadingChar">
    <w:name w:val="Figure heading Char"/>
    <w:basedOn w:val="DefaultParagraphFont"/>
    <w:link w:val="Figureheading"/>
    <w:rsid w:val="00B478FC"/>
    <w:rPr>
      <w:rFonts w:ascii="Calibri" w:eastAsiaTheme="majorEastAsia" w:hAnsi="Calibri" w:cs="Times New Roman"/>
      <w:caps/>
      <w:color w:val="000000" w:themeColor="text1"/>
      <w:spacing w:val="20"/>
      <w:kern w:val="0"/>
      <w:sz w:val="20"/>
      <w:szCs w:val="20"/>
      <w:lang w:val="en-GB" w:eastAsia="en-US"/>
    </w:rPr>
  </w:style>
  <w:style w:type="paragraph" w:customStyle="1" w:styleId="Tablecolumnheading">
    <w:name w:val="Table column heading"/>
    <w:basedOn w:val="Normal"/>
    <w:autoRedefine/>
    <w:qFormat/>
    <w:rsid w:val="00C85557"/>
    <w:pPr>
      <w:keepNext/>
      <w:keepLines/>
      <w:spacing w:before="40" w:after="120"/>
    </w:pPr>
    <w:rPr>
      <w:rFonts w:cs="DINPro-Bold"/>
      <w:b/>
      <w:bCs/>
      <w:color w:val="000000" w:themeColor="text1"/>
      <w:kern w:val="0"/>
      <w:sz w:val="16"/>
      <w:szCs w:val="16"/>
      <w:lang w:val="en-AU"/>
    </w:rPr>
  </w:style>
  <w:style w:type="paragraph" w:customStyle="1" w:styleId="Tabletext">
    <w:name w:val="Table text"/>
    <w:basedOn w:val="Normal"/>
    <w:autoRedefine/>
    <w:rsid w:val="00C70B2C"/>
    <w:pPr>
      <w:keepNext/>
      <w:keepLines/>
      <w:tabs>
        <w:tab w:val="left" w:pos="284"/>
      </w:tabs>
      <w:spacing w:before="40"/>
      <w:ind w:left="720"/>
      <w:jc w:val="center"/>
    </w:pPr>
    <w:rPr>
      <w:rFonts w:ascii="Calibri" w:hAnsi="Calibri" w:cs="DINPro-Light"/>
      <w:color w:val="000000" w:themeColor="text1"/>
      <w:kern w:val="0"/>
      <w:sz w:val="16"/>
      <w:szCs w:val="18"/>
      <w:lang w:val="en-AU"/>
    </w:rPr>
  </w:style>
  <w:style w:type="paragraph" w:customStyle="1" w:styleId="TableName">
    <w:name w:val="Table Name"/>
    <w:basedOn w:val="Normal"/>
    <w:autoRedefine/>
    <w:rsid w:val="00B478FC"/>
    <w:pPr>
      <w:framePr w:w="9656" w:hSpace="181" w:vSpace="181" w:wrap="around" w:vAnchor="text" w:hAnchor="text" w:x="1136" w:y="244"/>
      <w:spacing w:after="120"/>
      <w:ind w:right="-2"/>
    </w:pPr>
    <w:rPr>
      <w:rFonts w:cs="DINPro-Bold"/>
      <w:b/>
      <w:bCs/>
      <w:caps/>
      <w:color w:val="000000" w:themeColor="text1"/>
      <w:kern w:val="0"/>
      <w:sz w:val="15"/>
      <w:szCs w:val="15"/>
      <w:lang w:val="en-AU"/>
    </w:rPr>
  </w:style>
  <w:style w:type="table" w:styleId="TableGrid">
    <w:name w:val="Table Grid"/>
    <w:aliases w:val="SGS Numeric Table,GTA"/>
    <w:basedOn w:val="TableNormal"/>
    <w:uiPriority w:val="59"/>
    <w:rsid w:val="007819D5"/>
    <w:tblPr>
      <w:tblInd w:w="0" w:type="dxa"/>
      <w:tblCellMar>
        <w:top w:w="0" w:type="dxa"/>
        <w:left w:w="108" w:type="dxa"/>
        <w:bottom w:w="0" w:type="dxa"/>
        <w:right w:w="108" w:type="dxa"/>
      </w:tblCellMar>
    </w:tblPr>
  </w:style>
  <w:style w:type="paragraph" w:customStyle="1" w:styleId="Breakouttext">
    <w:name w:val="Breakout text"/>
    <w:basedOn w:val="Normal"/>
    <w:autoRedefine/>
    <w:qFormat/>
    <w:rsid w:val="00813BD7"/>
    <w:pPr>
      <w:pBdr>
        <w:bottom w:val="single" w:sz="4" w:space="6" w:color="76B900"/>
      </w:pBdr>
      <w:contextualSpacing/>
    </w:pPr>
  </w:style>
  <w:style w:type="character" w:customStyle="1" w:styleId="IntroParagraph">
    <w:name w:val="Intro Paragraph"/>
    <w:rsid w:val="00B478FC"/>
    <w:rPr>
      <w:b/>
      <w:bCs/>
    </w:rPr>
  </w:style>
  <w:style w:type="paragraph" w:customStyle="1" w:styleId="ReportVersion">
    <w:name w:val="Report Version"/>
    <w:basedOn w:val="Normal"/>
    <w:autoRedefine/>
    <w:rsid w:val="00B478FC"/>
    <w:pPr>
      <w:ind w:right="4536"/>
      <w:contextualSpacing/>
    </w:pPr>
    <w:rPr>
      <w:rFonts w:ascii="Calibri" w:hAnsi="Calibri"/>
      <w:b/>
      <w:color w:val="000000" w:themeColor="text1"/>
      <w:sz w:val="30"/>
    </w:rPr>
  </w:style>
  <w:style w:type="paragraph" w:customStyle="1" w:styleId="Tablesource">
    <w:name w:val="Table source"/>
    <w:basedOn w:val="Normal"/>
    <w:autoRedefine/>
    <w:qFormat/>
    <w:rsid w:val="007C30F7"/>
    <w:pPr>
      <w:keepNext/>
      <w:keepLines/>
      <w:contextualSpacing/>
    </w:pPr>
    <w:rPr>
      <w:color w:val="A6A6A6" w:themeColor="background1" w:themeShade="A6"/>
      <w:sz w:val="14"/>
      <w:szCs w:val="14"/>
    </w:rPr>
  </w:style>
  <w:style w:type="paragraph" w:customStyle="1" w:styleId="Breakoutheading">
    <w:name w:val="Breakout heading"/>
    <w:basedOn w:val="Heading3"/>
    <w:autoRedefine/>
    <w:qFormat/>
    <w:rsid w:val="00813BD7"/>
    <w:pPr>
      <w:pBdr>
        <w:top w:val="single" w:sz="4" w:space="3" w:color="76B900"/>
      </w:pBdr>
      <w:outlineLvl w:val="9"/>
    </w:pPr>
  </w:style>
  <w:style w:type="paragraph" w:customStyle="1" w:styleId="Website">
    <w:name w:val="Website"/>
    <w:basedOn w:val="Normal"/>
    <w:autoRedefine/>
    <w:rsid w:val="00B478FC"/>
    <w:pPr>
      <w:tabs>
        <w:tab w:val="left" w:pos="14034"/>
      </w:tabs>
      <w:ind w:left="6033"/>
      <w:contextualSpacing/>
    </w:pPr>
    <w:rPr>
      <w:rFonts w:ascii="Calibri" w:hAnsi="Calibri" w:cs="Calibri"/>
      <w:noProof/>
      <w:color w:val="8DC63F"/>
      <w:szCs w:val="18"/>
    </w:rPr>
  </w:style>
  <w:style w:type="paragraph" w:customStyle="1" w:styleId="ESHeading1">
    <w:name w:val="E.S. Heading 1"/>
    <w:basedOn w:val="Heading1"/>
    <w:next w:val="Normal"/>
    <w:autoRedefine/>
    <w:qFormat/>
    <w:rsid w:val="00426FF5"/>
    <w:pPr>
      <w:keepLines w:val="0"/>
      <w:numPr>
        <w:numId w:val="0"/>
      </w:numPr>
    </w:pPr>
  </w:style>
  <w:style w:type="paragraph" w:customStyle="1" w:styleId="ESHeading2">
    <w:name w:val="E.S. Heading 2"/>
    <w:basedOn w:val="Heading2"/>
    <w:next w:val="Normal"/>
    <w:link w:val="ESHeading2Char"/>
    <w:autoRedefine/>
    <w:qFormat/>
    <w:rsid w:val="00813BD7"/>
    <w:pPr>
      <w:keepNext w:val="0"/>
      <w:keepLines w:val="0"/>
      <w:numPr>
        <w:ilvl w:val="0"/>
        <w:numId w:val="0"/>
      </w:numPr>
      <w:ind w:left="1077" w:hanging="1077"/>
    </w:pPr>
  </w:style>
  <w:style w:type="paragraph" w:customStyle="1" w:styleId="ClientMonthYear">
    <w:name w:val="Client Month Year"/>
    <w:basedOn w:val="Normal"/>
    <w:link w:val="ClientMonthYearChar"/>
    <w:autoRedefine/>
    <w:rsid w:val="00F14E12"/>
    <w:pPr>
      <w:ind w:right="4536"/>
      <w:contextualSpacing/>
    </w:pPr>
    <w:rPr>
      <w:rFonts w:ascii="Calibri" w:hAnsi="Calibri"/>
      <w:color w:val="7F7F7F" w:themeColor="text1" w:themeTint="80"/>
      <w:sz w:val="24"/>
    </w:rPr>
  </w:style>
  <w:style w:type="paragraph" w:customStyle="1" w:styleId="Disclaimer">
    <w:name w:val="Disclaimer"/>
    <w:basedOn w:val="Normal"/>
    <w:autoRedefine/>
    <w:rsid w:val="008950FC"/>
    <w:pPr>
      <w:widowControl w:val="0"/>
      <w:tabs>
        <w:tab w:val="left" w:pos="14034"/>
      </w:tabs>
      <w:ind w:left="3261"/>
      <w:contextualSpacing/>
    </w:pPr>
    <w:rPr>
      <w:rFonts w:ascii="Calibri" w:hAnsi="Calibri" w:cs="Calibri"/>
      <w:noProof/>
      <w:color w:val="8DC63F"/>
      <w:sz w:val="18"/>
      <w:szCs w:val="18"/>
    </w:rPr>
  </w:style>
  <w:style w:type="paragraph" w:styleId="BalloonText">
    <w:name w:val="Balloon Text"/>
    <w:basedOn w:val="Normal"/>
    <w:link w:val="BalloonTextChar"/>
    <w:uiPriority w:val="99"/>
    <w:semiHidden/>
    <w:unhideWhenUsed/>
    <w:rsid w:val="00F14E12"/>
    <w:rPr>
      <w:rFonts w:ascii="Tahoma" w:hAnsi="Tahoma" w:cs="Tahoma"/>
      <w:sz w:val="16"/>
      <w:szCs w:val="16"/>
    </w:rPr>
  </w:style>
  <w:style w:type="character" w:customStyle="1" w:styleId="BalloonTextChar">
    <w:name w:val="Balloon Text Char"/>
    <w:basedOn w:val="DefaultParagraphFont"/>
    <w:link w:val="BalloonText"/>
    <w:uiPriority w:val="99"/>
    <w:semiHidden/>
    <w:rsid w:val="00F14E12"/>
    <w:rPr>
      <w:rFonts w:ascii="Tahoma" w:hAnsi="Tahoma" w:cs="Tahoma"/>
      <w:sz w:val="16"/>
      <w:szCs w:val="16"/>
    </w:rPr>
  </w:style>
  <w:style w:type="paragraph" w:styleId="Header">
    <w:name w:val="header"/>
    <w:basedOn w:val="Normal"/>
    <w:link w:val="HeaderChar"/>
    <w:uiPriority w:val="99"/>
    <w:unhideWhenUsed/>
    <w:rsid w:val="007A3A88"/>
    <w:pPr>
      <w:tabs>
        <w:tab w:val="center" w:pos="4513"/>
        <w:tab w:val="right" w:pos="9026"/>
      </w:tabs>
    </w:pPr>
  </w:style>
  <w:style w:type="character" w:customStyle="1" w:styleId="HeaderChar">
    <w:name w:val="Header Char"/>
    <w:basedOn w:val="DefaultParagraphFont"/>
    <w:link w:val="Header"/>
    <w:uiPriority w:val="99"/>
    <w:rsid w:val="007A3A88"/>
  </w:style>
  <w:style w:type="paragraph" w:customStyle="1" w:styleId="PageNo">
    <w:name w:val="Page No."/>
    <w:basedOn w:val="Normal"/>
    <w:autoRedefine/>
    <w:rsid w:val="00DE59D2"/>
    <w:pPr>
      <w:widowControl w:val="0"/>
      <w:tabs>
        <w:tab w:val="right" w:pos="10632"/>
      </w:tabs>
      <w:ind w:right="1152"/>
      <w:contextualSpacing/>
      <w:jc w:val="right"/>
    </w:pPr>
    <w:rPr>
      <w:rFonts w:ascii="Calibri" w:hAnsi="Calibri"/>
      <w:noProof/>
      <w:color w:val="404040" w:themeColor="text1" w:themeTint="BF"/>
      <w:sz w:val="14"/>
    </w:rPr>
  </w:style>
  <w:style w:type="paragraph" w:styleId="Caption">
    <w:name w:val="caption"/>
    <w:aliases w:val="Table heading,Char Char Char,Char Char, Char,Char"/>
    <w:basedOn w:val="Normal"/>
    <w:next w:val="Normal"/>
    <w:link w:val="CaptionChar"/>
    <w:uiPriority w:val="35"/>
    <w:unhideWhenUsed/>
    <w:qFormat/>
    <w:rsid w:val="00AF58F7"/>
    <w:pPr>
      <w:spacing w:before="240" w:after="60"/>
      <w:ind w:left="1049" w:hanging="1049"/>
    </w:pPr>
    <w:rPr>
      <w:rFonts w:ascii="Calibri" w:hAnsi="Calibri"/>
      <w:bCs/>
      <w:caps/>
      <w:spacing w:val="20"/>
      <w:szCs w:val="18"/>
    </w:rPr>
  </w:style>
  <w:style w:type="paragraph" w:customStyle="1" w:styleId="TableSource0">
    <w:name w:val="Table Source"/>
    <w:basedOn w:val="Normal"/>
    <w:autoRedefine/>
    <w:qFormat/>
    <w:rsid w:val="0042602C"/>
    <w:pPr>
      <w:keepNext/>
      <w:keepLines/>
      <w:contextualSpacing/>
    </w:pPr>
    <w:rPr>
      <w:color w:val="A6A6A6" w:themeColor="background1" w:themeShade="A6"/>
      <w:sz w:val="14"/>
      <w:szCs w:val="14"/>
    </w:rPr>
  </w:style>
  <w:style w:type="paragraph" w:styleId="FootnoteText">
    <w:name w:val="footnote text"/>
    <w:basedOn w:val="Normal"/>
    <w:link w:val="FootnoteTextChar"/>
    <w:autoRedefine/>
    <w:uiPriority w:val="99"/>
    <w:unhideWhenUsed/>
    <w:rsid w:val="009F1656"/>
    <w:pPr>
      <w:pBdr>
        <w:top w:val="single" w:sz="4" w:space="1" w:color="76B900" w:themeColor="accent2"/>
      </w:pBdr>
      <w:ind w:left="144" w:hanging="144"/>
    </w:pPr>
    <w:rPr>
      <w:color w:val="808080" w:themeColor="background1" w:themeShade="80"/>
      <w:sz w:val="16"/>
      <w:szCs w:val="20"/>
    </w:rPr>
  </w:style>
  <w:style w:type="character" w:customStyle="1" w:styleId="FootnoteTextChar">
    <w:name w:val="Footnote Text Char"/>
    <w:basedOn w:val="DefaultParagraphFont"/>
    <w:link w:val="FootnoteText"/>
    <w:uiPriority w:val="99"/>
    <w:rsid w:val="009F1656"/>
    <w:rPr>
      <w:color w:val="808080" w:themeColor="background1" w:themeShade="80"/>
      <w:sz w:val="16"/>
      <w:szCs w:val="20"/>
      <w:lang w:val="en-GB"/>
    </w:rPr>
  </w:style>
  <w:style w:type="paragraph" w:customStyle="1" w:styleId="Contactus">
    <w:name w:val="Contact us"/>
    <w:basedOn w:val="Normal"/>
    <w:autoRedefine/>
    <w:rsid w:val="0073703E"/>
    <w:pPr>
      <w:autoSpaceDE w:val="0"/>
      <w:autoSpaceDN w:val="0"/>
      <w:adjustRightInd w:val="0"/>
      <w:spacing w:after="160"/>
    </w:pPr>
    <w:rPr>
      <w:rFonts w:ascii="Calibri" w:hAnsi="Calibri" w:cs="Calibri-Bold"/>
      <w:b/>
      <w:bCs/>
      <w:color w:val="000000"/>
      <w:kern w:val="0"/>
      <w:sz w:val="42"/>
      <w:szCs w:val="42"/>
      <w:lang w:val="en-AU"/>
    </w:rPr>
  </w:style>
  <w:style w:type="paragraph" w:customStyle="1" w:styleId="StateOffice">
    <w:name w:val="State Office"/>
    <w:basedOn w:val="Normal"/>
    <w:autoRedefine/>
    <w:rsid w:val="0073703E"/>
    <w:pPr>
      <w:autoSpaceDE w:val="0"/>
      <w:autoSpaceDN w:val="0"/>
      <w:adjustRightInd w:val="0"/>
      <w:spacing w:after="60"/>
    </w:pPr>
    <w:rPr>
      <w:rFonts w:ascii="Calibri" w:hAnsi="Calibri" w:cs="Calibri-Bold"/>
      <w:b/>
      <w:bCs/>
      <w:caps/>
      <w:color w:val="8DC73F"/>
      <w:kern w:val="0"/>
      <w:szCs w:val="18"/>
      <w:lang w:val="en-AU"/>
    </w:rPr>
  </w:style>
  <w:style w:type="paragraph" w:customStyle="1" w:styleId="ContactAddress">
    <w:name w:val="Contact Address"/>
    <w:basedOn w:val="Normal"/>
    <w:autoRedefine/>
    <w:rsid w:val="0073703E"/>
    <w:pPr>
      <w:autoSpaceDE w:val="0"/>
      <w:autoSpaceDN w:val="0"/>
      <w:adjustRightInd w:val="0"/>
      <w:spacing w:after="60"/>
    </w:pPr>
    <w:rPr>
      <w:rFonts w:ascii="Calibri" w:hAnsi="Calibri" w:cs="Calibri"/>
      <w:color w:val="000000"/>
      <w:kern w:val="0"/>
      <w:szCs w:val="18"/>
      <w:lang w:val="en-AU"/>
    </w:rPr>
  </w:style>
  <w:style w:type="paragraph" w:customStyle="1" w:styleId="ContactDetails">
    <w:name w:val="Contact Details"/>
    <w:basedOn w:val="Normal"/>
    <w:autoRedefine/>
    <w:rsid w:val="0073703E"/>
    <w:pPr>
      <w:autoSpaceDE w:val="0"/>
      <w:autoSpaceDN w:val="0"/>
      <w:adjustRightInd w:val="0"/>
      <w:spacing w:after="240"/>
    </w:pPr>
    <w:rPr>
      <w:rFonts w:ascii="Calibri" w:hAnsi="Calibri" w:cs="Calibri"/>
      <w:color w:val="000000"/>
      <w:kern w:val="0"/>
      <w:szCs w:val="18"/>
      <w:lang w:val="en-AU"/>
    </w:rPr>
  </w:style>
  <w:style w:type="paragraph" w:customStyle="1" w:styleId="DONOTUSEClientName">
    <w:name w:val="DO NOT USE Client Name"/>
    <w:basedOn w:val="ClientMonthYear"/>
    <w:link w:val="ClientNameChar"/>
    <w:rsid w:val="00622149"/>
  </w:style>
  <w:style w:type="table" w:styleId="MediumList2-Accent1">
    <w:name w:val="Medium List 2 Accent 1"/>
    <w:basedOn w:val="TableNormal"/>
    <w:uiPriority w:val="66"/>
    <w:rsid w:val="0006688B"/>
    <w:rPr>
      <w:rFonts w:asciiTheme="majorHAnsi" w:eastAsiaTheme="majorEastAsia" w:hAnsiTheme="majorHAnsi" w:cstheme="majorBidi"/>
      <w:color w:val="000000" w:themeColor="text1"/>
      <w:kern w:val="0"/>
      <w:sz w:val="22"/>
      <w:szCs w:val="22"/>
      <w:lang w:eastAsia="en-US" w:bidi="en-US"/>
    </w:rPr>
    <w:tblPr>
      <w:tblStyleRowBandSize w:val="1"/>
      <w:tblStyleColBandSize w:val="1"/>
      <w:tblInd w:w="0" w:type="dxa"/>
      <w:tblBorders>
        <w:top w:val="single" w:sz="8" w:space="0" w:color="E1D100" w:themeColor="accent1"/>
        <w:left w:val="single" w:sz="8" w:space="0" w:color="E1D100" w:themeColor="accent1"/>
        <w:bottom w:val="single" w:sz="8" w:space="0" w:color="E1D100" w:themeColor="accent1"/>
        <w:right w:val="single" w:sz="8" w:space="0" w:color="E1D10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E1D100" w:themeColor="accent1"/>
          <w:right w:val="nil"/>
          <w:insideH w:val="nil"/>
          <w:insideV w:val="nil"/>
        </w:tcBorders>
        <w:shd w:val="clear" w:color="auto" w:fill="FFFFFF" w:themeFill="background1"/>
      </w:tcPr>
    </w:tblStylePr>
    <w:tblStylePr w:type="lastRow">
      <w:tblPr/>
      <w:tcPr>
        <w:tcBorders>
          <w:top w:val="single" w:sz="8" w:space="0" w:color="E1D1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D100" w:themeColor="accent1"/>
          <w:insideH w:val="nil"/>
          <w:insideV w:val="nil"/>
        </w:tcBorders>
        <w:shd w:val="clear" w:color="auto" w:fill="FFFFFF" w:themeFill="background1"/>
      </w:tcPr>
    </w:tblStylePr>
    <w:tblStylePr w:type="lastCol">
      <w:tblPr/>
      <w:tcPr>
        <w:tcBorders>
          <w:top w:val="nil"/>
          <w:left w:val="single" w:sz="8" w:space="0" w:color="E1D1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B8" w:themeFill="accent1" w:themeFillTint="3F"/>
      </w:tcPr>
    </w:tblStylePr>
    <w:tblStylePr w:type="band1Horz">
      <w:tblPr/>
      <w:tcPr>
        <w:tcBorders>
          <w:top w:val="nil"/>
          <w:bottom w:val="nil"/>
          <w:insideH w:val="nil"/>
          <w:insideV w:val="nil"/>
        </w:tcBorders>
        <w:shd w:val="clear" w:color="auto" w:fill="FFF9B8"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lientMonthYearChar">
    <w:name w:val="Client Month Year Char"/>
    <w:basedOn w:val="DefaultParagraphFont"/>
    <w:link w:val="ClientMonthYear"/>
    <w:rsid w:val="00622149"/>
    <w:rPr>
      <w:rFonts w:ascii="Calibri" w:hAnsi="Calibri"/>
      <w:color w:val="7F7F7F" w:themeColor="text1" w:themeTint="80"/>
      <w:sz w:val="24"/>
    </w:rPr>
  </w:style>
  <w:style w:type="character" w:customStyle="1" w:styleId="ClientNameChar">
    <w:name w:val="Client Name Char"/>
    <w:basedOn w:val="ClientMonthYearChar"/>
    <w:link w:val="DONOTUSEClientName"/>
    <w:rsid w:val="00622149"/>
    <w:rPr>
      <w:rFonts w:ascii="Calibri" w:hAnsi="Calibri"/>
      <w:color w:val="7F7F7F" w:themeColor="text1" w:themeTint="80"/>
      <w:sz w:val="24"/>
    </w:rPr>
  </w:style>
  <w:style w:type="table" w:customStyle="1" w:styleId="TableGrid1">
    <w:name w:val="Table Grid1"/>
    <w:basedOn w:val="TableNormal"/>
    <w:next w:val="TableNormal"/>
    <w:uiPriority w:val="59"/>
    <w:rsid w:val="00B6347F"/>
    <w:rPr>
      <w:rFonts w:eastAsiaTheme="minorHAnsi"/>
      <w:kern w:val="0"/>
      <w:sz w:val="22"/>
      <w:szCs w:val="22"/>
      <w:lang w:val="en-GB" w:eastAsia="en-US"/>
    </w:rPr>
    <w:tblPr>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insideH w:val="single" w:sz="4" w:space="0" w:color="76B900" w:themeColor="accent2"/>
        <w:insideV w:val="single" w:sz="4" w:space="0" w:color="76B900" w:themeColor="accent2"/>
      </w:tblBorders>
      <w:tblCellMar>
        <w:top w:w="0" w:type="dxa"/>
        <w:left w:w="108" w:type="dxa"/>
        <w:bottom w:w="0" w:type="dxa"/>
        <w:right w:w="108" w:type="dxa"/>
      </w:tblCellMar>
    </w:tblPr>
    <w:tcPr>
      <w:shd w:val="clear" w:color="auto" w:fill="auto"/>
      <w:tcMar>
        <w:left w:w="0" w:type="dxa"/>
      </w:tcMar>
    </w:tcPr>
  </w:style>
  <w:style w:type="paragraph" w:styleId="ListParagraph">
    <w:name w:val="List Paragraph"/>
    <w:basedOn w:val="Normal"/>
    <w:link w:val="ListParagraphChar"/>
    <w:uiPriority w:val="34"/>
    <w:qFormat/>
    <w:rsid w:val="008237B3"/>
    <w:pPr>
      <w:ind w:left="720"/>
      <w:contextualSpacing/>
    </w:pPr>
  </w:style>
  <w:style w:type="paragraph" w:customStyle="1" w:styleId="CoverTitle2">
    <w:name w:val="Cover Title 2"/>
    <w:basedOn w:val="Title"/>
    <w:link w:val="CoverTitle2Char"/>
    <w:rsid w:val="00813BD7"/>
    <w:rPr>
      <w:b/>
      <w:color w:val="76B900"/>
    </w:rPr>
  </w:style>
  <w:style w:type="character" w:customStyle="1" w:styleId="CoverTitle2Char">
    <w:name w:val="Cover Title 2 Char"/>
    <w:basedOn w:val="TitleChar"/>
    <w:link w:val="CoverTitle2"/>
    <w:rsid w:val="00813BD7"/>
    <w:rPr>
      <w:rFonts w:ascii="Calibri" w:eastAsiaTheme="majorEastAsia" w:hAnsi="Calibri" w:cstheme="majorBidi"/>
      <w:b/>
      <w:noProof/>
      <w:color w:val="76B900"/>
      <w:spacing w:val="5"/>
      <w:kern w:val="28"/>
      <w:sz w:val="48"/>
      <w:szCs w:val="48"/>
      <w:lang w:val="en-AU" w:eastAsia="en-AU"/>
    </w:rPr>
  </w:style>
  <w:style w:type="paragraph" w:customStyle="1" w:styleId="Bullet3">
    <w:name w:val="Bullet 3"/>
    <w:basedOn w:val="ListParagraph"/>
    <w:link w:val="Bullet3Char"/>
    <w:autoRedefine/>
    <w:qFormat/>
    <w:rsid w:val="008950FC"/>
    <w:pPr>
      <w:numPr>
        <w:numId w:val="4"/>
      </w:numPr>
      <w:ind w:left="648" w:hanging="216"/>
    </w:pPr>
  </w:style>
  <w:style w:type="character" w:customStyle="1" w:styleId="Bullet2Char">
    <w:name w:val="Bullet 2 Char"/>
    <w:basedOn w:val="ListParagraphChar"/>
    <w:link w:val="Bullet2"/>
    <w:rsid w:val="008950FC"/>
    <w:rPr>
      <w:sz w:val="20"/>
      <w:lang w:val="en-GB"/>
    </w:rPr>
  </w:style>
  <w:style w:type="character" w:customStyle="1" w:styleId="Bullet3Char">
    <w:name w:val="Bullet 3 Char"/>
    <w:basedOn w:val="ListParagraphChar"/>
    <w:link w:val="Bullet3"/>
    <w:rsid w:val="008950FC"/>
    <w:rPr>
      <w:sz w:val="20"/>
      <w:lang w:val="en-GB"/>
    </w:rPr>
  </w:style>
  <w:style w:type="table" w:customStyle="1" w:styleId="GTA2">
    <w:name w:val="GTA2"/>
    <w:basedOn w:val="TableNormal"/>
    <w:next w:val="TableNormal"/>
    <w:uiPriority w:val="59"/>
    <w:rsid w:val="00DC6824"/>
    <w:rPr>
      <w:rFonts w:ascii="Times" w:eastAsia="Times" w:hAnsi="Times" w:cs="Times New Roman"/>
      <w:kern w:val="0"/>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TA3">
    <w:name w:val="GTA3"/>
    <w:basedOn w:val="TableNormal"/>
    <w:next w:val="TableNormal"/>
    <w:uiPriority w:val="59"/>
    <w:rsid w:val="00DC6824"/>
    <w:rPr>
      <w:rFonts w:ascii="Times" w:eastAsia="Times" w:hAnsi="Times" w:cs="Times New Roman"/>
      <w:kern w:val="0"/>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91697E"/>
    <w:rPr>
      <w:rFonts w:ascii="Tahoma" w:hAnsi="Tahoma" w:cs="Tahoma"/>
      <w:sz w:val="16"/>
      <w:szCs w:val="16"/>
    </w:rPr>
  </w:style>
  <w:style w:type="character" w:customStyle="1" w:styleId="DocumentMapChar">
    <w:name w:val="Document Map Char"/>
    <w:basedOn w:val="DefaultParagraphFont"/>
    <w:link w:val="DocumentMap"/>
    <w:uiPriority w:val="99"/>
    <w:semiHidden/>
    <w:rsid w:val="0091697E"/>
    <w:rPr>
      <w:rFonts w:ascii="Tahoma" w:hAnsi="Tahoma" w:cs="Tahoma"/>
      <w:sz w:val="16"/>
      <w:szCs w:val="16"/>
      <w:lang w:val="en-GB"/>
    </w:rPr>
  </w:style>
  <w:style w:type="character" w:customStyle="1" w:styleId="ESHeading2Char">
    <w:name w:val="E.S. Heading 2 Char"/>
    <w:basedOn w:val="Heading2Char"/>
    <w:link w:val="ESHeading2"/>
    <w:rsid w:val="00813BD7"/>
    <w:rPr>
      <w:rFonts w:ascii="Calibri" w:eastAsiaTheme="majorEastAsia" w:hAnsi="Calibri" w:cstheme="majorBidi"/>
      <w:b/>
      <w:bCs/>
      <w:color w:val="76B900"/>
      <w:sz w:val="30"/>
      <w:szCs w:val="26"/>
      <w:lang w:val="en-GB"/>
    </w:rPr>
  </w:style>
  <w:style w:type="paragraph" w:customStyle="1" w:styleId="TableColumnHeading0">
    <w:name w:val="Table Column Heading"/>
    <w:basedOn w:val="Normal"/>
    <w:autoRedefine/>
    <w:qFormat/>
    <w:rsid w:val="008950FC"/>
    <w:pPr>
      <w:keepNext/>
      <w:keepLines/>
      <w:spacing w:before="40" w:after="120"/>
    </w:pPr>
    <w:rPr>
      <w:rFonts w:cs="DINPro-Bold"/>
      <w:b/>
      <w:bCs/>
      <w:color w:val="000000" w:themeColor="text1"/>
      <w:kern w:val="0"/>
      <w:sz w:val="16"/>
      <w:szCs w:val="16"/>
      <w:lang w:val="en-AU"/>
    </w:rPr>
  </w:style>
  <w:style w:type="table" w:customStyle="1" w:styleId="SGStexttable">
    <w:name w:val="SGS text table"/>
    <w:basedOn w:val="TableNormal"/>
    <w:uiPriority w:val="99"/>
    <w:qFormat/>
    <w:rsid w:val="00120925"/>
    <w:rPr>
      <w:sz w:val="16"/>
    </w:rPr>
    <w:tblPr>
      <w:tblInd w:w="0" w:type="dxa"/>
      <w:tblBorders>
        <w:top w:val="single" w:sz="2" w:space="0" w:color="76B900" w:themeColor="accent2"/>
        <w:left w:val="single" w:sz="2" w:space="0" w:color="76B900" w:themeColor="accent2"/>
        <w:bottom w:val="single" w:sz="2" w:space="0" w:color="76B900" w:themeColor="accent2"/>
        <w:right w:val="single" w:sz="2" w:space="0" w:color="76B900" w:themeColor="accent2"/>
        <w:insideH w:val="single" w:sz="2" w:space="0" w:color="76B900" w:themeColor="accent2"/>
        <w:insideV w:val="single" w:sz="2" w:space="0" w:color="76B900" w:themeColor="accent2"/>
      </w:tblBorders>
      <w:tblCellMar>
        <w:top w:w="0" w:type="dxa"/>
        <w:left w:w="108" w:type="dxa"/>
        <w:bottom w:w="0" w:type="dxa"/>
        <w:right w:w="108" w:type="dxa"/>
      </w:tblCellMar>
    </w:tblPr>
    <w:tcPr>
      <w:tcMar>
        <w:left w:w="0" w:type="dxa"/>
        <w:right w:w="0" w:type="dxa"/>
      </w:tcMar>
    </w:tcPr>
    <w:tblStylePr w:type="firstRow">
      <w:rPr>
        <w:rFonts w:asciiTheme="minorHAnsi" w:hAnsiTheme="minorHAnsi"/>
        <w:b/>
        <w:sz w:val="16"/>
      </w:rPr>
    </w:tblStylePr>
  </w:style>
  <w:style w:type="paragraph" w:styleId="TableofFigures">
    <w:name w:val="table of figures"/>
    <w:basedOn w:val="Normal"/>
    <w:next w:val="Normal"/>
    <w:uiPriority w:val="99"/>
    <w:unhideWhenUsed/>
    <w:rsid w:val="00094B36"/>
    <w:pPr>
      <w:tabs>
        <w:tab w:val="left" w:pos="8108"/>
      </w:tabs>
      <w:ind w:left="1021" w:hanging="1021"/>
    </w:pPr>
    <w:rPr>
      <w:caps/>
      <w:spacing w:val="20"/>
    </w:rPr>
  </w:style>
  <w:style w:type="paragraph" w:customStyle="1" w:styleId="ListofFiguresandTables">
    <w:name w:val="List of Figures and Tables"/>
    <w:basedOn w:val="TOCHeading"/>
    <w:link w:val="ListofFiguresandTablesChar"/>
    <w:qFormat/>
    <w:rsid w:val="00813BD7"/>
    <w:pPr>
      <w:pageBreakBefore w:val="0"/>
      <w:spacing w:after="600"/>
    </w:pPr>
    <w:rPr>
      <w:color w:val="76B900"/>
    </w:rPr>
  </w:style>
  <w:style w:type="paragraph" w:customStyle="1" w:styleId="TableText0">
    <w:name w:val="Table Text"/>
    <w:basedOn w:val="Normal"/>
    <w:link w:val="TableTextChar"/>
    <w:qFormat/>
    <w:rsid w:val="009E187E"/>
    <w:pPr>
      <w:keepNext/>
      <w:keepLines/>
      <w:spacing w:before="40"/>
    </w:pPr>
    <w:rPr>
      <w:sz w:val="16"/>
    </w:rPr>
  </w:style>
  <w:style w:type="character" w:customStyle="1" w:styleId="TOCHeadingChar">
    <w:name w:val="TOC Heading Char"/>
    <w:basedOn w:val="Heading1Char"/>
    <w:link w:val="TOCHeading"/>
    <w:uiPriority w:val="39"/>
    <w:rsid w:val="001267CE"/>
    <w:rPr>
      <w:rFonts w:ascii="Calibri" w:eastAsiaTheme="majorEastAsia" w:hAnsi="Calibri" w:cstheme="majorBidi"/>
      <w:bCs/>
      <w:caps/>
      <w:noProof/>
      <w:color w:val="8DC63F"/>
      <w:kern w:val="0"/>
      <w:sz w:val="30"/>
      <w:szCs w:val="30"/>
      <w:lang w:val="en-GB" w:eastAsia="en-US"/>
    </w:rPr>
  </w:style>
  <w:style w:type="character" w:customStyle="1" w:styleId="ListofFiguresandTablesChar">
    <w:name w:val="List of Figures and Tables Char"/>
    <w:basedOn w:val="TOCHeadingChar"/>
    <w:link w:val="ListofFiguresandTables"/>
    <w:rsid w:val="00813BD7"/>
    <w:rPr>
      <w:rFonts w:ascii="Calibri" w:eastAsiaTheme="majorEastAsia" w:hAnsi="Calibri" w:cstheme="majorBidi"/>
      <w:bCs/>
      <w:caps/>
      <w:noProof/>
      <w:color w:val="76B900"/>
      <w:kern w:val="0"/>
      <w:sz w:val="30"/>
      <w:szCs w:val="30"/>
      <w:lang w:val="en-GB" w:eastAsia="en-US"/>
    </w:rPr>
  </w:style>
  <w:style w:type="table" w:customStyle="1" w:styleId="LightShading-Accent11">
    <w:name w:val="Light Shading - Accent 11"/>
    <w:basedOn w:val="TableNormal"/>
    <w:uiPriority w:val="60"/>
    <w:rsid w:val="00656AFA"/>
    <w:rPr>
      <w:color w:val="A89B00" w:themeColor="accent1" w:themeShade="BF"/>
    </w:rPr>
    <w:tblPr>
      <w:tblStyleRowBandSize w:val="1"/>
      <w:tblStyleColBandSize w:val="1"/>
      <w:tblInd w:w="0" w:type="dxa"/>
      <w:tblBorders>
        <w:top w:val="single" w:sz="8" w:space="0" w:color="E1D100" w:themeColor="accent1"/>
        <w:bottom w:val="single" w:sz="8" w:space="0" w:color="E1D1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1D100" w:themeColor="accent1"/>
          <w:left w:val="nil"/>
          <w:bottom w:val="single" w:sz="8" w:space="0" w:color="E1D100" w:themeColor="accent1"/>
          <w:right w:val="nil"/>
          <w:insideH w:val="nil"/>
          <w:insideV w:val="nil"/>
        </w:tcBorders>
      </w:tcPr>
    </w:tblStylePr>
    <w:tblStylePr w:type="lastRow">
      <w:pPr>
        <w:spacing w:before="0" w:after="0" w:line="240" w:lineRule="auto"/>
      </w:pPr>
      <w:rPr>
        <w:b/>
        <w:bCs/>
      </w:rPr>
      <w:tblPr/>
      <w:tcPr>
        <w:tcBorders>
          <w:top w:val="single" w:sz="8" w:space="0" w:color="E1D100" w:themeColor="accent1"/>
          <w:left w:val="nil"/>
          <w:bottom w:val="single" w:sz="8" w:space="0" w:color="E1D1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B8" w:themeFill="accent1" w:themeFillTint="3F"/>
      </w:tcPr>
    </w:tblStylePr>
    <w:tblStylePr w:type="band1Horz">
      <w:tblPr/>
      <w:tcPr>
        <w:tcBorders>
          <w:left w:val="nil"/>
          <w:right w:val="nil"/>
          <w:insideH w:val="nil"/>
          <w:insideV w:val="nil"/>
        </w:tcBorders>
        <w:shd w:val="clear" w:color="auto" w:fill="FFF9B8" w:themeFill="accent1" w:themeFillTint="3F"/>
      </w:tcPr>
    </w:tblStylePr>
  </w:style>
  <w:style w:type="character" w:customStyle="1" w:styleId="TableTextChar">
    <w:name w:val="Table Text Char"/>
    <w:basedOn w:val="DefaultParagraphFont"/>
    <w:link w:val="TableText0"/>
    <w:rsid w:val="009E187E"/>
    <w:rPr>
      <w:sz w:val="16"/>
      <w:lang w:val="en-GB"/>
    </w:rPr>
  </w:style>
  <w:style w:type="character" w:styleId="FollowedHyperlink">
    <w:name w:val="FollowedHyperlink"/>
    <w:basedOn w:val="DefaultParagraphFont"/>
    <w:uiPriority w:val="99"/>
    <w:semiHidden/>
    <w:unhideWhenUsed/>
    <w:rsid w:val="00AB0685"/>
    <w:rPr>
      <w:color w:val="800080" w:themeColor="followedHyperlink"/>
      <w:u w:val="single"/>
    </w:rPr>
  </w:style>
  <w:style w:type="paragraph" w:styleId="NormalWeb">
    <w:name w:val="Normal (Web)"/>
    <w:basedOn w:val="Normal"/>
    <w:uiPriority w:val="99"/>
    <w:unhideWhenUsed/>
    <w:rsid w:val="0042231F"/>
    <w:pPr>
      <w:spacing w:before="100" w:beforeAutospacing="1" w:after="100" w:afterAutospacing="1"/>
    </w:pPr>
    <w:rPr>
      <w:rFonts w:ascii="Times New Roman" w:eastAsia="Times New Roman" w:hAnsi="Times New Roman" w:cs="Times New Roman"/>
      <w:kern w:val="0"/>
      <w:sz w:val="24"/>
      <w:szCs w:val="24"/>
      <w:lang w:val="en-AU" w:eastAsia="en-AU"/>
    </w:rPr>
  </w:style>
  <w:style w:type="character" w:customStyle="1" w:styleId="apple-converted-space">
    <w:name w:val="apple-converted-space"/>
    <w:basedOn w:val="DefaultParagraphFont"/>
    <w:rsid w:val="00F26871"/>
  </w:style>
  <w:style w:type="character" w:customStyle="1" w:styleId="CaptionChar">
    <w:name w:val="Caption Char"/>
    <w:aliases w:val="Table heading Char,Char Char Char Char,Char Char Char1, Char Char,Char Char1"/>
    <w:basedOn w:val="DefaultParagraphFont"/>
    <w:link w:val="Caption"/>
    <w:uiPriority w:val="35"/>
    <w:rsid w:val="00AF4290"/>
    <w:rPr>
      <w:rFonts w:ascii="Calibri" w:hAnsi="Calibri"/>
      <w:bCs/>
      <w:caps/>
      <w:spacing w:val="20"/>
      <w:sz w:val="20"/>
      <w:szCs w:val="18"/>
      <w:lang w:val="en-GB"/>
    </w:rPr>
  </w:style>
  <w:style w:type="paragraph" w:styleId="BodyText">
    <w:name w:val="Body Text"/>
    <w:basedOn w:val="Normal"/>
    <w:link w:val="BodyTextChar"/>
    <w:uiPriority w:val="1"/>
    <w:qFormat/>
    <w:rsid w:val="0086063A"/>
    <w:pPr>
      <w:widowControl w:val="0"/>
      <w:ind w:left="100"/>
    </w:pPr>
    <w:rPr>
      <w:rFonts w:ascii="Garamond Premr Pro" w:eastAsia="Garamond Premr Pro" w:hAnsi="Garamond Premr Pro"/>
      <w:kern w:val="0"/>
      <w:szCs w:val="20"/>
      <w:lang w:val="en-US" w:eastAsia="en-US"/>
    </w:rPr>
  </w:style>
  <w:style w:type="character" w:customStyle="1" w:styleId="BodyTextChar">
    <w:name w:val="Body Text Char"/>
    <w:basedOn w:val="DefaultParagraphFont"/>
    <w:link w:val="BodyText"/>
    <w:uiPriority w:val="1"/>
    <w:rsid w:val="0086063A"/>
    <w:rPr>
      <w:rFonts w:ascii="Garamond Premr Pro" w:eastAsia="Garamond Premr Pro" w:hAnsi="Garamond Premr Pro"/>
      <w:kern w:val="0"/>
      <w:sz w:val="20"/>
      <w:szCs w:val="20"/>
      <w:lang w:eastAsia="en-US"/>
    </w:rPr>
  </w:style>
  <w:style w:type="table" w:styleId="LightList-Accent3">
    <w:name w:val="Light List Accent 3"/>
    <w:basedOn w:val="TableNormal"/>
    <w:uiPriority w:val="61"/>
    <w:rsid w:val="005C5D0D"/>
    <w:rPr>
      <w:rFonts w:ascii="Times" w:eastAsia="Times" w:hAnsi="Times" w:cs="Times New Roman"/>
      <w:kern w:val="0"/>
      <w:sz w:val="20"/>
      <w:szCs w:val="20"/>
      <w:lang w:val="en-AU" w:eastAsia="en-AU"/>
    </w:rPr>
    <w:tblPr>
      <w:tblStyleRowBandSize w:val="1"/>
      <w:tblStyleColBandSize w:val="1"/>
      <w:tblInd w:w="0" w:type="dxa"/>
      <w:tblBorders>
        <w:top w:val="single" w:sz="8" w:space="0" w:color="0097AC" w:themeColor="accent3"/>
        <w:left w:val="single" w:sz="8" w:space="0" w:color="0097AC" w:themeColor="accent3"/>
        <w:bottom w:val="single" w:sz="8" w:space="0" w:color="0097AC" w:themeColor="accent3"/>
        <w:right w:val="single" w:sz="8" w:space="0" w:color="0097A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7AC" w:themeFill="accent3"/>
      </w:tcPr>
    </w:tblStylePr>
    <w:tblStylePr w:type="lastRow">
      <w:pPr>
        <w:spacing w:before="0" w:after="0" w:line="240" w:lineRule="auto"/>
      </w:pPr>
      <w:rPr>
        <w:b/>
        <w:bCs/>
      </w:rPr>
      <w:tblPr/>
      <w:tcPr>
        <w:tcBorders>
          <w:top w:val="double" w:sz="6" w:space="0" w:color="0097AC" w:themeColor="accent3"/>
          <w:left w:val="single" w:sz="8" w:space="0" w:color="0097AC" w:themeColor="accent3"/>
          <w:bottom w:val="single" w:sz="8" w:space="0" w:color="0097AC" w:themeColor="accent3"/>
          <w:right w:val="single" w:sz="8" w:space="0" w:color="0097AC" w:themeColor="accent3"/>
        </w:tcBorders>
      </w:tcPr>
    </w:tblStylePr>
    <w:tblStylePr w:type="firstCol">
      <w:rPr>
        <w:b/>
        <w:bCs/>
      </w:rPr>
    </w:tblStylePr>
    <w:tblStylePr w:type="lastCol">
      <w:rPr>
        <w:b/>
        <w:bCs/>
      </w:rPr>
    </w:tblStylePr>
    <w:tblStylePr w:type="band1Vert">
      <w:tblPr/>
      <w:tcPr>
        <w:tcBorders>
          <w:top w:val="single" w:sz="8" w:space="0" w:color="0097AC" w:themeColor="accent3"/>
          <w:left w:val="single" w:sz="8" w:space="0" w:color="0097AC" w:themeColor="accent3"/>
          <w:bottom w:val="single" w:sz="8" w:space="0" w:color="0097AC" w:themeColor="accent3"/>
          <w:right w:val="single" w:sz="8" w:space="0" w:color="0097AC" w:themeColor="accent3"/>
        </w:tcBorders>
      </w:tcPr>
    </w:tblStylePr>
    <w:tblStylePr w:type="band1Horz">
      <w:tblPr/>
      <w:tcPr>
        <w:tcBorders>
          <w:top w:val="single" w:sz="8" w:space="0" w:color="0097AC" w:themeColor="accent3"/>
          <w:left w:val="single" w:sz="8" w:space="0" w:color="0097AC" w:themeColor="accent3"/>
          <w:bottom w:val="single" w:sz="8" w:space="0" w:color="0097AC" w:themeColor="accent3"/>
          <w:right w:val="single" w:sz="8" w:space="0" w:color="0097AC" w:themeColor="accent3"/>
        </w:tcBorders>
      </w:tcPr>
    </w:tblStylePr>
  </w:style>
  <w:style w:type="table" w:customStyle="1" w:styleId="PlainTable21">
    <w:name w:val="Plain Table 21"/>
    <w:basedOn w:val="TableNormal"/>
    <w:uiPriority w:val="42"/>
    <w:rsid w:val="00350A8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350A8C"/>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
    <w:name w:val="List Table 3 - Accent 21"/>
    <w:basedOn w:val="TableNormal"/>
    <w:uiPriority w:val="48"/>
    <w:rsid w:val="00513B75"/>
    <w:tblPr>
      <w:tblStyleRowBandSize w:val="1"/>
      <w:tblStyleColBandSize w:val="1"/>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tblBorders>
      <w:tblCellMar>
        <w:top w:w="0" w:type="dxa"/>
        <w:left w:w="108" w:type="dxa"/>
        <w:bottom w:w="0" w:type="dxa"/>
        <w:right w:w="108" w:type="dxa"/>
      </w:tblCellMar>
    </w:tblPr>
    <w:tblStylePr w:type="firstRow">
      <w:rPr>
        <w:b/>
        <w:bCs/>
        <w:color w:val="FFFFFF" w:themeColor="background1"/>
      </w:rPr>
      <w:tblPr/>
      <w:tcPr>
        <w:shd w:val="clear" w:color="auto" w:fill="76B900" w:themeFill="accent2"/>
      </w:tcPr>
    </w:tblStylePr>
    <w:tblStylePr w:type="lastRow">
      <w:rPr>
        <w:b/>
        <w:bCs/>
      </w:rPr>
      <w:tblPr/>
      <w:tcPr>
        <w:tcBorders>
          <w:top w:val="double" w:sz="4" w:space="0" w:color="76B9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B900" w:themeColor="accent2"/>
          <w:right w:val="single" w:sz="4" w:space="0" w:color="76B900" w:themeColor="accent2"/>
        </w:tcBorders>
      </w:tcPr>
    </w:tblStylePr>
    <w:tblStylePr w:type="band1Horz">
      <w:tblPr/>
      <w:tcPr>
        <w:tcBorders>
          <w:top w:val="single" w:sz="4" w:space="0" w:color="76B900" w:themeColor="accent2"/>
          <w:bottom w:val="single" w:sz="4" w:space="0" w:color="76B9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B900" w:themeColor="accent2"/>
          <w:left w:val="nil"/>
        </w:tcBorders>
      </w:tcPr>
    </w:tblStylePr>
    <w:tblStylePr w:type="swCell">
      <w:tblPr/>
      <w:tcPr>
        <w:tcBorders>
          <w:top w:val="double" w:sz="4" w:space="0" w:color="76B900" w:themeColor="accent2"/>
          <w:right w:val="nil"/>
        </w:tcBorders>
      </w:tcPr>
    </w:tblStylePr>
  </w:style>
  <w:style w:type="paragraph" w:styleId="ListBullet">
    <w:name w:val="List Bullet"/>
    <w:basedOn w:val="Normal"/>
    <w:uiPriority w:val="99"/>
    <w:unhideWhenUsed/>
    <w:qFormat/>
    <w:rsid w:val="00DF31F6"/>
    <w:pPr>
      <w:numPr>
        <w:numId w:val="36"/>
      </w:numPr>
      <w:contextualSpacing/>
    </w:pPr>
  </w:style>
  <w:style w:type="table" w:customStyle="1" w:styleId="GridTable4-Accent21">
    <w:name w:val="Grid Table 4 - Accent 21"/>
    <w:basedOn w:val="TableNormal"/>
    <w:uiPriority w:val="49"/>
    <w:rsid w:val="00896C6F"/>
    <w:tblPr>
      <w:tblStyleRowBandSize w:val="1"/>
      <w:tblStyleColBandSize w:val="1"/>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insideH w:val="single" w:sz="6" w:space="0" w:color="76B900" w:themeColor="accent2"/>
        <w:insideV w:val="single" w:sz="6" w:space="0" w:color="76B900" w:themeColor="accent2"/>
      </w:tblBorders>
      <w:tblCellMar>
        <w:top w:w="0" w:type="dxa"/>
        <w:left w:w="108" w:type="dxa"/>
        <w:bottom w:w="0" w:type="dxa"/>
        <w:right w:w="108" w:type="dxa"/>
      </w:tblCellMar>
    </w:tblPr>
    <w:tblStylePr w:type="firstRow">
      <w:rPr>
        <w:b/>
        <w:bCs/>
        <w:color w:val="FFFFFF" w:themeColor="background1"/>
      </w:rPr>
      <w:tblPr/>
      <w:tcPr>
        <w:tcBorders>
          <w:top w:val="single" w:sz="4" w:space="0" w:color="76B900" w:themeColor="accent2"/>
          <w:left w:val="single" w:sz="4" w:space="0" w:color="76B900" w:themeColor="accent2"/>
          <w:bottom w:val="single" w:sz="4" w:space="0" w:color="76B900" w:themeColor="accent2"/>
          <w:right w:val="single" w:sz="4" w:space="0" w:color="76B900" w:themeColor="accent2"/>
          <w:insideH w:val="nil"/>
          <w:insideV w:val="nil"/>
        </w:tcBorders>
        <w:shd w:val="clear" w:color="auto" w:fill="76B900" w:themeFill="accent2"/>
      </w:tcPr>
    </w:tblStylePr>
    <w:tblStylePr w:type="lastRow">
      <w:rPr>
        <w:b/>
        <w:bCs/>
      </w:rPr>
      <w:tblPr/>
      <w:tcPr>
        <w:tcBorders>
          <w:top w:val="double" w:sz="4" w:space="0" w:color="76B900" w:themeColor="accent2"/>
        </w:tcBorders>
      </w:tcPr>
    </w:tblStylePr>
    <w:tblStylePr w:type="firstCol">
      <w:rPr>
        <w:b/>
        <w:bCs/>
      </w:rPr>
    </w:tblStylePr>
    <w:tblStylePr w:type="lastCol">
      <w:rPr>
        <w:b/>
        <w:bCs/>
      </w:rPr>
    </w:tblStylePr>
    <w:tblStylePr w:type="band1Vert">
      <w:tblPr/>
      <w:tcPr>
        <w:shd w:val="clear" w:color="auto" w:fill="E7FFBE" w:themeFill="accent2" w:themeFillTint="33"/>
      </w:tcPr>
    </w:tblStylePr>
    <w:tblStylePr w:type="band1Horz">
      <w:tblPr/>
      <w:tcPr>
        <w:shd w:val="clear" w:color="auto" w:fill="E7FFBE" w:themeFill="accent2" w:themeFillTint="33"/>
      </w:tcPr>
    </w:tblStylePr>
  </w:style>
  <w:style w:type="table" w:styleId="MediumShading1-Accent2">
    <w:name w:val="Medium Shading 1 Accent 2"/>
    <w:basedOn w:val="TableNormal"/>
    <w:uiPriority w:val="63"/>
    <w:rsid w:val="00896C6F"/>
    <w:tblPr>
      <w:tblStyleRowBandSize w:val="1"/>
      <w:tblStyleColBandSize w:val="1"/>
      <w:tblInd w:w="0" w:type="dxa"/>
      <w:tblBorders>
        <w:top w:val="single" w:sz="4" w:space="0" w:color="76B900" w:themeColor="accent2"/>
        <w:left w:val="single" w:sz="4" w:space="0" w:color="76B900" w:themeColor="accent2"/>
        <w:bottom w:val="single" w:sz="4" w:space="0" w:color="76B900" w:themeColor="accent2"/>
        <w:right w:val="single" w:sz="4" w:space="0" w:color="76B900" w:themeColor="accent2"/>
        <w:insideH w:val="single" w:sz="6" w:space="0" w:color="76B900" w:themeColor="accent2"/>
        <w:insideV w:val="single" w:sz="6" w:space="0" w:color="76B9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6FF0B" w:themeColor="accent2" w:themeTint="BF"/>
          <w:left w:val="single" w:sz="8" w:space="0" w:color="A6FF0B" w:themeColor="accent2" w:themeTint="BF"/>
          <w:bottom w:val="single" w:sz="8" w:space="0" w:color="A6FF0B" w:themeColor="accent2" w:themeTint="BF"/>
          <w:right w:val="single" w:sz="8" w:space="0" w:color="A6FF0B" w:themeColor="accent2" w:themeTint="BF"/>
          <w:insideH w:val="nil"/>
          <w:insideV w:val="nil"/>
        </w:tcBorders>
        <w:shd w:val="clear" w:color="auto" w:fill="76B900" w:themeFill="accent2"/>
      </w:tcPr>
    </w:tblStylePr>
    <w:tblStylePr w:type="lastRow">
      <w:pPr>
        <w:spacing w:before="0" w:after="0" w:line="240" w:lineRule="auto"/>
      </w:pPr>
      <w:rPr>
        <w:b/>
        <w:bCs/>
      </w:rPr>
      <w:tblPr/>
      <w:tcPr>
        <w:tcBorders>
          <w:top w:val="double" w:sz="6" w:space="0" w:color="A6FF0B" w:themeColor="accent2" w:themeTint="BF"/>
          <w:left w:val="single" w:sz="8" w:space="0" w:color="A6FF0B" w:themeColor="accent2" w:themeTint="BF"/>
          <w:bottom w:val="single" w:sz="8" w:space="0" w:color="A6FF0B" w:themeColor="accent2" w:themeTint="BF"/>
          <w:right w:val="single" w:sz="8" w:space="0" w:color="A6FF0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FAE" w:themeFill="accent2" w:themeFillTint="3F"/>
      </w:tcPr>
    </w:tblStylePr>
    <w:tblStylePr w:type="band1Horz">
      <w:tblPr/>
      <w:tcPr>
        <w:tcBorders>
          <w:insideH w:val="nil"/>
          <w:insideV w:val="nil"/>
        </w:tcBorders>
        <w:shd w:val="clear" w:color="auto" w:fill="E1FFAE" w:themeFill="accent2" w:themeFillTint="3F"/>
      </w:tcPr>
    </w:tblStylePr>
    <w:tblStylePr w:type="band2Horz">
      <w:tblPr/>
      <w:tcPr>
        <w:tcBorders>
          <w:insideH w:val="nil"/>
          <w:insideV w:val="nil"/>
        </w:tcBorders>
      </w:tcPr>
    </w:tblStylePr>
  </w:style>
  <w:style w:type="paragraph" w:customStyle="1" w:styleId="Default">
    <w:name w:val="Default"/>
    <w:rsid w:val="00BC2B05"/>
    <w:pPr>
      <w:autoSpaceDE w:val="0"/>
      <w:autoSpaceDN w:val="0"/>
      <w:adjustRightInd w:val="0"/>
    </w:pPr>
    <w:rPr>
      <w:rFonts w:ascii="Calibri" w:hAnsi="Calibri" w:cs="Calibri"/>
      <w:color w:val="000000"/>
      <w:kern w:val="0"/>
      <w:sz w:val="24"/>
      <w:szCs w:val="24"/>
      <w:lang w:val="en-AU"/>
    </w:rPr>
  </w:style>
  <w:style w:type="character" w:styleId="CommentReference">
    <w:name w:val="annotation reference"/>
    <w:basedOn w:val="DefaultParagraphFont"/>
    <w:uiPriority w:val="99"/>
    <w:semiHidden/>
    <w:unhideWhenUsed/>
    <w:rsid w:val="006774B9"/>
    <w:rPr>
      <w:sz w:val="16"/>
      <w:szCs w:val="16"/>
    </w:rPr>
  </w:style>
  <w:style w:type="paragraph" w:styleId="CommentText">
    <w:name w:val="annotation text"/>
    <w:basedOn w:val="Normal"/>
    <w:link w:val="CommentTextChar"/>
    <w:uiPriority w:val="99"/>
    <w:unhideWhenUsed/>
    <w:rsid w:val="006774B9"/>
    <w:rPr>
      <w:szCs w:val="20"/>
    </w:rPr>
  </w:style>
  <w:style w:type="character" w:customStyle="1" w:styleId="CommentTextChar">
    <w:name w:val="Comment Text Char"/>
    <w:basedOn w:val="DefaultParagraphFont"/>
    <w:link w:val="CommentText"/>
    <w:uiPriority w:val="99"/>
    <w:rsid w:val="006774B9"/>
    <w:rPr>
      <w:sz w:val="20"/>
      <w:szCs w:val="20"/>
      <w:lang w:val="en-GB"/>
    </w:rPr>
  </w:style>
  <w:style w:type="paragraph" w:styleId="CommentSubject">
    <w:name w:val="annotation subject"/>
    <w:basedOn w:val="CommentText"/>
    <w:next w:val="CommentText"/>
    <w:link w:val="CommentSubjectChar"/>
    <w:uiPriority w:val="99"/>
    <w:semiHidden/>
    <w:unhideWhenUsed/>
    <w:rsid w:val="006774B9"/>
    <w:rPr>
      <w:b/>
      <w:bCs/>
    </w:rPr>
  </w:style>
  <w:style w:type="character" w:customStyle="1" w:styleId="CommentSubjectChar">
    <w:name w:val="Comment Subject Char"/>
    <w:basedOn w:val="CommentTextChar"/>
    <w:link w:val="CommentSubject"/>
    <w:uiPriority w:val="99"/>
    <w:semiHidden/>
    <w:rsid w:val="006774B9"/>
    <w:rPr>
      <w:b/>
      <w:bCs/>
      <w:sz w:val="20"/>
      <w:szCs w:val="20"/>
      <w:lang w:val="en-GB"/>
    </w:rPr>
  </w:style>
  <w:style w:type="paragraph" w:styleId="Revision">
    <w:name w:val="Revision"/>
    <w:hidden/>
    <w:uiPriority w:val="99"/>
    <w:semiHidden/>
    <w:rsid w:val="00835E32"/>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92453">
      <w:bodyDiv w:val="1"/>
      <w:marLeft w:val="0"/>
      <w:marRight w:val="0"/>
      <w:marTop w:val="0"/>
      <w:marBottom w:val="0"/>
      <w:divBdr>
        <w:top w:val="none" w:sz="0" w:space="0" w:color="auto"/>
        <w:left w:val="none" w:sz="0" w:space="0" w:color="auto"/>
        <w:bottom w:val="none" w:sz="0" w:space="0" w:color="auto"/>
        <w:right w:val="none" w:sz="0" w:space="0" w:color="auto"/>
      </w:divBdr>
    </w:div>
    <w:div w:id="304045222">
      <w:bodyDiv w:val="1"/>
      <w:marLeft w:val="0"/>
      <w:marRight w:val="0"/>
      <w:marTop w:val="0"/>
      <w:marBottom w:val="0"/>
      <w:divBdr>
        <w:top w:val="none" w:sz="0" w:space="0" w:color="auto"/>
        <w:left w:val="none" w:sz="0" w:space="0" w:color="auto"/>
        <w:bottom w:val="none" w:sz="0" w:space="0" w:color="auto"/>
        <w:right w:val="none" w:sz="0" w:space="0" w:color="auto"/>
      </w:divBdr>
    </w:div>
    <w:div w:id="354423545">
      <w:bodyDiv w:val="1"/>
      <w:marLeft w:val="0"/>
      <w:marRight w:val="0"/>
      <w:marTop w:val="0"/>
      <w:marBottom w:val="0"/>
      <w:divBdr>
        <w:top w:val="none" w:sz="0" w:space="0" w:color="auto"/>
        <w:left w:val="none" w:sz="0" w:space="0" w:color="auto"/>
        <w:bottom w:val="none" w:sz="0" w:space="0" w:color="auto"/>
        <w:right w:val="none" w:sz="0" w:space="0" w:color="auto"/>
      </w:divBdr>
    </w:div>
    <w:div w:id="727000389">
      <w:bodyDiv w:val="1"/>
      <w:marLeft w:val="0"/>
      <w:marRight w:val="0"/>
      <w:marTop w:val="0"/>
      <w:marBottom w:val="0"/>
      <w:divBdr>
        <w:top w:val="none" w:sz="0" w:space="0" w:color="auto"/>
        <w:left w:val="none" w:sz="0" w:space="0" w:color="auto"/>
        <w:bottom w:val="none" w:sz="0" w:space="0" w:color="auto"/>
        <w:right w:val="none" w:sz="0" w:space="0" w:color="auto"/>
      </w:divBdr>
    </w:div>
    <w:div w:id="832338176">
      <w:bodyDiv w:val="1"/>
      <w:marLeft w:val="0"/>
      <w:marRight w:val="0"/>
      <w:marTop w:val="0"/>
      <w:marBottom w:val="0"/>
      <w:divBdr>
        <w:top w:val="none" w:sz="0" w:space="0" w:color="auto"/>
        <w:left w:val="none" w:sz="0" w:space="0" w:color="auto"/>
        <w:bottom w:val="none" w:sz="0" w:space="0" w:color="auto"/>
        <w:right w:val="none" w:sz="0" w:space="0" w:color="auto"/>
      </w:divBdr>
    </w:div>
    <w:div w:id="1027297508">
      <w:bodyDiv w:val="1"/>
      <w:marLeft w:val="0"/>
      <w:marRight w:val="0"/>
      <w:marTop w:val="0"/>
      <w:marBottom w:val="0"/>
      <w:divBdr>
        <w:top w:val="none" w:sz="0" w:space="0" w:color="auto"/>
        <w:left w:val="none" w:sz="0" w:space="0" w:color="auto"/>
        <w:bottom w:val="none" w:sz="0" w:space="0" w:color="auto"/>
        <w:right w:val="none" w:sz="0" w:space="0" w:color="auto"/>
      </w:divBdr>
    </w:div>
    <w:div w:id="1075978224">
      <w:bodyDiv w:val="1"/>
      <w:marLeft w:val="0"/>
      <w:marRight w:val="0"/>
      <w:marTop w:val="0"/>
      <w:marBottom w:val="0"/>
      <w:divBdr>
        <w:top w:val="none" w:sz="0" w:space="0" w:color="auto"/>
        <w:left w:val="none" w:sz="0" w:space="0" w:color="auto"/>
        <w:bottom w:val="none" w:sz="0" w:space="0" w:color="auto"/>
        <w:right w:val="none" w:sz="0" w:space="0" w:color="auto"/>
      </w:divBdr>
    </w:div>
    <w:div w:id="1089043718">
      <w:bodyDiv w:val="1"/>
      <w:marLeft w:val="0"/>
      <w:marRight w:val="0"/>
      <w:marTop w:val="0"/>
      <w:marBottom w:val="0"/>
      <w:divBdr>
        <w:top w:val="none" w:sz="0" w:space="0" w:color="auto"/>
        <w:left w:val="none" w:sz="0" w:space="0" w:color="auto"/>
        <w:bottom w:val="none" w:sz="0" w:space="0" w:color="auto"/>
        <w:right w:val="none" w:sz="0" w:space="0" w:color="auto"/>
      </w:divBdr>
    </w:div>
    <w:div w:id="1220049985">
      <w:bodyDiv w:val="1"/>
      <w:marLeft w:val="0"/>
      <w:marRight w:val="0"/>
      <w:marTop w:val="0"/>
      <w:marBottom w:val="0"/>
      <w:divBdr>
        <w:top w:val="none" w:sz="0" w:space="0" w:color="auto"/>
        <w:left w:val="none" w:sz="0" w:space="0" w:color="auto"/>
        <w:bottom w:val="none" w:sz="0" w:space="0" w:color="auto"/>
        <w:right w:val="none" w:sz="0" w:space="0" w:color="auto"/>
      </w:divBdr>
      <w:divsChild>
        <w:div w:id="1780182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695151">
      <w:bodyDiv w:val="1"/>
      <w:marLeft w:val="0"/>
      <w:marRight w:val="0"/>
      <w:marTop w:val="0"/>
      <w:marBottom w:val="0"/>
      <w:divBdr>
        <w:top w:val="none" w:sz="0" w:space="0" w:color="auto"/>
        <w:left w:val="none" w:sz="0" w:space="0" w:color="auto"/>
        <w:bottom w:val="none" w:sz="0" w:space="0" w:color="auto"/>
        <w:right w:val="none" w:sz="0" w:space="0" w:color="auto"/>
      </w:divBdr>
    </w:div>
    <w:div w:id="1439060854">
      <w:bodyDiv w:val="1"/>
      <w:marLeft w:val="0"/>
      <w:marRight w:val="0"/>
      <w:marTop w:val="0"/>
      <w:marBottom w:val="0"/>
      <w:divBdr>
        <w:top w:val="none" w:sz="0" w:space="0" w:color="auto"/>
        <w:left w:val="none" w:sz="0" w:space="0" w:color="auto"/>
        <w:bottom w:val="none" w:sz="0" w:space="0" w:color="auto"/>
        <w:right w:val="none" w:sz="0" w:space="0" w:color="auto"/>
      </w:divBdr>
      <w:divsChild>
        <w:div w:id="1183393280">
          <w:marLeft w:val="0"/>
          <w:marRight w:val="0"/>
          <w:marTop w:val="0"/>
          <w:marBottom w:val="0"/>
          <w:divBdr>
            <w:top w:val="none" w:sz="0" w:space="0" w:color="auto"/>
            <w:left w:val="none" w:sz="0" w:space="0" w:color="auto"/>
            <w:bottom w:val="none" w:sz="0" w:space="0" w:color="auto"/>
            <w:right w:val="none" w:sz="0" w:space="0" w:color="auto"/>
          </w:divBdr>
          <w:divsChild>
            <w:div w:id="418716229">
              <w:marLeft w:val="2042"/>
              <w:marRight w:val="0"/>
              <w:marTop w:val="0"/>
              <w:marBottom w:val="0"/>
              <w:divBdr>
                <w:top w:val="none" w:sz="0" w:space="0" w:color="auto"/>
                <w:left w:val="none" w:sz="0" w:space="0" w:color="auto"/>
                <w:bottom w:val="none" w:sz="0" w:space="0" w:color="auto"/>
                <w:right w:val="none" w:sz="0" w:space="0" w:color="auto"/>
              </w:divBdr>
            </w:div>
          </w:divsChild>
        </w:div>
      </w:divsChild>
    </w:div>
    <w:div w:id="1499420188">
      <w:bodyDiv w:val="1"/>
      <w:marLeft w:val="0"/>
      <w:marRight w:val="0"/>
      <w:marTop w:val="0"/>
      <w:marBottom w:val="0"/>
      <w:divBdr>
        <w:top w:val="none" w:sz="0" w:space="0" w:color="auto"/>
        <w:left w:val="none" w:sz="0" w:space="0" w:color="auto"/>
        <w:bottom w:val="none" w:sz="0" w:space="0" w:color="auto"/>
        <w:right w:val="none" w:sz="0" w:space="0" w:color="auto"/>
      </w:divBdr>
    </w:div>
    <w:div w:id="1577208444">
      <w:bodyDiv w:val="1"/>
      <w:marLeft w:val="0"/>
      <w:marRight w:val="0"/>
      <w:marTop w:val="0"/>
      <w:marBottom w:val="0"/>
      <w:divBdr>
        <w:top w:val="none" w:sz="0" w:space="0" w:color="auto"/>
        <w:left w:val="none" w:sz="0" w:space="0" w:color="auto"/>
        <w:bottom w:val="none" w:sz="0" w:space="0" w:color="auto"/>
        <w:right w:val="none" w:sz="0" w:space="0" w:color="auto"/>
      </w:divBdr>
    </w:div>
    <w:div w:id="1606494219">
      <w:bodyDiv w:val="1"/>
      <w:marLeft w:val="0"/>
      <w:marRight w:val="0"/>
      <w:marTop w:val="0"/>
      <w:marBottom w:val="0"/>
      <w:divBdr>
        <w:top w:val="none" w:sz="0" w:space="0" w:color="auto"/>
        <w:left w:val="none" w:sz="0" w:space="0" w:color="auto"/>
        <w:bottom w:val="none" w:sz="0" w:space="0" w:color="auto"/>
        <w:right w:val="none" w:sz="0" w:space="0" w:color="auto"/>
      </w:divBdr>
    </w:div>
    <w:div w:id="1687904847">
      <w:bodyDiv w:val="1"/>
      <w:marLeft w:val="0"/>
      <w:marRight w:val="0"/>
      <w:marTop w:val="0"/>
      <w:marBottom w:val="0"/>
      <w:divBdr>
        <w:top w:val="none" w:sz="0" w:space="0" w:color="auto"/>
        <w:left w:val="none" w:sz="0" w:space="0" w:color="auto"/>
        <w:bottom w:val="none" w:sz="0" w:space="0" w:color="auto"/>
        <w:right w:val="none" w:sz="0" w:space="0" w:color="auto"/>
      </w:divBdr>
    </w:div>
    <w:div w:id="1774208760">
      <w:bodyDiv w:val="1"/>
      <w:marLeft w:val="0"/>
      <w:marRight w:val="0"/>
      <w:marTop w:val="0"/>
      <w:marBottom w:val="0"/>
      <w:divBdr>
        <w:top w:val="none" w:sz="0" w:space="0" w:color="auto"/>
        <w:left w:val="none" w:sz="0" w:space="0" w:color="auto"/>
        <w:bottom w:val="none" w:sz="0" w:space="0" w:color="auto"/>
        <w:right w:val="none" w:sz="0" w:space="0" w:color="auto"/>
      </w:divBdr>
    </w:div>
    <w:div w:id="1813330888">
      <w:bodyDiv w:val="1"/>
      <w:marLeft w:val="0"/>
      <w:marRight w:val="0"/>
      <w:marTop w:val="0"/>
      <w:marBottom w:val="0"/>
      <w:divBdr>
        <w:top w:val="none" w:sz="0" w:space="0" w:color="auto"/>
        <w:left w:val="none" w:sz="0" w:space="0" w:color="auto"/>
        <w:bottom w:val="none" w:sz="0" w:space="0" w:color="auto"/>
        <w:right w:val="none" w:sz="0" w:space="0" w:color="auto"/>
      </w:divBdr>
    </w:div>
    <w:div w:id="1960574999">
      <w:bodyDiv w:val="1"/>
      <w:marLeft w:val="0"/>
      <w:marRight w:val="0"/>
      <w:marTop w:val="0"/>
      <w:marBottom w:val="0"/>
      <w:divBdr>
        <w:top w:val="none" w:sz="0" w:space="0" w:color="auto"/>
        <w:left w:val="none" w:sz="0" w:space="0" w:color="auto"/>
        <w:bottom w:val="none" w:sz="0" w:space="0" w:color="auto"/>
        <w:right w:val="none" w:sz="0" w:space="0" w:color="auto"/>
      </w:divBdr>
    </w:div>
    <w:div w:id="1964337061">
      <w:bodyDiv w:val="1"/>
      <w:marLeft w:val="0"/>
      <w:marRight w:val="0"/>
      <w:marTop w:val="0"/>
      <w:marBottom w:val="0"/>
      <w:divBdr>
        <w:top w:val="none" w:sz="0" w:space="0" w:color="auto"/>
        <w:left w:val="none" w:sz="0" w:space="0" w:color="auto"/>
        <w:bottom w:val="none" w:sz="0" w:space="0" w:color="auto"/>
        <w:right w:val="none" w:sz="0" w:space="0" w:color="auto"/>
      </w:divBdr>
    </w:div>
    <w:div w:id="2000116330">
      <w:bodyDiv w:val="1"/>
      <w:marLeft w:val="0"/>
      <w:marRight w:val="0"/>
      <w:marTop w:val="0"/>
      <w:marBottom w:val="0"/>
      <w:divBdr>
        <w:top w:val="none" w:sz="0" w:space="0" w:color="auto"/>
        <w:left w:val="none" w:sz="0" w:space="0" w:color="auto"/>
        <w:bottom w:val="none" w:sz="0" w:space="0" w:color="auto"/>
        <w:right w:val="none" w:sz="0" w:space="0" w:color="auto"/>
      </w:divBdr>
    </w:div>
    <w:div w:id="2014792855">
      <w:bodyDiv w:val="1"/>
      <w:marLeft w:val="0"/>
      <w:marRight w:val="0"/>
      <w:marTop w:val="0"/>
      <w:marBottom w:val="0"/>
      <w:divBdr>
        <w:top w:val="none" w:sz="0" w:space="0" w:color="auto"/>
        <w:left w:val="none" w:sz="0" w:space="0" w:color="auto"/>
        <w:bottom w:val="none" w:sz="0" w:space="0" w:color="auto"/>
        <w:right w:val="none" w:sz="0" w:space="0" w:color="auto"/>
      </w:divBdr>
    </w:div>
    <w:div w:id="2022778235">
      <w:bodyDiv w:val="1"/>
      <w:marLeft w:val="0"/>
      <w:marRight w:val="0"/>
      <w:marTop w:val="0"/>
      <w:marBottom w:val="0"/>
      <w:divBdr>
        <w:top w:val="none" w:sz="0" w:space="0" w:color="auto"/>
        <w:left w:val="none" w:sz="0" w:space="0" w:color="auto"/>
        <w:bottom w:val="none" w:sz="0" w:space="0" w:color="auto"/>
        <w:right w:val="none" w:sz="0" w:space="0" w:color="auto"/>
      </w:divBdr>
    </w:div>
    <w:div w:id="2025008073">
      <w:bodyDiv w:val="1"/>
      <w:marLeft w:val="0"/>
      <w:marRight w:val="0"/>
      <w:marTop w:val="0"/>
      <w:marBottom w:val="0"/>
      <w:divBdr>
        <w:top w:val="none" w:sz="0" w:space="0" w:color="auto"/>
        <w:left w:val="none" w:sz="0" w:space="0" w:color="auto"/>
        <w:bottom w:val="none" w:sz="0" w:space="0" w:color="auto"/>
        <w:right w:val="none" w:sz="0" w:space="0" w:color="auto"/>
      </w:divBdr>
    </w:div>
    <w:div w:id="208209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2.jpeg"/><Relationship Id="rId47" Type="http://schemas.openxmlformats.org/officeDocument/2006/relationships/image" Target="media/image2.emf"/><Relationship Id="rId48" Type="http://schemas.openxmlformats.org/officeDocument/2006/relationships/image" Target="media/image20.emf"/><Relationship Id="rId49" Type="http://schemas.openxmlformats.org/officeDocument/2006/relationships/footer" Target="footer5.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yperlink" Target="http://webapps.cityofchicago.org/ChicagoTif/" TargetMode="External"/><Relationship Id="rId27" Type="http://schemas.openxmlformats.org/officeDocument/2006/relationships/image" Target="media/image13.png"/><Relationship Id="rId28" Type="http://schemas.openxmlformats.org/officeDocument/2006/relationships/hyperlink" Target="https://en.wikipedia.org/wiki/Rapid_transit" TargetMode="External"/><Relationship Id="rId29" Type="http://schemas.openxmlformats.org/officeDocument/2006/relationships/hyperlink" Target="https://en.wikipedia.org/wiki/Hong_Kong"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en.wikipedia.org/wiki/Light_Rail_(MTR)" TargetMode="External"/><Relationship Id="rId31" Type="http://schemas.openxmlformats.org/officeDocument/2006/relationships/hyperlink" Target="https://en.wikipedia.org/wiki/MTR_Corporation_Limited" TargetMode="External"/><Relationship Id="rId32" Type="http://schemas.openxmlformats.org/officeDocument/2006/relationships/hyperlink" Target="https://en.wikipedia.org/wiki/Farebox_recovery_ratio"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emf"/><Relationship Id="rId36" Type="http://schemas.openxmlformats.org/officeDocument/2006/relationships/image" Target="media/image17.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emf"/><Relationship Id="rId13" Type="http://schemas.openxmlformats.org/officeDocument/2006/relationships/hyperlink" Target="http://www.sgsep.com.au/" TargetMode="Externa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www.crossrail.co.uk/benefits/wider-economic-benefits/" TargetMode="External"/><Relationship Id="rId19" Type="http://schemas.openxmlformats.org/officeDocument/2006/relationships/image" Target="media/image6.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hyperlink" Target="http://westernsydneyairport.gov.au/environment/index.aspx" TargetMode="External"/><Relationship Id="rId41" Type="http://schemas.openxmlformats.org/officeDocument/2006/relationships/hyperlink" Target="http://westernsydneyairport.gov.au/airport_plan/index.aspx" TargetMode="External"/><Relationship Id="rId42" Type="http://schemas.openxmlformats.org/officeDocument/2006/relationships/image" Target="media/image21.png"/><Relationship Id="rId43" Type="http://schemas.openxmlformats.org/officeDocument/2006/relationships/footer" Target="footer3.xml"/><Relationship Id="rId44" Type="http://schemas.openxmlformats.org/officeDocument/2006/relationships/header" Target="header3.xml"/><Relationship Id="rId45"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lddc-history.org.uk/other/lddcpresent09conf.pdf" TargetMode="External"/><Relationship Id="rId4" Type="http://schemas.openxmlformats.org/officeDocument/2006/relationships/hyperlink" Target="http://www.lddc-history.org.uk/other/lddcpresent09conf.pdf" TargetMode="External"/><Relationship Id="rId1" Type="http://schemas.openxmlformats.org/officeDocument/2006/relationships/hyperlink" Target="http://www.lightrail.nl/uk/uk.htm" TargetMode="External"/><Relationship Id="rId2" Type="http://schemas.openxmlformats.org/officeDocument/2006/relationships/hyperlink" Target="http://www.lira-2.com/docs/lira1/Pilot%2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tow\Downloads\SGS_Template_Report_Standard%20(2).dotx" TargetMode="External"/></Relationships>
</file>

<file path=word/theme/theme1.xml><?xml version="1.0" encoding="utf-8"?>
<a:theme xmlns:a="http://schemas.openxmlformats.org/drawingml/2006/main" name="Office Theme">
  <a:themeElements>
    <a:clrScheme name="SGS full palette">
      <a:dk1>
        <a:sysClr val="windowText" lastClr="000000"/>
      </a:dk1>
      <a:lt1>
        <a:sysClr val="window" lastClr="FFFFFF"/>
      </a:lt1>
      <a:dk2>
        <a:srgbClr val="A02600"/>
      </a:dk2>
      <a:lt2>
        <a:srgbClr val="E47F00"/>
      </a:lt2>
      <a:accent1>
        <a:srgbClr val="E1D100"/>
      </a:accent1>
      <a:accent2>
        <a:srgbClr val="76B900"/>
      </a:accent2>
      <a:accent3>
        <a:srgbClr val="0097AC"/>
      </a:accent3>
      <a:accent4>
        <a:srgbClr val="0047BE"/>
      </a:accent4>
      <a:accent5>
        <a:srgbClr val="7C2250"/>
      </a:accent5>
      <a:accent6>
        <a:srgbClr val="D7004D"/>
      </a:accent6>
      <a:hlink>
        <a:srgbClr val="0000FF"/>
      </a:hlink>
      <a:folHlink>
        <a:srgbClr val="800080"/>
      </a:folHlink>
    </a:clrScheme>
    <a:fontScheme name="SGS Fon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05C96C-B978-D946-BA28-E0371381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\Users\ptow\Downloads\SGS_Template_Report_Standard (2).dotx</Template>
  <TotalTime>2</TotalTime>
  <Pages>58</Pages>
  <Words>25188</Words>
  <Characters>127706</Characters>
  <Application>Microsoft Macintosh Word</Application>
  <DocSecurity>8</DocSecurity>
  <Lines>4256</Lines>
  <Paragraphs>1484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Phoebe Tow</dc:creator>
  <cp:lastModifiedBy>Stewart Prins</cp:lastModifiedBy>
  <cp:revision>3</cp:revision>
  <cp:lastPrinted>2015-10-26T06:52:00Z</cp:lastPrinted>
  <dcterms:created xsi:type="dcterms:W3CDTF">2015-10-26T06:52:00Z</dcterms:created>
  <dcterms:modified xsi:type="dcterms:W3CDTF">2015-10-26T06:53:00Z</dcterms:modified>
</cp:coreProperties>
</file>