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2B" w:rsidRPr="0026542B"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40"/>
          <w:szCs w:val="40"/>
          <w:lang w:val="vi-VN" w:eastAsia="en-US"/>
        </w:rPr>
      </w:pPr>
      <w:bookmarkStart w:id="0" w:name="_GoBack"/>
      <w:bookmarkEnd w:id="0"/>
      <w:r w:rsidRPr="0026542B">
        <w:rPr>
          <w:rFonts w:ascii="Times New Roman" w:eastAsia="Times New Roman" w:hAnsi="Times New Roman" w:cs="Times New Roman"/>
          <w:b/>
          <w:color w:val="212121"/>
          <w:sz w:val="40"/>
          <w:szCs w:val="40"/>
          <w:lang w:val="vi-VN" w:eastAsia="en-US"/>
        </w:rPr>
        <w:t>Báo cáo đại diện cộng đồng:</w:t>
      </w:r>
    </w:p>
    <w:p w:rsidR="0026542B" w:rsidRPr="006F66FF"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40"/>
          <w:szCs w:val="40"/>
          <w:lang w:val="vi-VN" w:eastAsia="en-US"/>
        </w:rPr>
      </w:pPr>
      <w:r w:rsidRPr="006F66FF">
        <w:rPr>
          <w:rFonts w:ascii="Times New Roman" w:eastAsia="Times New Roman" w:hAnsi="Times New Roman" w:cs="Times New Roman"/>
          <w:b/>
          <w:color w:val="212121"/>
          <w:sz w:val="40"/>
          <w:szCs w:val="40"/>
          <w:lang w:val="vi-VN" w:eastAsia="en-US"/>
        </w:rPr>
        <w:t>Ủy Ban Cố Vấn</w:t>
      </w:r>
      <w:r w:rsidRPr="0026542B">
        <w:rPr>
          <w:rFonts w:ascii="Times New Roman" w:eastAsia="Times New Roman" w:hAnsi="Times New Roman" w:cs="Times New Roman"/>
          <w:b/>
          <w:color w:val="212121"/>
          <w:sz w:val="40"/>
          <w:szCs w:val="40"/>
          <w:lang w:val="vi-VN" w:eastAsia="en-US"/>
        </w:rPr>
        <w:t xml:space="preserve"> vùng San Diego</w:t>
      </w:r>
    </w:p>
    <w:p w:rsidR="0026542B" w:rsidRPr="0026542B"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44"/>
          <w:szCs w:val="44"/>
          <w:lang w:val="vi-VN" w:eastAsia="en-US"/>
        </w:rPr>
      </w:pPr>
    </w:p>
    <w:p w:rsidR="0026542B" w:rsidRPr="0026542B"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2"/>
          <w:szCs w:val="22"/>
          <w:lang w:eastAsia="en-US"/>
        </w:rPr>
      </w:pPr>
      <w:r w:rsidRPr="0026542B">
        <w:rPr>
          <w:rFonts w:ascii="Times New Roman" w:eastAsia="Times New Roman" w:hAnsi="Times New Roman" w:cs="Times New Roman"/>
          <w:i/>
          <w:color w:val="212121"/>
          <w:sz w:val="22"/>
          <w:szCs w:val="22"/>
          <w:lang w:val="vi-VN" w:eastAsia="en-US"/>
        </w:rPr>
        <w:t>Báo cáo của Trung tâm về sáng kiến ​​chính sách</w:t>
      </w:r>
      <w:r w:rsidRPr="0026542B">
        <w:rPr>
          <w:rFonts w:ascii="Times New Roman" w:eastAsia="Times New Roman" w:hAnsi="Times New Roman" w:cs="Times New Roman"/>
          <w:i/>
          <w:color w:val="212121"/>
          <w:sz w:val="22"/>
          <w:szCs w:val="22"/>
          <w:lang w:eastAsia="en-US"/>
        </w:rPr>
        <w:t xml:space="preserve"> ( Cpi )</w:t>
      </w:r>
    </w:p>
    <w:p w:rsidR="0026542B" w:rsidRPr="0026542B"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22"/>
          <w:szCs w:val="22"/>
          <w:lang w:val="vi-VN" w:eastAsia="en-US"/>
        </w:rPr>
      </w:pPr>
      <w:r w:rsidRPr="0026542B">
        <w:rPr>
          <w:rFonts w:ascii="Times New Roman" w:eastAsia="Times New Roman" w:hAnsi="Times New Roman" w:cs="Times New Roman"/>
          <w:i/>
          <w:color w:val="212121"/>
          <w:sz w:val="22"/>
          <w:szCs w:val="22"/>
          <w:lang w:val="vi-VN" w:eastAsia="en-US"/>
        </w:rPr>
        <w:t>Tháng 8 năm 2018</w:t>
      </w:r>
    </w:p>
    <w:p w:rsidR="0026542B" w:rsidRPr="0026542B" w:rsidRDefault="0026542B" w:rsidP="00265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12121"/>
          <w:sz w:val="32"/>
          <w:szCs w:val="32"/>
          <w:lang w:eastAsia="en-US"/>
        </w:rPr>
      </w:pPr>
    </w:p>
    <w:p w:rsidR="0026542B" w:rsidRPr="0026542B" w:rsidRDefault="0026542B" w:rsidP="0026542B">
      <w:pPr>
        <w:pStyle w:val="HTMLPreformatted"/>
        <w:shd w:val="clear" w:color="auto" w:fill="FFFFFF"/>
        <w:rPr>
          <w:rFonts w:ascii="Times New Roman" w:hAnsi="Times New Roman" w:cs="Times New Roman"/>
          <w:b/>
          <w:color w:val="212121"/>
          <w:sz w:val="24"/>
          <w:szCs w:val="24"/>
          <w:lang w:val="vi-VN"/>
        </w:rPr>
      </w:pPr>
      <w:r w:rsidRPr="0026542B">
        <w:rPr>
          <w:rFonts w:ascii="Helvetica" w:hAnsi="Helvetica"/>
          <w:b/>
          <w:bCs/>
          <w:sz w:val="24"/>
          <w:szCs w:val="24"/>
        </w:rPr>
        <w:t xml:space="preserve"> </w:t>
      </w:r>
      <w:r w:rsidRPr="0026542B">
        <w:rPr>
          <w:rFonts w:ascii="Times New Roman" w:hAnsi="Times New Roman" w:cs="Times New Roman"/>
          <w:b/>
          <w:color w:val="212121"/>
          <w:sz w:val="24"/>
          <w:szCs w:val="24"/>
          <w:lang w:val="vi-VN"/>
        </w:rPr>
        <w:t>TÓM TẮT SƠ LƯỢC</w:t>
      </w:r>
    </w:p>
    <w:p w:rsidR="0026542B" w:rsidRPr="006F66FF" w:rsidRDefault="0026542B" w:rsidP="0026542B">
      <w:pPr>
        <w:pStyle w:val="HTMLPreformatted"/>
        <w:shd w:val="clear" w:color="auto" w:fill="FFFFFF"/>
        <w:rPr>
          <w:rFonts w:ascii="Times New Roman" w:hAnsi="Times New Roman" w:cs="Times New Roman"/>
          <w:b/>
          <w:color w:val="212121"/>
          <w:sz w:val="24"/>
          <w:szCs w:val="24"/>
          <w:lang w:val="vi-VN"/>
        </w:rPr>
      </w:pP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Các ủy ban và hội đồng được chỉ định và bầu cử có quyền quyết định ảnh hưởng đáng kể đến cuộc sống hàng ngày, cơ hội và hạnh phúc trong tương lai của những người sống và làm việc trên khắp vùng San Diego. Một số các thực thể này kiểm soát hàng triệu hoặc thậm chí hàng tỷ đô la trong các quỹ đóng thuế. Các quyết định chính sách của họ về các dịch vụ và chương trình thường ảnh hưởng trực tiếp đến công bằng xã hội, kinh tế và chủng tộc.</w:t>
      </w:r>
    </w:p>
    <w:p w:rsidR="006F66FF" w:rsidRPr="006F66FF" w:rsidRDefault="006F66FF" w:rsidP="0026542B">
      <w:pPr>
        <w:pStyle w:val="HTMLPreformatted"/>
        <w:shd w:val="clear" w:color="auto" w:fill="FFFFFF"/>
        <w:rPr>
          <w:rFonts w:ascii="Times New Roman" w:hAnsi="Times New Roman" w:cs="Times New Roman"/>
          <w:color w:val="212121"/>
          <w:sz w:val="24"/>
          <w:szCs w:val="24"/>
          <w:lang w:val="vi-VN"/>
        </w:rPr>
      </w:pP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Ngoài ra, quyền truy cập vào tư cách thành viên trên ủy ban cố vấn cung cấp một con đường dẫn đến các vị trí khác trong lãnh đạo chính phủ. Do đó, việc tiếp cận cởi mở và công bằng cho các cuộc hẹn của ủy ban cố vấn giúp xây dựng quyền lực chính trị cho các cộng đồng chưa được trình bày và đại diện cộng đồng lâu dài ở nhiều cấp độ.</w:t>
      </w:r>
    </w:p>
    <w:p w:rsidR="006F66FF" w:rsidRPr="006F66FF" w:rsidRDefault="006F66FF" w:rsidP="0026542B">
      <w:pPr>
        <w:pStyle w:val="HTMLPreformatted"/>
        <w:shd w:val="clear" w:color="auto" w:fill="FFFFFF"/>
        <w:rPr>
          <w:rFonts w:ascii="Times New Roman" w:hAnsi="Times New Roman" w:cs="Times New Roman"/>
          <w:color w:val="212121"/>
          <w:sz w:val="24"/>
          <w:szCs w:val="24"/>
        </w:rPr>
      </w:pP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Mục đích của báo cáo này là để kiểm tra mức độ đa dạng, hòa nhập và đại diện cộng đồng trên 5 ủy ban cố vấn, và cách họ giải quyết thành công nhu cầu của các cộng đồng chưa được phục vụ. Mục tiêu của chúng tôi là trình bày một bức tranh về thành viên 2018 và chức năng của từng cơ quan quyết định, sự đáp ứng của họ đối với quan điểm của các cư dân cộng đồng đa dạng, và cách các hội đồng ủy ban cố vấn có thể tiếp cận được với cư dân cộng đồng. .</w:t>
      </w:r>
    </w:p>
    <w:p w:rsidR="006F66FF" w:rsidRPr="006F66FF" w:rsidRDefault="006F66FF" w:rsidP="0026542B">
      <w:pPr>
        <w:pStyle w:val="HTMLPreformatted"/>
        <w:shd w:val="clear" w:color="auto" w:fill="FFFFFF"/>
        <w:rPr>
          <w:rFonts w:ascii="Times New Roman" w:hAnsi="Times New Roman" w:cs="Times New Roman"/>
          <w:color w:val="212121"/>
          <w:sz w:val="24"/>
          <w:szCs w:val="24"/>
          <w:lang w:val="vi-VN"/>
        </w:rPr>
      </w:pP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Chúng tôi đã tìm cách trả lời các câu hỏi sau về mỗi trong năm thực thể được nghiên cứu:</w:t>
      </w:r>
    </w:p>
    <w:p w:rsidR="006F66FF" w:rsidRPr="006F66FF" w:rsidRDefault="006F66FF" w:rsidP="0026542B">
      <w:pPr>
        <w:pStyle w:val="HTMLPreformatted"/>
        <w:shd w:val="clear" w:color="auto" w:fill="FFFFFF"/>
        <w:rPr>
          <w:rFonts w:ascii="Times New Roman" w:hAnsi="Times New Roman" w:cs="Times New Roman"/>
          <w:color w:val="212121"/>
          <w:sz w:val="24"/>
          <w:szCs w:val="24"/>
          <w:lang w:val="vi-VN"/>
        </w:rPr>
      </w:pPr>
    </w:p>
    <w:p w:rsidR="0026542B" w:rsidRPr="006F66FF"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Những loại quyết định nào nó đưa ra và những nguồn lực nào nó kiểm soát?</w:t>
      </w:r>
    </w:p>
    <w:p w:rsidR="0026542B" w:rsidRPr="006F66FF"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Hội đồng quản trị đa dạng và đại diện của dân số nó phục vụ như thế nào?</w:t>
      </w: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 xml:space="preserve">Mức độ đa dạng và kết nối với cộng đồng ảnh hưởng đến việc </w:t>
      </w:r>
      <w:r w:rsidRPr="006F66FF">
        <w:rPr>
          <w:rFonts w:ascii="Times New Roman" w:hAnsi="Times New Roman" w:cs="Times New Roman"/>
          <w:color w:val="212121"/>
          <w:sz w:val="24"/>
          <w:szCs w:val="24"/>
        </w:rPr>
        <w:t xml:space="preserve">đưa </w:t>
      </w:r>
      <w:r w:rsidRPr="006F66FF">
        <w:rPr>
          <w:rFonts w:ascii="Times New Roman" w:hAnsi="Times New Roman" w:cs="Times New Roman"/>
          <w:color w:val="212121"/>
          <w:sz w:val="24"/>
          <w:szCs w:val="24"/>
          <w:lang w:val="vi-VN"/>
        </w:rPr>
        <w:t>ra quyết định như thế nào? Mọi người được chọn làm thành viên như thế nào và rào cản nào tồn tại ảnh hưởng đến sự đa dạng?</w:t>
      </w:r>
    </w:p>
    <w:p w:rsidR="006F66FF" w:rsidRPr="006F66FF" w:rsidRDefault="006F66FF" w:rsidP="0026542B">
      <w:pPr>
        <w:pStyle w:val="HTMLPreformatted"/>
        <w:shd w:val="clear" w:color="auto" w:fill="FFFFFF"/>
        <w:rPr>
          <w:rFonts w:ascii="Times New Roman" w:hAnsi="Times New Roman" w:cs="Times New Roman"/>
          <w:color w:val="212121"/>
          <w:sz w:val="24"/>
          <w:szCs w:val="24"/>
          <w:lang w:val="vi-VN"/>
        </w:rPr>
      </w:pPr>
    </w:p>
    <w:p w:rsidR="0026542B" w:rsidRDefault="0026542B" w:rsidP="0026542B">
      <w:pPr>
        <w:pStyle w:val="HTMLPreformatted"/>
        <w:shd w:val="clear" w:color="auto" w:fill="FFFFFF"/>
        <w:rPr>
          <w:rFonts w:ascii="Times New Roman" w:hAnsi="Times New Roman" w:cs="Times New Roman"/>
          <w:color w:val="212121"/>
          <w:sz w:val="24"/>
          <w:szCs w:val="24"/>
          <w:lang w:val="vi-VN"/>
        </w:rPr>
      </w:pPr>
      <w:r w:rsidRPr="006F66FF">
        <w:rPr>
          <w:rFonts w:ascii="Times New Roman" w:hAnsi="Times New Roman" w:cs="Times New Roman"/>
          <w:color w:val="212121"/>
          <w:sz w:val="24"/>
          <w:szCs w:val="24"/>
          <w:lang w:val="vi-VN"/>
        </w:rPr>
        <w:t xml:space="preserve">Các thành viên </w:t>
      </w:r>
      <w:r w:rsidRPr="006F66FF">
        <w:rPr>
          <w:rFonts w:ascii="Times New Roman" w:hAnsi="Times New Roman" w:cs="Times New Roman"/>
          <w:color w:val="212121"/>
          <w:sz w:val="24"/>
          <w:szCs w:val="24"/>
        </w:rPr>
        <w:t xml:space="preserve">trong </w:t>
      </w:r>
      <w:r w:rsidRPr="006F66FF">
        <w:rPr>
          <w:rFonts w:ascii="Times New Roman" w:hAnsi="Times New Roman" w:cs="Times New Roman"/>
          <w:color w:val="212121"/>
          <w:sz w:val="24"/>
          <w:szCs w:val="24"/>
          <w:lang w:val="vi-VN"/>
        </w:rPr>
        <w:t>hội đồng quản trị có thể truy cập và đáp ứng như thế nào với những người làm việc đối với các cộng đồng chưa được phục vụ?</w:t>
      </w:r>
    </w:p>
    <w:p w:rsidR="006F66FF" w:rsidRPr="006F66FF" w:rsidRDefault="006F66FF" w:rsidP="0026542B">
      <w:pPr>
        <w:pStyle w:val="HTMLPreformatted"/>
        <w:shd w:val="clear" w:color="auto" w:fill="FFFFFF"/>
        <w:rPr>
          <w:rFonts w:ascii="Times New Roman" w:hAnsi="Times New Roman" w:cs="Times New Roman"/>
          <w:color w:val="212121"/>
          <w:sz w:val="24"/>
          <w:szCs w:val="24"/>
          <w:lang w:val="vi-VN"/>
        </w:rPr>
      </w:pPr>
    </w:p>
    <w:p w:rsidR="0026542B" w:rsidRPr="006F66FF" w:rsidRDefault="0026542B" w:rsidP="0026542B">
      <w:pPr>
        <w:pStyle w:val="HTMLPreformatted"/>
        <w:shd w:val="clear" w:color="auto" w:fill="FFFFFF"/>
        <w:rPr>
          <w:rFonts w:ascii="Times New Roman" w:hAnsi="Times New Roman" w:cs="Times New Roman"/>
          <w:color w:val="212121"/>
          <w:sz w:val="24"/>
          <w:szCs w:val="24"/>
        </w:rPr>
      </w:pPr>
      <w:r w:rsidRPr="006F66FF">
        <w:rPr>
          <w:rFonts w:ascii="Times New Roman" w:hAnsi="Times New Roman" w:cs="Times New Roman"/>
          <w:color w:val="212121"/>
          <w:sz w:val="24"/>
          <w:szCs w:val="24"/>
          <w:lang w:val="vi-VN"/>
        </w:rPr>
        <w:t>Hai trong số năm thực thể công cộng được kiểm tra trong báo cáo này là các hội đồng được bầu: Hội đồng Quận Escondido Union và Ban Giám Sát Quận San Diego. Hai người được bổ nhiệm: Ủy ban Kế hoạch Thành phố San Diego và Ủy ban Cảng San Diego. Một, Hội đồng Hệ thống vận tải đô thị, gồm các quan chức được bầu từ các thành phố địa phương và Quận.</w:t>
      </w:r>
    </w:p>
    <w:p w:rsidR="0026542B" w:rsidRPr="0026542B" w:rsidRDefault="0026542B" w:rsidP="00A9363D">
      <w:pPr>
        <w:pStyle w:val="NormalWeb"/>
        <w:rPr>
          <w:b/>
          <w:bCs/>
          <w:sz w:val="36"/>
          <w:szCs w:val="36"/>
        </w:rPr>
      </w:pPr>
    </w:p>
    <w:p w:rsidR="0026542B" w:rsidRDefault="0026542B" w:rsidP="00A9363D">
      <w:pPr>
        <w:pStyle w:val="NormalWeb"/>
        <w:rPr>
          <w:rFonts w:ascii="Helvetica" w:hAnsi="Helvetica"/>
          <w:b/>
          <w:bCs/>
          <w:sz w:val="40"/>
          <w:szCs w:val="40"/>
        </w:rPr>
      </w:pPr>
    </w:p>
    <w:p w:rsidR="00A9363D" w:rsidRDefault="00A9363D" w:rsidP="00A9363D">
      <w:pPr>
        <w:pStyle w:val="NormalWeb"/>
      </w:pPr>
      <w:r>
        <w:rPr>
          <w:rFonts w:ascii="Helvetica" w:hAnsi="Helvetica"/>
          <w:b/>
          <w:bCs/>
          <w:sz w:val="40"/>
          <w:szCs w:val="40"/>
        </w:rPr>
        <w:t>Community Representation Report:</w:t>
      </w:r>
      <w:r>
        <w:rPr>
          <w:rFonts w:ascii="Helvetica" w:hAnsi="Helvetica"/>
          <w:b/>
          <w:bCs/>
          <w:sz w:val="40"/>
          <w:szCs w:val="40"/>
        </w:rPr>
        <w:br/>
        <w:t xml:space="preserve">Boards and Commissions in the San Diego Region </w:t>
      </w:r>
    </w:p>
    <w:p w:rsidR="00A9363D" w:rsidRDefault="00A9363D" w:rsidP="00A9363D">
      <w:pPr>
        <w:pStyle w:val="NormalWeb"/>
      </w:pPr>
      <w:r>
        <w:rPr>
          <w:rFonts w:ascii="Helvetica" w:hAnsi="Helvetica"/>
          <w:i/>
          <w:iCs/>
        </w:rPr>
        <w:t xml:space="preserve">A report by the Center on Policy Initiatives </w:t>
      </w:r>
    </w:p>
    <w:p w:rsidR="00A9363D" w:rsidRDefault="00A9363D" w:rsidP="00A9363D">
      <w:pPr>
        <w:pStyle w:val="NormalWeb"/>
      </w:pPr>
      <w:r>
        <w:rPr>
          <w:rFonts w:ascii="ArialMT" w:hAnsi="ArialMT"/>
        </w:rPr>
        <w:t xml:space="preserve">August 2018 </w:t>
      </w:r>
    </w:p>
    <w:p w:rsidR="00A9363D" w:rsidRDefault="00A9363D" w:rsidP="00A9363D">
      <w:pPr>
        <w:pStyle w:val="NormalWeb"/>
      </w:pPr>
      <w:r>
        <w:rPr>
          <w:rFonts w:ascii="Helvetica" w:hAnsi="Helvetica"/>
          <w:b/>
          <w:bCs/>
          <w:sz w:val="28"/>
          <w:szCs w:val="28"/>
        </w:rPr>
        <w:t xml:space="preserve">EXECUTIVE SUMMARY </w:t>
      </w:r>
    </w:p>
    <w:p w:rsidR="00A9363D" w:rsidRDefault="00A9363D" w:rsidP="00A9363D">
      <w:pPr>
        <w:pStyle w:val="NormalWeb"/>
      </w:pPr>
      <w:r>
        <w:rPr>
          <w:rFonts w:ascii="ArialMT" w:hAnsi="ArialMT"/>
          <w:sz w:val="22"/>
          <w:szCs w:val="22"/>
        </w:rPr>
        <w:t xml:space="preserve">Appointed and elected commissions and boards have the power to make decisions that significantly affect the daily lives, opportunities, and future well-being of people living and working throughout the San Diego region. Some of these entities control millions or even billions of dollars in taxpayer funds. Their policy decisions regarding services and programs often directly impact social, economic, and racial equity. </w:t>
      </w:r>
    </w:p>
    <w:p w:rsidR="00A9363D" w:rsidRDefault="00A9363D" w:rsidP="00A9363D">
      <w:pPr>
        <w:pStyle w:val="NormalWeb"/>
      </w:pPr>
      <w:r>
        <w:rPr>
          <w:rFonts w:ascii="ArialMT" w:hAnsi="ArialMT"/>
          <w:sz w:val="22"/>
          <w:szCs w:val="22"/>
        </w:rPr>
        <w:t xml:space="preserve">In addition, access to membership on boards and commissions provides a path to other positions in governmental leadership. Therefore, having open and equitable access to board and commission appointments helps build political power for underrepresented communities and long-term community representation at multiple levels. </w:t>
      </w:r>
    </w:p>
    <w:p w:rsidR="00A9363D" w:rsidRDefault="00A9363D" w:rsidP="00A9363D">
      <w:pPr>
        <w:pStyle w:val="NormalWeb"/>
      </w:pPr>
      <w:r>
        <w:rPr>
          <w:rFonts w:ascii="ArialMT" w:hAnsi="ArialMT"/>
          <w:sz w:val="22"/>
          <w:szCs w:val="22"/>
        </w:rPr>
        <w:t xml:space="preserve">The purpose of this report is to examine the levels of diversity, inclusion, and community representation on five key boards and commissions, and how successfully they are addressing the needs of underserved communities. Our goal is to present a picture of the 2018 membership and functioning of each of the five decision-making bodies, their responsiveness to the viewpoints of diverse community residents, and how accessible the boards and commissions are to community residents who might seek membership on them. </w:t>
      </w:r>
    </w:p>
    <w:p w:rsidR="00A9363D" w:rsidRDefault="00A9363D" w:rsidP="00A9363D">
      <w:pPr>
        <w:pStyle w:val="NormalWeb"/>
      </w:pPr>
      <w:r>
        <w:rPr>
          <w:rFonts w:ascii="ArialMT" w:hAnsi="ArialMT"/>
          <w:sz w:val="22"/>
          <w:szCs w:val="22"/>
        </w:rPr>
        <w:t xml:space="preserve">We sought to answer the following questions about each of the five entities studied: </w:t>
      </w:r>
    </w:p>
    <w:p w:rsidR="00A9363D" w:rsidRDefault="00A9363D" w:rsidP="00A9363D">
      <w:pPr>
        <w:pStyle w:val="NormalWeb"/>
      </w:pPr>
      <w:r>
        <w:rPr>
          <w:rFonts w:ascii="ArialMT" w:hAnsi="ArialMT"/>
          <w:sz w:val="22"/>
          <w:szCs w:val="22"/>
        </w:rPr>
        <w:t>What types of decisions does it make and what resources does it control?</w:t>
      </w:r>
      <w:r>
        <w:rPr>
          <w:rFonts w:ascii="ArialMT" w:hAnsi="ArialMT"/>
          <w:sz w:val="22"/>
          <w:szCs w:val="22"/>
        </w:rPr>
        <w:br/>
        <w:t>How diverse is the board and how representative of the population it serves?</w:t>
      </w:r>
      <w:r>
        <w:rPr>
          <w:rFonts w:ascii="ArialMT" w:hAnsi="ArialMT"/>
          <w:sz w:val="22"/>
          <w:szCs w:val="22"/>
        </w:rPr>
        <w:br/>
        <w:t>How have the levels of diversity and connection to the community affected decision-making? How are people selected for membership and what barriers exist that affect diversity?</w:t>
      </w:r>
      <w:r>
        <w:rPr>
          <w:rFonts w:ascii="ArialMT" w:hAnsi="ArialMT"/>
          <w:sz w:val="22"/>
          <w:szCs w:val="22"/>
        </w:rPr>
        <w:br/>
        <w:t xml:space="preserve">How accessible and responsive are the board members to working people and underserved communities? </w:t>
      </w:r>
    </w:p>
    <w:p w:rsidR="00A9363D" w:rsidRDefault="00A9363D" w:rsidP="00A9363D">
      <w:pPr>
        <w:pStyle w:val="NormalWeb"/>
      </w:pPr>
      <w:r>
        <w:rPr>
          <w:rFonts w:ascii="ArialMT" w:hAnsi="ArialMT"/>
          <w:sz w:val="22"/>
          <w:szCs w:val="22"/>
        </w:rPr>
        <w:t xml:space="preserve">Two of the five public entities examined in this report are elected boards: The Escondido Union High School District Board and the San Diego County Board of Supervisors. Two are appointed: the City of San Diego Planning Commission and the Port Commission of San Diego. One, the Metropolitan Transit System Board, is made up of elected officials from local cities and the County. </w:t>
      </w:r>
    </w:p>
    <w:p w:rsidR="00765F9D" w:rsidRDefault="006E2198"/>
    <w:sectPr w:rsidR="00765F9D" w:rsidSect="00326D1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3D"/>
    <w:rsid w:val="000377F2"/>
    <w:rsid w:val="0026542B"/>
    <w:rsid w:val="00326D13"/>
    <w:rsid w:val="006E2198"/>
    <w:rsid w:val="006F66FF"/>
    <w:rsid w:val="00712C2D"/>
    <w:rsid w:val="007C5032"/>
    <w:rsid w:val="00A9363D"/>
    <w:rsid w:val="00E20BE4"/>
    <w:rsid w:val="00E754B3"/>
    <w:rsid w:val="00FB2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692E96A-7637-C34E-9079-ABB39BE2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3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6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6542B"/>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00951">
      <w:bodyDiv w:val="1"/>
      <w:marLeft w:val="0"/>
      <w:marRight w:val="0"/>
      <w:marTop w:val="0"/>
      <w:marBottom w:val="0"/>
      <w:divBdr>
        <w:top w:val="none" w:sz="0" w:space="0" w:color="auto"/>
        <w:left w:val="none" w:sz="0" w:space="0" w:color="auto"/>
        <w:bottom w:val="none" w:sz="0" w:space="0" w:color="auto"/>
        <w:right w:val="none" w:sz="0" w:space="0" w:color="auto"/>
      </w:divBdr>
      <w:divsChild>
        <w:div w:id="1251695583">
          <w:marLeft w:val="0"/>
          <w:marRight w:val="0"/>
          <w:marTop w:val="0"/>
          <w:marBottom w:val="0"/>
          <w:divBdr>
            <w:top w:val="none" w:sz="0" w:space="0" w:color="auto"/>
            <w:left w:val="none" w:sz="0" w:space="0" w:color="auto"/>
            <w:bottom w:val="none" w:sz="0" w:space="0" w:color="auto"/>
            <w:right w:val="none" w:sz="0" w:space="0" w:color="auto"/>
          </w:divBdr>
          <w:divsChild>
            <w:div w:id="1405907079">
              <w:marLeft w:val="0"/>
              <w:marRight w:val="0"/>
              <w:marTop w:val="0"/>
              <w:marBottom w:val="0"/>
              <w:divBdr>
                <w:top w:val="none" w:sz="0" w:space="0" w:color="auto"/>
                <w:left w:val="none" w:sz="0" w:space="0" w:color="auto"/>
                <w:bottom w:val="none" w:sz="0" w:space="0" w:color="auto"/>
                <w:right w:val="none" w:sz="0" w:space="0" w:color="auto"/>
              </w:divBdr>
              <w:divsChild>
                <w:div w:id="225800702">
                  <w:marLeft w:val="0"/>
                  <w:marRight w:val="0"/>
                  <w:marTop w:val="0"/>
                  <w:marBottom w:val="0"/>
                  <w:divBdr>
                    <w:top w:val="none" w:sz="0" w:space="0" w:color="auto"/>
                    <w:left w:val="none" w:sz="0" w:space="0" w:color="auto"/>
                    <w:bottom w:val="none" w:sz="0" w:space="0" w:color="auto"/>
                    <w:right w:val="none" w:sz="0" w:space="0" w:color="auto"/>
                  </w:divBdr>
                </w:div>
              </w:divsChild>
            </w:div>
            <w:div w:id="1176648383">
              <w:marLeft w:val="0"/>
              <w:marRight w:val="0"/>
              <w:marTop w:val="0"/>
              <w:marBottom w:val="0"/>
              <w:divBdr>
                <w:top w:val="none" w:sz="0" w:space="0" w:color="auto"/>
                <w:left w:val="none" w:sz="0" w:space="0" w:color="auto"/>
                <w:bottom w:val="none" w:sz="0" w:space="0" w:color="auto"/>
                <w:right w:val="none" w:sz="0" w:space="0" w:color="auto"/>
              </w:divBdr>
              <w:divsChild>
                <w:div w:id="206377110">
                  <w:marLeft w:val="0"/>
                  <w:marRight w:val="0"/>
                  <w:marTop w:val="0"/>
                  <w:marBottom w:val="0"/>
                  <w:divBdr>
                    <w:top w:val="none" w:sz="0" w:space="0" w:color="auto"/>
                    <w:left w:val="none" w:sz="0" w:space="0" w:color="auto"/>
                    <w:bottom w:val="none" w:sz="0" w:space="0" w:color="auto"/>
                    <w:right w:val="none" w:sz="0" w:space="0" w:color="auto"/>
                  </w:divBdr>
                </w:div>
              </w:divsChild>
            </w:div>
            <w:div w:id="2069570744">
              <w:marLeft w:val="0"/>
              <w:marRight w:val="0"/>
              <w:marTop w:val="0"/>
              <w:marBottom w:val="0"/>
              <w:divBdr>
                <w:top w:val="none" w:sz="0" w:space="0" w:color="auto"/>
                <w:left w:val="none" w:sz="0" w:space="0" w:color="auto"/>
                <w:bottom w:val="none" w:sz="0" w:space="0" w:color="auto"/>
                <w:right w:val="none" w:sz="0" w:space="0" w:color="auto"/>
              </w:divBdr>
              <w:divsChild>
                <w:div w:id="1170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195">
      <w:bodyDiv w:val="1"/>
      <w:marLeft w:val="0"/>
      <w:marRight w:val="0"/>
      <w:marTop w:val="0"/>
      <w:marBottom w:val="0"/>
      <w:divBdr>
        <w:top w:val="none" w:sz="0" w:space="0" w:color="auto"/>
        <w:left w:val="none" w:sz="0" w:space="0" w:color="auto"/>
        <w:bottom w:val="none" w:sz="0" w:space="0" w:color="auto"/>
        <w:right w:val="none" w:sz="0" w:space="0" w:color="auto"/>
      </w:divBdr>
    </w:div>
    <w:div w:id="1086613535">
      <w:bodyDiv w:val="1"/>
      <w:marLeft w:val="0"/>
      <w:marRight w:val="0"/>
      <w:marTop w:val="0"/>
      <w:marBottom w:val="0"/>
      <w:divBdr>
        <w:top w:val="none" w:sz="0" w:space="0" w:color="auto"/>
        <w:left w:val="none" w:sz="0" w:space="0" w:color="auto"/>
        <w:bottom w:val="none" w:sz="0" w:space="0" w:color="auto"/>
        <w:right w:val="none" w:sz="0" w:space="0" w:color="auto"/>
      </w:divBdr>
    </w:div>
    <w:div w:id="20652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Racic</dc:creator>
  <cp:keywords/>
  <dc:description/>
  <cp:lastModifiedBy>Aline Racic</cp:lastModifiedBy>
  <cp:revision>2</cp:revision>
  <dcterms:created xsi:type="dcterms:W3CDTF">2018-08-15T15:18:00Z</dcterms:created>
  <dcterms:modified xsi:type="dcterms:W3CDTF">2018-08-15T15:18:00Z</dcterms:modified>
</cp:coreProperties>
</file>