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9D52" w14:textId="59376DDC" w:rsidR="000C1AAF" w:rsidRPr="000E3040" w:rsidRDefault="000E3040" w:rsidP="000C1AAF">
      <w:pPr>
        <w:autoSpaceDE w:val="0"/>
        <w:autoSpaceDN w:val="0"/>
        <w:adjustRightInd w:val="0"/>
        <w:contextualSpacing/>
        <w:rPr>
          <w:rFonts w:eastAsia="Calibri" w:cs="Times New Roman"/>
          <w:b/>
          <w:bCs/>
        </w:rPr>
      </w:pPr>
      <w:bookmarkStart w:id="0" w:name="_GoBack"/>
      <w:r w:rsidRPr="000E3040">
        <w:rPr>
          <w:rFonts w:eastAsia="Calibri" w:cs="Times New Roman"/>
          <w:b/>
          <w:bCs/>
        </w:rPr>
        <w:t>Committee</w:t>
      </w:r>
      <w:bookmarkEnd w:id="0"/>
      <w:r w:rsidRPr="000E3040">
        <w:rPr>
          <w:rFonts w:eastAsia="Calibri" w:cs="Times New Roman"/>
          <w:b/>
          <w:bCs/>
        </w:rPr>
        <w:t xml:space="preserve"> Print</w:t>
      </w:r>
    </w:p>
    <w:p w14:paraId="2FF49FBD" w14:textId="6329CDCB" w:rsidR="000E3040" w:rsidRPr="000E3040" w:rsidRDefault="000E3040" w:rsidP="000C1AAF">
      <w:pPr>
        <w:autoSpaceDE w:val="0"/>
        <w:autoSpaceDN w:val="0"/>
        <w:adjustRightInd w:val="0"/>
        <w:contextualSpacing/>
        <w:rPr>
          <w:rFonts w:eastAsia="Calibri" w:cs="Times New Roman"/>
          <w:b/>
          <w:bCs/>
        </w:rPr>
      </w:pPr>
      <w:r w:rsidRPr="000E3040">
        <w:rPr>
          <w:rFonts w:eastAsia="Calibri" w:cs="Times New Roman"/>
          <w:b/>
          <w:bCs/>
        </w:rPr>
        <w:t>Committee on Labor and Workforce Development</w:t>
      </w:r>
    </w:p>
    <w:p w14:paraId="55C8BF8F" w14:textId="10354E32" w:rsidR="000E3040" w:rsidRPr="000E3040" w:rsidRDefault="000E3040" w:rsidP="000C1AAF">
      <w:pPr>
        <w:autoSpaceDE w:val="0"/>
        <w:autoSpaceDN w:val="0"/>
        <w:adjustRightInd w:val="0"/>
        <w:contextualSpacing/>
        <w:rPr>
          <w:rFonts w:eastAsia="Calibri" w:cs="Times New Roman"/>
          <w:b/>
          <w:bCs/>
        </w:rPr>
      </w:pPr>
      <w:r w:rsidRPr="000E3040">
        <w:rPr>
          <w:rFonts w:eastAsia="Calibri" w:cs="Times New Roman"/>
          <w:b/>
          <w:bCs/>
        </w:rPr>
        <w:t>B23-531</w:t>
      </w:r>
    </w:p>
    <w:p w14:paraId="7B51A2C0" w14:textId="27D06766" w:rsidR="000E3040" w:rsidRPr="000E3040" w:rsidRDefault="000E3040" w:rsidP="000C1AAF">
      <w:pPr>
        <w:autoSpaceDE w:val="0"/>
        <w:autoSpaceDN w:val="0"/>
        <w:adjustRightInd w:val="0"/>
        <w:contextualSpacing/>
        <w:rPr>
          <w:rFonts w:eastAsia="Calibri" w:cs="Times New Roman"/>
          <w:b/>
          <w:bCs/>
        </w:rPr>
      </w:pPr>
      <w:r w:rsidRPr="000E3040">
        <w:rPr>
          <w:rFonts w:eastAsia="Calibri" w:cs="Times New Roman"/>
          <w:b/>
          <w:bCs/>
        </w:rPr>
        <w:t xml:space="preserve">January </w:t>
      </w:r>
      <w:r w:rsidR="00120DC3">
        <w:rPr>
          <w:rFonts w:eastAsia="Calibri" w:cs="Times New Roman"/>
          <w:b/>
          <w:bCs/>
        </w:rPr>
        <w:t>29</w:t>
      </w:r>
      <w:r w:rsidRPr="000E3040">
        <w:rPr>
          <w:rFonts w:eastAsia="Calibri" w:cs="Times New Roman"/>
          <w:b/>
          <w:bCs/>
        </w:rPr>
        <w:t>, 2020</w:t>
      </w:r>
    </w:p>
    <w:p w14:paraId="456D39BE" w14:textId="77777777" w:rsidR="000C1AAF" w:rsidRPr="000C1AAF" w:rsidRDefault="000C1AAF" w:rsidP="000C1AAF">
      <w:pPr>
        <w:autoSpaceDE w:val="0"/>
        <w:autoSpaceDN w:val="0"/>
        <w:adjustRightInd w:val="0"/>
        <w:jc w:val="center"/>
        <w:rPr>
          <w:rFonts w:eastAsia="Calibri" w:cs="Times New Roman"/>
          <w:spacing w:val="40"/>
        </w:rPr>
      </w:pPr>
    </w:p>
    <w:p w14:paraId="0A4CF7AE" w14:textId="77777777" w:rsidR="000C1AAF" w:rsidRPr="000C1AAF" w:rsidRDefault="000C1AAF" w:rsidP="000C1AAF">
      <w:pPr>
        <w:autoSpaceDE w:val="0"/>
        <w:autoSpaceDN w:val="0"/>
        <w:adjustRightInd w:val="0"/>
        <w:jc w:val="center"/>
        <w:rPr>
          <w:rFonts w:eastAsia="Calibri" w:cs="Times New Roman"/>
          <w:spacing w:val="40"/>
        </w:rPr>
      </w:pPr>
    </w:p>
    <w:p w14:paraId="45C696E4" w14:textId="77777777" w:rsidR="000C1AAF" w:rsidRPr="000C1AAF" w:rsidRDefault="000C1AAF" w:rsidP="000C1AAF">
      <w:pPr>
        <w:autoSpaceDE w:val="0"/>
        <w:autoSpaceDN w:val="0"/>
        <w:adjustRightInd w:val="0"/>
        <w:jc w:val="center"/>
        <w:rPr>
          <w:rFonts w:eastAsia="Calibri" w:cs="Times New Roman"/>
          <w:spacing w:val="40"/>
        </w:rPr>
      </w:pPr>
    </w:p>
    <w:p w14:paraId="6E978A02" w14:textId="77777777" w:rsidR="000C1AAF" w:rsidRPr="000C1AAF" w:rsidRDefault="000C1AAF" w:rsidP="000C1AAF">
      <w:pPr>
        <w:autoSpaceDE w:val="0"/>
        <w:autoSpaceDN w:val="0"/>
        <w:adjustRightInd w:val="0"/>
        <w:jc w:val="center"/>
        <w:rPr>
          <w:rFonts w:eastAsia="Calibri" w:cs="Times New Roman"/>
          <w:spacing w:val="40"/>
        </w:rPr>
      </w:pPr>
      <w:r w:rsidRPr="000C1AAF">
        <w:rPr>
          <w:rFonts w:eastAsia="Calibri" w:cs="Times New Roman"/>
          <w:spacing w:val="40"/>
        </w:rPr>
        <w:t>A BILL</w:t>
      </w:r>
    </w:p>
    <w:p w14:paraId="46965F1E" w14:textId="77777777" w:rsidR="000C1AAF" w:rsidRPr="000C1AAF" w:rsidRDefault="000C1AAF" w:rsidP="000C1AAF">
      <w:pPr>
        <w:autoSpaceDE w:val="0"/>
        <w:autoSpaceDN w:val="0"/>
        <w:adjustRightInd w:val="0"/>
        <w:rPr>
          <w:rFonts w:eastAsia="Calibri" w:cs="Times New Roman"/>
        </w:rPr>
      </w:pPr>
    </w:p>
    <w:p w14:paraId="11CBED6C" w14:textId="4C0A051B" w:rsidR="000C1AAF" w:rsidRPr="000C1AAF" w:rsidRDefault="000E3040" w:rsidP="000E3040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>
        <w:rPr>
          <w:rFonts w:eastAsia="Calibri" w:cs="Times New Roman"/>
        </w:rPr>
        <w:t>B23-531</w:t>
      </w:r>
    </w:p>
    <w:p w14:paraId="576014CF" w14:textId="77777777" w:rsidR="000C1AAF" w:rsidRPr="000C1AAF" w:rsidRDefault="000C1AAF" w:rsidP="000C1AAF">
      <w:pPr>
        <w:autoSpaceDE w:val="0"/>
        <w:autoSpaceDN w:val="0"/>
        <w:adjustRightInd w:val="0"/>
        <w:jc w:val="center"/>
        <w:rPr>
          <w:rFonts w:eastAsia="Calibri" w:cs="Times New Roman"/>
        </w:rPr>
      </w:pPr>
      <w:r w:rsidRPr="000C1AAF">
        <w:rPr>
          <w:rFonts w:eastAsia="Calibri" w:cs="Times New Roman"/>
          <w:u w:val="single"/>
        </w:rPr>
        <w:t>_______</w:t>
      </w:r>
    </w:p>
    <w:p w14:paraId="1C0B3B78" w14:textId="77777777" w:rsidR="000C1AAF" w:rsidRPr="000C1AAF" w:rsidRDefault="000C1AAF" w:rsidP="000C1AAF">
      <w:pPr>
        <w:autoSpaceDE w:val="0"/>
        <w:autoSpaceDN w:val="0"/>
        <w:adjustRightInd w:val="0"/>
        <w:rPr>
          <w:rFonts w:eastAsia="Calibri" w:cs="Times New Roman"/>
          <w:u w:val="single"/>
        </w:rPr>
      </w:pPr>
    </w:p>
    <w:p w14:paraId="75F51E24" w14:textId="77777777" w:rsidR="000C1AAF" w:rsidRPr="000C1AAF" w:rsidRDefault="000C1AAF" w:rsidP="000C1AAF">
      <w:pPr>
        <w:autoSpaceDE w:val="0"/>
        <w:autoSpaceDN w:val="0"/>
        <w:adjustRightInd w:val="0"/>
        <w:rPr>
          <w:rFonts w:eastAsia="Calibri" w:cs="Times New Roman"/>
          <w:u w:val="single"/>
        </w:rPr>
      </w:pPr>
    </w:p>
    <w:p w14:paraId="322F38A6" w14:textId="13BD7D93" w:rsidR="00F80BB3" w:rsidRDefault="00615EAA" w:rsidP="007A6051">
      <w:pPr>
        <w:ind w:left="720" w:hanging="720"/>
      </w:pPr>
      <w:r>
        <w:t xml:space="preserve">To amend the District of Columbia Government Comprehensive Merit Personnel Act of 1978 to </w:t>
      </w:r>
      <w:r w:rsidR="00EC508F" w:rsidRPr="00EC508F">
        <w:t>amend the comparators that determine what is competitive compensation</w:t>
      </w:r>
      <w:r w:rsidR="008D3F38">
        <w:t xml:space="preserve"> for District government employees</w:t>
      </w:r>
      <w:r>
        <w:t>.</w:t>
      </w:r>
    </w:p>
    <w:p w14:paraId="7666EFB1" w14:textId="6F91B3C2" w:rsidR="00615EAA" w:rsidRDefault="00615EAA"/>
    <w:p w14:paraId="5DCBD405" w14:textId="011B8189" w:rsidR="007A6051" w:rsidRDefault="007A6051" w:rsidP="000C1AAF">
      <w:pPr>
        <w:spacing w:line="480" w:lineRule="auto"/>
      </w:pPr>
      <w:r>
        <w:tab/>
        <w:t xml:space="preserve">BE IT ENACTED BY THE COUNCIL OF THE DISTRICT OF COLUMBIA, </w:t>
      </w:r>
      <w:proofErr w:type="gramStart"/>
      <w:r w:rsidR="004B21E1">
        <w:t>T</w:t>
      </w:r>
      <w:r>
        <w:t>hat</w:t>
      </w:r>
      <w:proofErr w:type="gramEnd"/>
      <w:r>
        <w:t xml:space="preserve"> this act may be cited as the “</w:t>
      </w:r>
      <w:r w:rsidR="00F87B94">
        <w:t xml:space="preserve">Collective Bargaining </w:t>
      </w:r>
      <w:r w:rsidR="00E2092F">
        <w:t xml:space="preserve">Fair Compare </w:t>
      </w:r>
      <w:r>
        <w:t xml:space="preserve">Amendment Act of </w:t>
      </w:r>
      <w:r w:rsidR="008C68DA">
        <w:t>2020</w:t>
      </w:r>
      <w:r>
        <w:t>”.</w:t>
      </w:r>
    </w:p>
    <w:p w14:paraId="279F5DE5" w14:textId="120DB6D4" w:rsidR="0004276D" w:rsidRDefault="00F80BB3" w:rsidP="009E37B1">
      <w:pPr>
        <w:spacing w:line="480" w:lineRule="auto"/>
        <w:ind w:firstLine="720"/>
      </w:pPr>
      <w:r>
        <w:t>Sec. 2</w:t>
      </w:r>
      <w:r w:rsidR="002A4EDF">
        <w:t>.</w:t>
      </w:r>
      <w:r>
        <w:t xml:space="preserve"> </w:t>
      </w:r>
      <w:r w:rsidR="009E37B1">
        <w:t xml:space="preserve">Section 1103(a)(1) of </w:t>
      </w:r>
      <w:r w:rsidR="007D6834">
        <w:t>t</w:t>
      </w:r>
      <w:r>
        <w:t xml:space="preserve">he </w:t>
      </w:r>
      <w:r w:rsidR="00815DBD">
        <w:t>District of Columbia</w:t>
      </w:r>
      <w:r>
        <w:t xml:space="preserve"> </w:t>
      </w:r>
      <w:r w:rsidR="00815DBD">
        <w:t xml:space="preserve">Government Comprehensive Merit Personnel </w:t>
      </w:r>
      <w:r>
        <w:t xml:space="preserve">Act of </w:t>
      </w:r>
      <w:r w:rsidR="00815DBD">
        <w:t>1978</w:t>
      </w:r>
      <w:r>
        <w:t xml:space="preserve">, effective </w:t>
      </w:r>
      <w:r w:rsidR="00815DBD">
        <w:t>March 3, 1979</w:t>
      </w:r>
      <w:r>
        <w:t xml:space="preserve"> (D.C. Law </w:t>
      </w:r>
      <w:r w:rsidR="00815DBD">
        <w:t>2-139</w:t>
      </w:r>
      <w:r>
        <w:t xml:space="preserve">; D.C. Official Code </w:t>
      </w:r>
      <w:r w:rsidRPr="00F80BB3">
        <w:t>§</w:t>
      </w:r>
      <w:r w:rsidR="007D6834">
        <w:t> </w:t>
      </w:r>
      <w:r w:rsidRPr="00F80BB3">
        <w:t>1</w:t>
      </w:r>
      <w:r w:rsidR="007D6834">
        <w:noBreakHyphen/>
      </w:r>
      <w:r w:rsidRPr="00F80BB3">
        <w:t>6</w:t>
      </w:r>
      <w:r w:rsidR="009E37B1">
        <w:t>1</w:t>
      </w:r>
      <w:r w:rsidR="00FA7BC1">
        <w:t>1.</w:t>
      </w:r>
      <w:r w:rsidR="009E37B1">
        <w:t>03(a)(1</w:t>
      </w:r>
      <w:r w:rsidR="009E37B1" w:rsidRPr="009E37B1">
        <w:t>)</w:t>
      </w:r>
      <w:r w:rsidRPr="009E37B1">
        <w:t>),</w:t>
      </w:r>
      <w:r>
        <w:t xml:space="preserve"> is amended </w:t>
      </w:r>
      <w:r w:rsidR="0009192C">
        <w:t>by striking the phrase “</w:t>
      </w:r>
      <w:r w:rsidR="0009192C" w:rsidRPr="002A4EDF">
        <w:t>compensation prevailing in the Washington, D.C., Standard Metropolitan Statistical Area (SMSA)</w:t>
      </w:r>
      <w:r w:rsidR="00AF47F0" w:rsidRPr="00AF47F0">
        <w:t>; provided, that compensation levels may be examined for public and/or private employees outside the area and/or for federal government employees when necessary to establish a reasonably representative statistical basis for compensation comparisons, or when conditions in the local labor market require a larger sampling of prevailing compensation levels</w:t>
      </w:r>
      <w:r w:rsidR="0009192C">
        <w:t xml:space="preserve">” and </w:t>
      </w:r>
      <w:r w:rsidR="000A1A3F">
        <w:t xml:space="preserve">inserting the phrase </w:t>
      </w:r>
      <w:r w:rsidR="0009192C">
        <w:t>“</w:t>
      </w:r>
      <w:r w:rsidR="000E3040" w:rsidRPr="000E3040">
        <w:t xml:space="preserve">compensation of </w:t>
      </w:r>
      <w:r w:rsidR="00561335">
        <w:t xml:space="preserve">public sector </w:t>
      </w:r>
      <w:r w:rsidR="000E3040" w:rsidRPr="000E3040">
        <w:t>employees in jurisdictions with costs of living and working conditions comparable to the District or of employees in the federal government; provided, that compensation for Legal Service attorneys shall be fixed in accordance with section 858</w:t>
      </w:r>
      <w:r w:rsidR="00F36BB4">
        <w:t>”</w:t>
      </w:r>
      <w:r w:rsidR="000A1A3F">
        <w:t xml:space="preserve"> in its place</w:t>
      </w:r>
      <w:r w:rsidR="008217C0">
        <w:t>.</w:t>
      </w:r>
    </w:p>
    <w:p w14:paraId="53607E71" w14:textId="56D70267" w:rsidR="00E30CBA" w:rsidRDefault="00F65A4B" w:rsidP="00E30CBA">
      <w:pPr>
        <w:spacing w:line="480" w:lineRule="auto"/>
      </w:pPr>
      <w:r>
        <w:tab/>
      </w:r>
      <w:r w:rsidR="00E30CBA">
        <w:t xml:space="preserve">Sec. </w:t>
      </w:r>
      <w:r w:rsidR="00E30CBA">
        <w:t>3</w:t>
      </w:r>
      <w:r w:rsidR="00E30CBA">
        <w:t>.  Applicability.</w:t>
      </w:r>
    </w:p>
    <w:p w14:paraId="37DF92F0" w14:textId="77777777" w:rsidR="00E30CBA" w:rsidRDefault="00E30CBA" w:rsidP="00E30CBA">
      <w:pPr>
        <w:spacing w:line="480" w:lineRule="auto"/>
        <w:ind w:firstLine="720"/>
      </w:pPr>
      <w:r>
        <w:lastRenderedPageBreak/>
        <w:t>(a) This act shall apply upon the date of inclusion of its fiscal effect in an approved budget and financial plan.</w:t>
      </w:r>
    </w:p>
    <w:p w14:paraId="1714CB85" w14:textId="77777777" w:rsidR="00E30CBA" w:rsidRDefault="00E30CBA" w:rsidP="00E30CBA">
      <w:pPr>
        <w:spacing w:line="480" w:lineRule="auto"/>
        <w:ind w:firstLine="720"/>
      </w:pPr>
      <w:r>
        <w:t xml:space="preserve">(b) The Chief Financial Officer shall certify the date of the inclusion of the fiscal effect in an approved budget and financial </w:t>
      </w:r>
      <w:proofErr w:type="gramStart"/>
      <w:r>
        <w:t>plan, and</w:t>
      </w:r>
      <w:proofErr w:type="gramEnd"/>
      <w:r>
        <w:t xml:space="preserve"> provide notice to the Budget Director of the Council of the certification.</w:t>
      </w:r>
    </w:p>
    <w:p w14:paraId="13D067FD" w14:textId="77777777" w:rsidR="00E30CBA" w:rsidRDefault="00E30CBA" w:rsidP="00E30CBA">
      <w:pPr>
        <w:spacing w:line="480" w:lineRule="auto"/>
        <w:ind w:firstLine="720"/>
      </w:pPr>
      <w:r>
        <w:t>(c)(1) The Budget Director shall cause the notice of the certification to be published in the District of Columbia Register.</w:t>
      </w:r>
    </w:p>
    <w:p w14:paraId="3D321101" w14:textId="77777777" w:rsidR="00E30CBA" w:rsidRDefault="00E30CBA" w:rsidP="00E30CBA">
      <w:pPr>
        <w:spacing w:line="480" w:lineRule="auto"/>
        <w:ind w:firstLine="1440"/>
      </w:pPr>
      <w:r>
        <w:t>(2) The date of publication of the notice of the certification shall not affect the applicability of this act.</w:t>
      </w:r>
    </w:p>
    <w:p w14:paraId="0499CC3D" w14:textId="0B7A7307" w:rsidR="00481109" w:rsidRDefault="00F65A4B" w:rsidP="00DC62D5">
      <w:pPr>
        <w:spacing w:line="480" w:lineRule="auto"/>
        <w:ind w:firstLine="720"/>
      </w:pPr>
      <w:r>
        <w:t xml:space="preserve">Sec. </w:t>
      </w:r>
      <w:r w:rsidR="00E30CBA">
        <w:t>4</w:t>
      </w:r>
      <w:r>
        <w:t>. Fiscal impact statement.</w:t>
      </w:r>
    </w:p>
    <w:p w14:paraId="326DC8AB" w14:textId="3C8D899F" w:rsidR="004B21E1" w:rsidRDefault="00F65A4B" w:rsidP="000C1AAF">
      <w:pPr>
        <w:spacing w:line="480" w:lineRule="auto"/>
      </w:pPr>
      <w:r>
        <w:tab/>
        <w:t xml:space="preserve">The Council adopts the </w:t>
      </w:r>
      <w:r w:rsidR="004B21E1">
        <w:t>f</w:t>
      </w:r>
      <w:r>
        <w:t xml:space="preserve">iscal impact statement </w:t>
      </w:r>
      <w:r w:rsidR="008217C0">
        <w:t>in the committee report</w:t>
      </w:r>
      <w:r>
        <w:t xml:space="preserve"> as the fiscal impact statement required by section 4a of the General Legislative Procedures Act of 1975, approved October 16, 2006 (120 Stat. 2038</w:t>
      </w:r>
      <w:r w:rsidR="004B21E1">
        <w:t xml:space="preserve">; D.C. Official Code </w:t>
      </w:r>
      <w:r w:rsidR="004B21E1" w:rsidRPr="00F80BB3">
        <w:t>§</w:t>
      </w:r>
      <w:r w:rsidR="004B21E1">
        <w:t xml:space="preserve"> 1–301.47a).</w:t>
      </w:r>
    </w:p>
    <w:p w14:paraId="06CE5C27" w14:textId="739B8DE9" w:rsidR="004B21E1" w:rsidRDefault="004B21E1" w:rsidP="00E30CBA">
      <w:pPr>
        <w:spacing w:line="480" w:lineRule="auto"/>
      </w:pPr>
      <w:r>
        <w:tab/>
        <w:t xml:space="preserve">Sec. </w:t>
      </w:r>
      <w:r w:rsidR="00E12F42">
        <w:t>5</w:t>
      </w:r>
      <w:r w:rsidR="00116A8A">
        <w:t>.</w:t>
      </w:r>
      <w:r>
        <w:t xml:space="preserve"> Effective Date.</w:t>
      </w:r>
    </w:p>
    <w:p w14:paraId="7C4F768D" w14:textId="1A8FD93F" w:rsidR="004B21E1" w:rsidRDefault="004B21E1" w:rsidP="000C1AAF">
      <w:pPr>
        <w:spacing w:line="480" w:lineRule="auto"/>
      </w:pPr>
      <w:r>
        <w:tab/>
        <w:t xml:space="preserve">This act shall take effect following approval by the Mayor (or in the event of veto by Mayor, action by the Council to override veto), a 30-day period of congressional review as provided in section 602(c)(1) of the District of Columbia Home Rule Act, approved December 24, 1973 (87 Stat. 813; D.C. Official Code </w:t>
      </w:r>
      <w:r w:rsidRPr="00F80BB3">
        <w:t>§</w:t>
      </w:r>
      <w:r>
        <w:t xml:space="preserve"> 1–206.02(c)(1)), and publication in the District of Columbia Register.</w:t>
      </w:r>
    </w:p>
    <w:sectPr w:rsidR="004B21E1" w:rsidSect="006352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C4412" w14:textId="77777777" w:rsidR="002B59A8" w:rsidRDefault="002B59A8" w:rsidP="00E524AD">
      <w:r>
        <w:separator/>
      </w:r>
    </w:p>
  </w:endnote>
  <w:endnote w:type="continuationSeparator" w:id="0">
    <w:p w14:paraId="4546B9E4" w14:textId="77777777" w:rsidR="002B59A8" w:rsidRDefault="002B59A8" w:rsidP="00E5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0DB2" w14:textId="77777777" w:rsidR="00E524AD" w:rsidRDefault="00E52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C60F" w14:textId="77777777" w:rsidR="00E524AD" w:rsidRDefault="00E52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12B37" w14:textId="77777777" w:rsidR="00E524AD" w:rsidRDefault="00E52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D114B" w14:textId="77777777" w:rsidR="002B59A8" w:rsidRDefault="002B59A8" w:rsidP="00E524AD">
      <w:r>
        <w:separator/>
      </w:r>
    </w:p>
  </w:footnote>
  <w:footnote w:type="continuationSeparator" w:id="0">
    <w:p w14:paraId="5390394B" w14:textId="77777777" w:rsidR="002B59A8" w:rsidRDefault="002B59A8" w:rsidP="00E5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E86E" w14:textId="756B477A" w:rsidR="00E524AD" w:rsidRDefault="00E52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85B2" w14:textId="2FA1FE52" w:rsidR="00E524AD" w:rsidRDefault="00E52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A23A" w14:textId="23A7BF86" w:rsidR="00E524AD" w:rsidRDefault="00E52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199"/>
    <w:multiLevelType w:val="hybridMultilevel"/>
    <w:tmpl w:val="478AD798"/>
    <w:lvl w:ilvl="0" w:tplc="52F01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92ED6"/>
    <w:multiLevelType w:val="hybridMultilevel"/>
    <w:tmpl w:val="7500DBB2"/>
    <w:lvl w:ilvl="0" w:tplc="CD3026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01AD71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 (Body CS)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46DF"/>
    <w:multiLevelType w:val="hybridMultilevel"/>
    <w:tmpl w:val="1CA2D398"/>
    <w:lvl w:ilvl="0" w:tplc="A1441E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A105B1"/>
    <w:multiLevelType w:val="hybridMultilevel"/>
    <w:tmpl w:val="A85202B2"/>
    <w:lvl w:ilvl="0" w:tplc="5CFEDA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42"/>
    <w:rsid w:val="0004276D"/>
    <w:rsid w:val="000504EF"/>
    <w:rsid w:val="00070E9E"/>
    <w:rsid w:val="0009192C"/>
    <w:rsid w:val="000A1A3F"/>
    <w:rsid w:val="000C1AAF"/>
    <w:rsid w:val="000E3040"/>
    <w:rsid w:val="000F7617"/>
    <w:rsid w:val="00116A8A"/>
    <w:rsid w:val="00120DC3"/>
    <w:rsid w:val="00121D7A"/>
    <w:rsid w:val="001775B9"/>
    <w:rsid w:val="001B4410"/>
    <w:rsid w:val="001F7481"/>
    <w:rsid w:val="0023458D"/>
    <w:rsid w:val="00261F00"/>
    <w:rsid w:val="00266F97"/>
    <w:rsid w:val="002A4EDF"/>
    <w:rsid w:val="002A5AFF"/>
    <w:rsid w:val="002B59A8"/>
    <w:rsid w:val="002F67BC"/>
    <w:rsid w:val="00320B03"/>
    <w:rsid w:val="003320AF"/>
    <w:rsid w:val="00362AB1"/>
    <w:rsid w:val="00382FEF"/>
    <w:rsid w:val="00386A3A"/>
    <w:rsid w:val="003F3DA4"/>
    <w:rsid w:val="0040729F"/>
    <w:rsid w:val="004120BC"/>
    <w:rsid w:val="00481109"/>
    <w:rsid w:val="004828DE"/>
    <w:rsid w:val="00484577"/>
    <w:rsid w:val="00484C68"/>
    <w:rsid w:val="004A19BD"/>
    <w:rsid w:val="004B21E1"/>
    <w:rsid w:val="004C5B84"/>
    <w:rsid w:val="004E6E10"/>
    <w:rsid w:val="005024E2"/>
    <w:rsid w:val="00522DF2"/>
    <w:rsid w:val="00546D92"/>
    <w:rsid w:val="00561335"/>
    <w:rsid w:val="00596A5A"/>
    <w:rsid w:val="005B4066"/>
    <w:rsid w:val="005C1A38"/>
    <w:rsid w:val="005D02A6"/>
    <w:rsid w:val="00615EAA"/>
    <w:rsid w:val="00616BD8"/>
    <w:rsid w:val="00620F30"/>
    <w:rsid w:val="006258BB"/>
    <w:rsid w:val="006352DD"/>
    <w:rsid w:val="00662D72"/>
    <w:rsid w:val="006637B5"/>
    <w:rsid w:val="006646DB"/>
    <w:rsid w:val="006C606F"/>
    <w:rsid w:val="00707A9A"/>
    <w:rsid w:val="00712B7C"/>
    <w:rsid w:val="007545D0"/>
    <w:rsid w:val="00760E6E"/>
    <w:rsid w:val="00774160"/>
    <w:rsid w:val="00775DAB"/>
    <w:rsid w:val="007A6051"/>
    <w:rsid w:val="007D40C2"/>
    <w:rsid w:val="007D6834"/>
    <w:rsid w:val="007F0682"/>
    <w:rsid w:val="00815DBD"/>
    <w:rsid w:val="008217C0"/>
    <w:rsid w:val="00833983"/>
    <w:rsid w:val="00875666"/>
    <w:rsid w:val="008A135D"/>
    <w:rsid w:val="008B35D3"/>
    <w:rsid w:val="008C4EA4"/>
    <w:rsid w:val="008C68DA"/>
    <w:rsid w:val="008D3F38"/>
    <w:rsid w:val="00933E84"/>
    <w:rsid w:val="00943027"/>
    <w:rsid w:val="00957CED"/>
    <w:rsid w:val="009776F5"/>
    <w:rsid w:val="009C72EA"/>
    <w:rsid w:val="009E1DD7"/>
    <w:rsid w:val="009E37B1"/>
    <w:rsid w:val="009F3AE7"/>
    <w:rsid w:val="009F7294"/>
    <w:rsid w:val="00A05A0A"/>
    <w:rsid w:val="00AB7037"/>
    <w:rsid w:val="00AF47F0"/>
    <w:rsid w:val="00B12FE4"/>
    <w:rsid w:val="00B26EE0"/>
    <w:rsid w:val="00BD2985"/>
    <w:rsid w:val="00C057D4"/>
    <w:rsid w:val="00CC4782"/>
    <w:rsid w:val="00CE2581"/>
    <w:rsid w:val="00D34668"/>
    <w:rsid w:val="00D47913"/>
    <w:rsid w:val="00D52389"/>
    <w:rsid w:val="00DC62D5"/>
    <w:rsid w:val="00DD7C2C"/>
    <w:rsid w:val="00DE15A7"/>
    <w:rsid w:val="00E072BA"/>
    <w:rsid w:val="00E12F42"/>
    <w:rsid w:val="00E2092F"/>
    <w:rsid w:val="00E30CBA"/>
    <w:rsid w:val="00E32237"/>
    <w:rsid w:val="00E35E30"/>
    <w:rsid w:val="00E524AD"/>
    <w:rsid w:val="00E55B67"/>
    <w:rsid w:val="00EA29B4"/>
    <w:rsid w:val="00EC508F"/>
    <w:rsid w:val="00EF19B0"/>
    <w:rsid w:val="00F36BB4"/>
    <w:rsid w:val="00F57753"/>
    <w:rsid w:val="00F65A4B"/>
    <w:rsid w:val="00F74CA4"/>
    <w:rsid w:val="00F80BB3"/>
    <w:rsid w:val="00F87B94"/>
    <w:rsid w:val="00F904CA"/>
    <w:rsid w:val="00FA298E"/>
    <w:rsid w:val="00FA7BC1"/>
    <w:rsid w:val="00FB471D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BF61E0"/>
  <w15:chartTrackingRefBased/>
  <w15:docId w15:val="{445DF7A5-6AA2-0B4B-BF5C-8E3E1328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6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E1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10"/>
    <w:rPr>
      <w:rFonts w:cs="Times New Roman"/>
      <w:sz w:val="18"/>
      <w:szCs w:val="18"/>
    </w:rPr>
  </w:style>
  <w:style w:type="paragraph" w:styleId="Revision">
    <w:name w:val="Revision"/>
    <w:hidden/>
    <w:uiPriority w:val="99"/>
    <w:semiHidden/>
    <w:rsid w:val="00AB7037"/>
  </w:style>
  <w:style w:type="character" w:styleId="LineNumber">
    <w:name w:val="line number"/>
    <w:basedOn w:val="DefaultParagraphFont"/>
    <w:uiPriority w:val="99"/>
    <w:semiHidden/>
    <w:unhideWhenUsed/>
    <w:rsid w:val="000C1AAF"/>
  </w:style>
  <w:style w:type="paragraph" w:styleId="Header">
    <w:name w:val="header"/>
    <w:basedOn w:val="Normal"/>
    <w:link w:val="HeaderChar"/>
    <w:uiPriority w:val="99"/>
    <w:unhideWhenUsed/>
    <w:rsid w:val="00E52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4AD"/>
  </w:style>
  <w:style w:type="paragraph" w:styleId="Footer">
    <w:name w:val="footer"/>
    <w:basedOn w:val="Normal"/>
    <w:link w:val="FooterChar"/>
    <w:uiPriority w:val="99"/>
    <w:unhideWhenUsed/>
    <w:rsid w:val="00E52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D3A120325AD44826B8BF39689BAD1" ma:contentTypeVersion="9" ma:contentTypeDescription="Create a new document." ma:contentTypeScope="" ma:versionID="fc7075f111de446c090d1f9f2e805571">
  <xsd:schema xmlns:xsd="http://www.w3.org/2001/XMLSchema" xmlns:xs="http://www.w3.org/2001/XMLSchema" xmlns:p="http://schemas.microsoft.com/office/2006/metadata/properties" xmlns:ns1="http://schemas.microsoft.com/sharepoint/v3" xmlns:ns3="2e02da5f-77e0-4585-a2bc-1c9ea7f40f6d" targetNamespace="http://schemas.microsoft.com/office/2006/metadata/properties" ma:root="true" ma:fieldsID="522410679839bef63d73c904b7547dab" ns1:_="" ns3:_="">
    <xsd:import namespace="http://schemas.microsoft.com/sharepoint/v3"/>
    <xsd:import namespace="2e02da5f-77e0-4585-a2bc-1c9ea7f40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da5f-77e0-4585-a2bc-1c9ea7f40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9E9785-5F7B-4052-A643-2A561FA20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02da5f-77e0-4585-a2bc-1c9ea7f40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75974-050E-46B4-BBB0-709AD03E3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F9A39-15E4-4640-866E-EB2EE0970B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36AC72-7D49-4B1C-9EB9-3FEF8451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Vaynshteyn, Dimitri (Council)</dc:creator>
  <cp:keywords/>
  <dc:description/>
  <cp:lastModifiedBy>admin</cp:lastModifiedBy>
  <cp:revision>2</cp:revision>
  <cp:lastPrinted>2019-11-01T16:56:00Z</cp:lastPrinted>
  <dcterms:created xsi:type="dcterms:W3CDTF">2020-01-27T22:07:00Z</dcterms:created>
  <dcterms:modified xsi:type="dcterms:W3CDTF">2020-01-27T22:07:00Z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0x010100609D3A120325AD44826B8BF39689BAD1</vt:lpwstr>
  </property>
</Properties>
</file>