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2445E" w14:textId="77777777" w:rsidR="00080055" w:rsidRDefault="00080055" w:rsidP="0008005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Tripartite Emergency Management Working Group: </w:t>
      </w:r>
    </w:p>
    <w:p w14:paraId="1CD57F93" w14:textId="77777777" w:rsidR="00080055" w:rsidRPr="005D13A2" w:rsidRDefault="00080055" w:rsidP="00080055">
      <w:pPr>
        <w:jc w:val="center"/>
        <w:rPr>
          <w:rFonts w:cs="Arial"/>
          <w:sz w:val="28"/>
          <w:szCs w:val="28"/>
        </w:rPr>
      </w:pPr>
      <w:r w:rsidRPr="005D13A2">
        <w:rPr>
          <w:rFonts w:cs="Arial"/>
          <w:sz w:val="28"/>
          <w:szCs w:val="28"/>
        </w:rPr>
        <w:t xml:space="preserve">Technical Sub-Committee on Emergency Program Act Reform </w:t>
      </w:r>
    </w:p>
    <w:p w14:paraId="458BF16F" w14:textId="77777777" w:rsidR="00080055" w:rsidRPr="005D13A2" w:rsidRDefault="00080055" w:rsidP="00080055">
      <w:pPr>
        <w:jc w:val="center"/>
        <w:rPr>
          <w:rFonts w:cs="Arial"/>
          <w:sz w:val="28"/>
          <w:szCs w:val="28"/>
        </w:rPr>
      </w:pPr>
      <w:r w:rsidRPr="005D13A2">
        <w:rPr>
          <w:rFonts w:cs="Arial"/>
          <w:sz w:val="28"/>
          <w:szCs w:val="28"/>
        </w:rPr>
        <w:t xml:space="preserve">Terms of Reference </w:t>
      </w:r>
    </w:p>
    <w:p w14:paraId="24BA10A8" w14:textId="77777777" w:rsidR="00080055" w:rsidRPr="005D13A2" w:rsidRDefault="00080055" w:rsidP="00080055">
      <w:pPr>
        <w:jc w:val="center"/>
        <w:rPr>
          <w:rFonts w:cs="Arial"/>
          <w:sz w:val="28"/>
          <w:szCs w:val="28"/>
        </w:rPr>
      </w:pPr>
    </w:p>
    <w:p w14:paraId="111DD500" w14:textId="77777777" w:rsidR="00080055" w:rsidRPr="005D13A2" w:rsidRDefault="00080055" w:rsidP="00080055">
      <w:pPr>
        <w:jc w:val="center"/>
        <w:rPr>
          <w:rFonts w:cs="Arial"/>
          <w:szCs w:val="28"/>
        </w:rPr>
      </w:pPr>
      <w:r w:rsidRPr="005D13A2">
        <w:rPr>
          <w:rFonts w:cs="Arial"/>
          <w:szCs w:val="28"/>
        </w:rPr>
        <w:t xml:space="preserve">Approved by </w:t>
      </w:r>
      <w:r w:rsidRPr="005D13A2">
        <w:rPr>
          <w:rFonts w:cs="Arial"/>
          <w:szCs w:val="28"/>
        </w:rPr>
        <w:fldChar w:fldCharType="begin"/>
      </w:r>
      <w:r w:rsidRPr="005D13A2">
        <w:rPr>
          <w:rFonts w:cs="Arial"/>
          <w:szCs w:val="28"/>
        </w:rPr>
        <w:instrText xml:space="preserve"> SYMBOL  117 \f Wingdings  \* MERGEFORMAT </w:instrText>
      </w:r>
      <w:r w:rsidRPr="005D13A2">
        <w:rPr>
          <w:rFonts w:cs="Arial"/>
          <w:szCs w:val="28"/>
        </w:rPr>
        <w:fldChar w:fldCharType="end"/>
      </w:r>
      <w:r w:rsidRPr="005D13A2">
        <w:rPr>
          <w:rFonts w:cs="Arial"/>
          <w:szCs w:val="28"/>
        </w:rPr>
        <w:t xml:space="preserve"> on _______, 2020</w:t>
      </w:r>
    </w:p>
    <w:p w14:paraId="40811DEB" w14:textId="77777777" w:rsidR="00080055" w:rsidRPr="005D13A2" w:rsidRDefault="00080055" w:rsidP="00080055">
      <w:pPr>
        <w:spacing w:line="276" w:lineRule="auto"/>
        <w:rPr>
          <w:rFonts w:cs="Arial"/>
          <w:szCs w:val="28"/>
        </w:rPr>
      </w:pPr>
    </w:p>
    <w:p w14:paraId="34658DB3" w14:textId="77777777" w:rsidR="00080055" w:rsidRPr="005D13A2" w:rsidRDefault="00080055" w:rsidP="00080055">
      <w:pPr>
        <w:spacing w:line="276" w:lineRule="auto"/>
        <w:jc w:val="center"/>
        <w:rPr>
          <w:rFonts w:cs="Arial"/>
          <w:b/>
          <w:szCs w:val="28"/>
        </w:rPr>
      </w:pPr>
      <w:r w:rsidRPr="005D13A2">
        <w:rPr>
          <w:rFonts w:cs="Arial"/>
          <w:b/>
          <w:szCs w:val="28"/>
        </w:rPr>
        <w:t>DRAFT FOR DISCUSSION</w:t>
      </w:r>
    </w:p>
    <w:p w14:paraId="36F9D0E3" w14:textId="77777777" w:rsidR="00080055" w:rsidRPr="005D13A2" w:rsidRDefault="00080055" w:rsidP="00080055">
      <w:pPr>
        <w:spacing w:line="276" w:lineRule="auto"/>
        <w:rPr>
          <w:rFonts w:cs="Arial"/>
          <w:szCs w:val="28"/>
        </w:rPr>
      </w:pPr>
    </w:p>
    <w:p w14:paraId="28CF6B89" w14:textId="77777777" w:rsidR="00080055" w:rsidRPr="005D13A2" w:rsidRDefault="00080055" w:rsidP="00080055">
      <w:pPr>
        <w:spacing w:line="276" w:lineRule="auto"/>
        <w:rPr>
          <w:rFonts w:cs="Arial"/>
          <w:szCs w:val="28"/>
        </w:rPr>
      </w:pPr>
      <w:r w:rsidRPr="005D13A2">
        <w:rPr>
          <w:rFonts w:cs="Arial"/>
          <w:szCs w:val="28"/>
        </w:rPr>
        <w:br w:type="page"/>
      </w:r>
    </w:p>
    <w:p w14:paraId="385D1CCB" w14:textId="67E5EE5F" w:rsidR="00080055" w:rsidRPr="005D13A2" w:rsidRDefault="00080055" w:rsidP="00080055">
      <w:pPr>
        <w:rPr>
          <w:rFonts w:cs="Arial"/>
          <w:szCs w:val="28"/>
        </w:rPr>
      </w:pPr>
      <w:r w:rsidRPr="005D13A2">
        <w:rPr>
          <w:rFonts w:cs="Arial"/>
          <w:szCs w:val="28"/>
        </w:rPr>
        <w:lastRenderedPageBreak/>
        <w:t xml:space="preserve">The purpose of this </w:t>
      </w:r>
      <w:r w:rsidR="005D13A2" w:rsidRPr="005D13A2">
        <w:rPr>
          <w:rFonts w:cs="Arial"/>
          <w:szCs w:val="28"/>
        </w:rPr>
        <w:t>Terms of Reference</w:t>
      </w:r>
      <w:r w:rsidR="003230E5" w:rsidRPr="005D13A2">
        <w:rPr>
          <w:rFonts w:cs="Arial"/>
          <w:szCs w:val="28"/>
        </w:rPr>
        <w:t xml:space="preserve"> </w:t>
      </w:r>
      <w:r w:rsidRPr="005D13A2">
        <w:rPr>
          <w:rFonts w:cs="Arial"/>
          <w:szCs w:val="28"/>
        </w:rPr>
        <w:t xml:space="preserve">document is to </w:t>
      </w:r>
      <w:r w:rsidR="0089232F" w:rsidRPr="005D13A2">
        <w:rPr>
          <w:rFonts w:cs="Arial"/>
          <w:szCs w:val="28"/>
        </w:rPr>
        <w:t xml:space="preserve">define </w:t>
      </w:r>
      <w:r w:rsidRPr="005D13A2">
        <w:rPr>
          <w:rFonts w:cs="Arial"/>
          <w:szCs w:val="28"/>
        </w:rPr>
        <w:t>the scope</w:t>
      </w:r>
      <w:r w:rsidR="003230E5" w:rsidRPr="005D13A2">
        <w:rPr>
          <w:rFonts w:cs="Arial"/>
          <w:szCs w:val="28"/>
        </w:rPr>
        <w:t>, composition,</w:t>
      </w:r>
      <w:r w:rsidRPr="005D13A2">
        <w:rPr>
          <w:rFonts w:cs="Arial"/>
          <w:szCs w:val="28"/>
        </w:rPr>
        <w:t xml:space="preserve"> and priorities of the Tripartite Emergency Management Working Group’s Technical Sub-Committee on Emergency Program Act Reform. </w:t>
      </w:r>
    </w:p>
    <w:p w14:paraId="67267029" w14:textId="77777777" w:rsidR="00080055" w:rsidRPr="005D13A2" w:rsidRDefault="00080055" w:rsidP="00080055">
      <w:pPr>
        <w:pStyle w:val="Heading1"/>
        <w:numPr>
          <w:ilvl w:val="0"/>
          <w:numId w:val="1"/>
        </w:numPr>
      </w:pPr>
      <w:r w:rsidRPr="005D13A2">
        <w:t xml:space="preserve">Background &amp; Context </w:t>
      </w:r>
    </w:p>
    <w:p w14:paraId="48A9BB9F" w14:textId="220DE24A" w:rsidR="00080055" w:rsidRPr="00EB3AD6" w:rsidRDefault="00080055" w:rsidP="00080055">
      <w:pPr>
        <w:rPr>
          <w:rFonts w:cs="Arial"/>
          <w:szCs w:val="28"/>
        </w:rPr>
      </w:pPr>
      <w:r w:rsidRPr="00EB3AD6">
        <w:rPr>
          <w:rFonts w:cs="Arial"/>
          <w:szCs w:val="28"/>
        </w:rPr>
        <w:t>In early 2016, the BC Cabinet and the F</w:t>
      </w:r>
      <w:r w:rsidR="0089232F" w:rsidRPr="00EB3AD6">
        <w:rPr>
          <w:rFonts w:cs="Arial"/>
          <w:szCs w:val="28"/>
        </w:rPr>
        <w:t xml:space="preserve">irst </w:t>
      </w:r>
      <w:r w:rsidRPr="00EB3AD6">
        <w:rPr>
          <w:rFonts w:cs="Arial"/>
          <w:szCs w:val="28"/>
        </w:rPr>
        <w:t>N</w:t>
      </w:r>
      <w:r w:rsidR="0089232F" w:rsidRPr="00EB3AD6">
        <w:rPr>
          <w:rFonts w:cs="Arial"/>
          <w:szCs w:val="28"/>
        </w:rPr>
        <w:t xml:space="preserve">ations </w:t>
      </w:r>
      <w:r w:rsidRPr="00EB3AD6">
        <w:rPr>
          <w:rFonts w:cs="Arial"/>
          <w:szCs w:val="28"/>
        </w:rPr>
        <w:t>L</w:t>
      </w:r>
      <w:r w:rsidR="0089232F" w:rsidRPr="00EB3AD6">
        <w:rPr>
          <w:rFonts w:cs="Arial"/>
          <w:szCs w:val="28"/>
        </w:rPr>
        <w:t xml:space="preserve">eadership </w:t>
      </w:r>
      <w:r w:rsidRPr="00EB3AD6">
        <w:rPr>
          <w:rFonts w:cs="Arial"/>
          <w:szCs w:val="28"/>
        </w:rPr>
        <w:t>C</w:t>
      </w:r>
      <w:r w:rsidR="0089232F" w:rsidRPr="00EB3AD6">
        <w:rPr>
          <w:rFonts w:cs="Arial"/>
          <w:szCs w:val="28"/>
        </w:rPr>
        <w:t>ouncil (“</w:t>
      </w:r>
      <w:r w:rsidR="0089232F" w:rsidRPr="00EB3AD6">
        <w:rPr>
          <w:rFonts w:cs="Arial"/>
          <w:b/>
          <w:szCs w:val="28"/>
        </w:rPr>
        <w:t>FNLC</w:t>
      </w:r>
      <w:r w:rsidR="0089232F" w:rsidRPr="00EB3AD6">
        <w:rPr>
          <w:rFonts w:cs="Arial"/>
          <w:szCs w:val="28"/>
        </w:rPr>
        <w:t>”)</w:t>
      </w:r>
      <w:r w:rsidR="003F1548" w:rsidRPr="00EB3AD6">
        <w:rPr>
          <w:rFonts w:cs="Arial"/>
          <w:szCs w:val="28"/>
        </w:rPr>
        <w:t xml:space="preserve">, being a collective composed of the </w:t>
      </w:r>
      <w:r w:rsidR="003F1548" w:rsidRPr="00EB3AD6">
        <w:rPr>
          <w:rFonts w:cs="Arial"/>
          <w:szCs w:val="28"/>
          <w:lang w:val="en-US"/>
        </w:rPr>
        <w:t>BC Assembly of First Nations (“</w:t>
      </w:r>
      <w:r w:rsidR="003F1548" w:rsidRPr="00EB3AD6">
        <w:rPr>
          <w:rFonts w:cs="Arial"/>
          <w:b/>
          <w:szCs w:val="28"/>
          <w:lang w:val="en-US"/>
        </w:rPr>
        <w:t>BCAFN</w:t>
      </w:r>
      <w:r w:rsidR="003F1548" w:rsidRPr="00EB3AD6">
        <w:rPr>
          <w:rFonts w:cs="Arial"/>
          <w:szCs w:val="28"/>
          <w:lang w:val="en-US"/>
        </w:rPr>
        <w:t>”), First Nations Summit (“</w:t>
      </w:r>
      <w:r w:rsidR="003F1548" w:rsidRPr="00EB3AD6">
        <w:rPr>
          <w:rFonts w:cs="Arial"/>
          <w:b/>
          <w:szCs w:val="28"/>
          <w:lang w:val="en-US"/>
        </w:rPr>
        <w:t>FNS</w:t>
      </w:r>
      <w:r w:rsidR="003F1548" w:rsidRPr="00EB3AD6">
        <w:rPr>
          <w:rFonts w:cs="Arial"/>
          <w:szCs w:val="28"/>
          <w:lang w:val="en-US"/>
        </w:rPr>
        <w:t>”) and Union of BC Indian Chiefs (“</w:t>
      </w:r>
      <w:r w:rsidR="003F1548" w:rsidRPr="00EB3AD6">
        <w:rPr>
          <w:rFonts w:cs="Arial"/>
          <w:b/>
          <w:szCs w:val="28"/>
          <w:lang w:val="en-US"/>
        </w:rPr>
        <w:t>UBCIC</w:t>
      </w:r>
      <w:r w:rsidR="003F1548" w:rsidRPr="00EB3AD6">
        <w:rPr>
          <w:rFonts w:cs="Arial"/>
          <w:szCs w:val="28"/>
          <w:lang w:val="en-US"/>
        </w:rPr>
        <w:t>”),</w:t>
      </w:r>
      <w:r w:rsidRPr="00EB3AD6">
        <w:rPr>
          <w:rFonts w:cs="Arial"/>
          <w:szCs w:val="28"/>
        </w:rPr>
        <w:t xml:space="preserve"> endorsed </w:t>
      </w:r>
      <w:r w:rsidR="003230E5" w:rsidRPr="00EB3AD6">
        <w:rPr>
          <w:rFonts w:cs="Arial"/>
          <w:szCs w:val="28"/>
        </w:rPr>
        <w:t xml:space="preserve">a </w:t>
      </w:r>
      <w:r w:rsidRPr="00EB3AD6">
        <w:rPr>
          <w:rFonts w:cs="Arial"/>
          <w:szCs w:val="28"/>
        </w:rPr>
        <w:t xml:space="preserve">Commitment Document, </w:t>
      </w:r>
      <w:r w:rsidR="003230E5" w:rsidRPr="00EB3AD6">
        <w:rPr>
          <w:rFonts w:cs="Arial"/>
          <w:szCs w:val="28"/>
        </w:rPr>
        <w:t xml:space="preserve">which set out </w:t>
      </w:r>
      <w:r w:rsidRPr="00EB3AD6">
        <w:rPr>
          <w:rFonts w:cs="Arial"/>
          <w:szCs w:val="28"/>
        </w:rPr>
        <w:t>a government-to-government relationship based on respect, recognition</w:t>
      </w:r>
      <w:r w:rsidR="003230E5" w:rsidRPr="00EB3AD6">
        <w:rPr>
          <w:rFonts w:cs="Arial"/>
          <w:szCs w:val="28"/>
        </w:rPr>
        <w:t>,</w:t>
      </w:r>
      <w:r w:rsidRPr="00EB3AD6">
        <w:rPr>
          <w:rFonts w:cs="Arial"/>
          <w:szCs w:val="28"/>
        </w:rPr>
        <w:t xml:space="preserve"> and accommodation </w:t>
      </w:r>
      <w:r w:rsidR="003230E5" w:rsidRPr="00EB3AD6">
        <w:rPr>
          <w:rFonts w:cs="Arial"/>
          <w:szCs w:val="28"/>
        </w:rPr>
        <w:t xml:space="preserve">for the </w:t>
      </w:r>
      <w:r w:rsidRPr="00EB3AD6">
        <w:rPr>
          <w:rFonts w:cs="Arial"/>
          <w:szCs w:val="28"/>
        </w:rPr>
        <w:t>Aboriginal title and rights of the First Nations in BC</w:t>
      </w:r>
      <w:r w:rsidR="003230E5" w:rsidRPr="00EB3AD6">
        <w:rPr>
          <w:rFonts w:cs="Arial"/>
          <w:szCs w:val="28"/>
        </w:rPr>
        <w:t>,</w:t>
      </w:r>
      <w:r w:rsidRPr="00EB3AD6">
        <w:rPr>
          <w:rFonts w:cs="Arial"/>
          <w:szCs w:val="28"/>
        </w:rPr>
        <w:t xml:space="preserve"> a</w:t>
      </w:r>
      <w:r w:rsidR="003230E5" w:rsidRPr="00EB3AD6">
        <w:rPr>
          <w:rFonts w:cs="Arial"/>
          <w:szCs w:val="28"/>
        </w:rPr>
        <w:t>s well as the</w:t>
      </w:r>
      <w:r w:rsidRPr="00EB3AD6">
        <w:rPr>
          <w:rFonts w:cs="Arial"/>
          <w:szCs w:val="28"/>
        </w:rPr>
        <w:t xml:space="preserve"> meaningful reconciliation of Aboriginal and Crown titles and jurisdictions.</w:t>
      </w:r>
    </w:p>
    <w:p w14:paraId="328F9DBA" w14:textId="10552AAD" w:rsidR="00080055" w:rsidRPr="00EB3AD6" w:rsidRDefault="00080055" w:rsidP="00080055">
      <w:pPr>
        <w:rPr>
          <w:rFonts w:cs="Arial"/>
          <w:szCs w:val="28"/>
        </w:rPr>
      </w:pPr>
      <w:r w:rsidRPr="00EB3AD6">
        <w:rPr>
          <w:rFonts w:cs="Arial"/>
          <w:szCs w:val="28"/>
        </w:rPr>
        <w:t>In May 2017, a new provincial government was formed</w:t>
      </w:r>
      <w:r w:rsidR="003230E5" w:rsidRPr="00EB3AD6">
        <w:rPr>
          <w:rFonts w:cs="Arial"/>
          <w:szCs w:val="28"/>
        </w:rPr>
        <w:t xml:space="preserve"> that</w:t>
      </w:r>
      <w:r w:rsidRPr="00EB3AD6">
        <w:rPr>
          <w:rFonts w:cs="Arial"/>
          <w:szCs w:val="28"/>
        </w:rPr>
        <w:t xml:space="preserve"> </w:t>
      </w:r>
      <w:r w:rsidR="003230E5" w:rsidRPr="00EB3AD6">
        <w:rPr>
          <w:rFonts w:cs="Arial"/>
          <w:szCs w:val="28"/>
        </w:rPr>
        <w:t xml:space="preserve">further </w:t>
      </w:r>
      <w:r w:rsidRPr="00EB3AD6">
        <w:rPr>
          <w:rFonts w:cs="Arial"/>
          <w:szCs w:val="28"/>
        </w:rPr>
        <w:t>committed to work</w:t>
      </w:r>
      <w:r w:rsidR="003230E5" w:rsidRPr="00EB3AD6">
        <w:rPr>
          <w:rFonts w:cs="Arial"/>
          <w:szCs w:val="28"/>
        </w:rPr>
        <w:t>ing</w:t>
      </w:r>
      <w:r w:rsidRPr="00EB3AD6">
        <w:rPr>
          <w:rFonts w:cs="Arial"/>
          <w:szCs w:val="28"/>
        </w:rPr>
        <w:t xml:space="preserve"> with </w:t>
      </w:r>
      <w:r w:rsidR="003230E5" w:rsidRPr="00EB3AD6">
        <w:rPr>
          <w:rFonts w:cs="Arial"/>
          <w:szCs w:val="28"/>
        </w:rPr>
        <w:t xml:space="preserve">BC </w:t>
      </w:r>
      <w:r w:rsidRPr="00EB3AD6">
        <w:rPr>
          <w:rFonts w:cs="Arial"/>
          <w:szCs w:val="28"/>
        </w:rPr>
        <w:t>First Nations to endorse and implement the United Nations Declaration on the Rights of Indigenous Peoples (</w:t>
      </w:r>
      <w:r w:rsidR="003230E5" w:rsidRPr="00EB3AD6">
        <w:rPr>
          <w:rFonts w:cs="Arial"/>
          <w:szCs w:val="28"/>
        </w:rPr>
        <w:t>“</w:t>
      </w:r>
      <w:r w:rsidRPr="00EB3AD6">
        <w:rPr>
          <w:rFonts w:cs="Arial"/>
          <w:b/>
          <w:szCs w:val="28"/>
        </w:rPr>
        <w:t>UNDRIP</w:t>
      </w:r>
      <w:r w:rsidR="003230E5" w:rsidRPr="00EB3AD6">
        <w:rPr>
          <w:rFonts w:cs="Arial"/>
          <w:szCs w:val="28"/>
        </w:rPr>
        <w:t>”</w:t>
      </w:r>
      <w:r w:rsidRPr="00EB3AD6">
        <w:rPr>
          <w:rFonts w:cs="Arial"/>
          <w:szCs w:val="28"/>
        </w:rPr>
        <w:t xml:space="preserve">), the Truth and Reconciliation Commission’s Calls to Action, and the </w:t>
      </w:r>
      <w:r w:rsidR="003230E5" w:rsidRPr="00EB3AD6">
        <w:rPr>
          <w:rFonts w:cs="Arial"/>
          <w:szCs w:val="28"/>
        </w:rPr>
        <w:t xml:space="preserve">Supreme Court of Canada’s </w:t>
      </w:r>
      <w:r w:rsidRPr="00EB3AD6">
        <w:rPr>
          <w:rFonts w:cs="Arial"/>
          <w:szCs w:val="28"/>
        </w:rPr>
        <w:t xml:space="preserve">Tsilhqot’in decision. </w:t>
      </w:r>
      <w:r w:rsidR="00EB3AD6" w:rsidRPr="00EB3AD6">
        <w:rPr>
          <w:rFonts w:cs="Arial"/>
          <w:szCs w:val="28"/>
        </w:rPr>
        <w:t>Subsequently,</w:t>
      </w:r>
      <w:r w:rsidRPr="00EB3AD6">
        <w:rPr>
          <w:rFonts w:cs="Arial"/>
          <w:szCs w:val="28"/>
        </w:rPr>
        <w:t xml:space="preserve"> the Province and the </w:t>
      </w:r>
      <w:r w:rsidR="009C4B0E" w:rsidRPr="00EB3AD6">
        <w:rPr>
          <w:rFonts w:cs="Arial"/>
          <w:szCs w:val="28"/>
        </w:rPr>
        <w:t>FNLC</w:t>
      </w:r>
      <w:r w:rsidR="00EB3AD6" w:rsidRPr="00EB3AD6">
        <w:rPr>
          <w:rFonts w:cs="Arial"/>
          <w:szCs w:val="28"/>
        </w:rPr>
        <w:t xml:space="preserve"> </w:t>
      </w:r>
      <w:r w:rsidRPr="00EB3AD6">
        <w:rPr>
          <w:rFonts w:cs="Arial"/>
          <w:szCs w:val="28"/>
        </w:rPr>
        <w:t xml:space="preserve">updated the Commitment Document and </w:t>
      </w:r>
      <w:r w:rsidR="003230E5" w:rsidRPr="00EB3AD6">
        <w:rPr>
          <w:rFonts w:cs="Arial"/>
          <w:szCs w:val="28"/>
        </w:rPr>
        <w:t xml:space="preserve">its </w:t>
      </w:r>
      <w:r w:rsidRPr="00EB3AD6">
        <w:rPr>
          <w:rFonts w:cs="Arial"/>
          <w:szCs w:val="28"/>
        </w:rPr>
        <w:t>associated Joint Agenda</w:t>
      </w:r>
      <w:r w:rsidR="003230E5" w:rsidRPr="00EB3AD6">
        <w:rPr>
          <w:rFonts w:cs="Arial"/>
          <w:szCs w:val="28"/>
        </w:rPr>
        <w:t xml:space="preserve"> to reflect</w:t>
      </w:r>
      <w:r w:rsidR="003F1548" w:rsidRPr="00EB3AD6">
        <w:rPr>
          <w:rFonts w:cs="Arial"/>
          <w:szCs w:val="28"/>
        </w:rPr>
        <w:t xml:space="preserve"> certain </w:t>
      </w:r>
      <w:r w:rsidR="003230E5" w:rsidRPr="00EB3AD6">
        <w:rPr>
          <w:rFonts w:cs="Arial"/>
          <w:szCs w:val="28"/>
        </w:rPr>
        <w:t xml:space="preserve">renewed commitments toward </w:t>
      </w:r>
      <w:r w:rsidR="003F1548" w:rsidRPr="00EB3AD6">
        <w:rPr>
          <w:rFonts w:cs="Arial"/>
          <w:szCs w:val="28"/>
        </w:rPr>
        <w:t>a shared vision, principles, goals</w:t>
      </w:r>
      <w:r w:rsidR="00EB3AD6" w:rsidRPr="00EB3AD6">
        <w:rPr>
          <w:rFonts w:cs="Arial"/>
          <w:szCs w:val="28"/>
        </w:rPr>
        <w:t>,</w:t>
      </w:r>
      <w:r w:rsidR="003F1548" w:rsidRPr="00EB3AD6">
        <w:rPr>
          <w:rFonts w:cs="Arial"/>
          <w:szCs w:val="28"/>
        </w:rPr>
        <w:t xml:space="preserve"> and objectives, as well as </w:t>
      </w:r>
      <w:r w:rsidR="00EB3AD6" w:rsidRPr="00EB3AD6">
        <w:rPr>
          <w:rFonts w:cs="Arial"/>
          <w:szCs w:val="28"/>
        </w:rPr>
        <w:t xml:space="preserve">to </w:t>
      </w:r>
      <w:r w:rsidR="003F1548" w:rsidRPr="00EB3AD6">
        <w:rPr>
          <w:rFonts w:cs="Arial"/>
          <w:szCs w:val="28"/>
        </w:rPr>
        <w:t>transform</w:t>
      </w:r>
      <w:r w:rsidR="00EB3AD6" w:rsidRPr="00EB3AD6">
        <w:rPr>
          <w:rFonts w:cs="Arial"/>
          <w:szCs w:val="28"/>
        </w:rPr>
        <w:t xml:space="preserve"> </w:t>
      </w:r>
      <w:r w:rsidR="003F1548" w:rsidRPr="00EB3AD6">
        <w:rPr>
          <w:rFonts w:cs="Arial"/>
          <w:szCs w:val="28"/>
        </w:rPr>
        <w:t>BC’s legal and administrative structures.</w:t>
      </w:r>
    </w:p>
    <w:p w14:paraId="6BFAF32C" w14:textId="59A66BE4" w:rsidR="00080055" w:rsidRPr="005D13A2" w:rsidRDefault="00080055" w:rsidP="00FF5EC5">
      <w:pPr>
        <w:rPr>
          <w:rFonts w:cs="Arial"/>
          <w:szCs w:val="28"/>
          <w:lang w:val="en-US"/>
        </w:rPr>
      </w:pPr>
      <w:r w:rsidRPr="005D13A2">
        <w:rPr>
          <w:rFonts w:cs="Arial"/>
          <w:szCs w:val="28"/>
          <w:lang w:val="en-US"/>
        </w:rPr>
        <w:t xml:space="preserve">The Tripartite Memorandum of Understanding on Emergency Management (the </w:t>
      </w:r>
      <w:r w:rsidR="003F1548" w:rsidRPr="005D13A2">
        <w:rPr>
          <w:rFonts w:cs="Arial"/>
          <w:szCs w:val="28"/>
          <w:lang w:val="en-US"/>
        </w:rPr>
        <w:t>“</w:t>
      </w:r>
      <w:r w:rsidRPr="005D13A2">
        <w:rPr>
          <w:rFonts w:cs="Arial"/>
          <w:b/>
          <w:szCs w:val="28"/>
          <w:lang w:val="en-US"/>
        </w:rPr>
        <w:t>Tripartite MOU</w:t>
      </w:r>
      <w:r w:rsidR="003F1548" w:rsidRPr="005D13A2">
        <w:rPr>
          <w:rFonts w:cs="Arial"/>
          <w:szCs w:val="28"/>
          <w:lang w:val="en-US"/>
        </w:rPr>
        <w:t>”</w:t>
      </w:r>
      <w:r w:rsidRPr="005D13A2">
        <w:rPr>
          <w:rFonts w:cs="Arial"/>
          <w:szCs w:val="28"/>
          <w:lang w:val="en-US"/>
        </w:rPr>
        <w:t xml:space="preserve">) was signed in April 2019 by the </w:t>
      </w:r>
      <w:r w:rsidR="009C4B0E" w:rsidRPr="005D13A2">
        <w:rPr>
          <w:rFonts w:cs="Arial"/>
          <w:szCs w:val="28"/>
          <w:lang w:val="en-US"/>
        </w:rPr>
        <w:t>FNLC</w:t>
      </w:r>
      <w:r w:rsidRPr="005D13A2">
        <w:rPr>
          <w:rFonts w:cs="Arial"/>
          <w:szCs w:val="28"/>
          <w:lang w:val="en-US"/>
        </w:rPr>
        <w:t>, Canada, and BC.</w:t>
      </w:r>
      <w:r w:rsidR="001D3DAD" w:rsidRPr="005D13A2">
        <w:rPr>
          <w:rFonts w:cs="Arial"/>
          <w:szCs w:val="28"/>
          <w:lang w:val="en-US"/>
        </w:rPr>
        <w:t xml:space="preserve"> </w:t>
      </w:r>
      <w:r w:rsidR="00FF5EC5" w:rsidRPr="005D13A2">
        <w:t xml:space="preserve">The Tripartite MOU establishes a high level partnership between </w:t>
      </w:r>
      <w:r w:rsidR="003C28A5" w:rsidRPr="005D13A2">
        <w:t>Emergency Management BC (“</w:t>
      </w:r>
      <w:r w:rsidR="00FF5EC5" w:rsidRPr="005D13A2">
        <w:rPr>
          <w:b/>
        </w:rPr>
        <w:t>EMBC</w:t>
      </w:r>
      <w:r w:rsidR="003C28A5" w:rsidRPr="005D13A2">
        <w:t>”)</w:t>
      </w:r>
      <w:r w:rsidR="00FF5EC5" w:rsidRPr="005D13A2">
        <w:t>, the BC Wildfire Service</w:t>
      </w:r>
      <w:r w:rsidR="003C28A5" w:rsidRPr="005D13A2">
        <w:t xml:space="preserve"> (“</w:t>
      </w:r>
      <w:r w:rsidR="003C28A5" w:rsidRPr="005D13A2">
        <w:rPr>
          <w:b/>
        </w:rPr>
        <w:t>BCWS</w:t>
      </w:r>
      <w:r w:rsidR="003C28A5" w:rsidRPr="005D13A2">
        <w:t>”)</w:t>
      </w:r>
      <w:r w:rsidR="00FF5EC5" w:rsidRPr="005D13A2">
        <w:t xml:space="preserve">, </w:t>
      </w:r>
      <w:r w:rsidR="003C28A5" w:rsidRPr="005D13A2">
        <w:rPr>
          <w:rFonts w:cstheme="minorHAnsi"/>
        </w:rPr>
        <w:t>Indigenous Services Canada (“</w:t>
      </w:r>
      <w:r w:rsidR="00FF5EC5" w:rsidRPr="005D13A2">
        <w:rPr>
          <w:b/>
        </w:rPr>
        <w:t>ISC</w:t>
      </w:r>
      <w:r w:rsidR="003C28A5" w:rsidRPr="005D13A2">
        <w:t>”)</w:t>
      </w:r>
      <w:r w:rsidR="00FF5EC5" w:rsidRPr="005D13A2">
        <w:t>, and FNLC to identify gaps and areas of concern for First Nations communities regarding emergency management</w:t>
      </w:r>
      <w:r w:rsidR="00C10306">
        <w:t>. The Tripartite MOU Technical W</w:t>
      </w:r>
      <w:r w:rsidR="00FF5EC5" w:rsidRPr="005D13A2">
        <w:t xml:space="preserve">orking </w:t>
      </w:r>
      <w:r w:rsidR="00C10306">
        <w:t>Group was established in</w:t>
      </w:r>
      <w:r w:rsidR="00FF5EC5" w:rsidRPr="005D13A2">
        <w:t xml:space="preserve"> 2019</w:t>
      </w:r>
      <w:r w:rsidR="00C10306">
        <w:t>,</w:t>
      </w:r>
      <w:r w:rsidR="00FF5EC5" w:rsidRPr="005D13A2">
        <w:t xml:space="preserve"> and includes First Nations community-based emergency management champions </w:t>
      </w:r>
      <w:r w:rsidR="00C10306">
        <w:t xml:space="preserve">from across the province. The purpose of the MOU Technical Working Group is </w:t>
      </w:r>
      <w:r w:rsidR="00FF5EC5" w:rsidRPr="005D13A2">
        <w:t xml:space="preserve">to </w:t>
      </w:r>
      <w:r w:rsidR="00C10306">
        <w:t>implement</w:t>
      </w:r>
      <w:r w:rsidR="00FF5EC5" w:rsidRPr="005D13A2">
        <w:t xml:space="preserve"> the Tripartite MOU</w:t>
      </w:r>
      <w:r w:rsidR="00C10306">
        <w:t xml:space="preserve"> through</w:t>
      </w:r>
      <w:r w:rsidR="00FF5EC5" w:rsidRPr="005D13A2">
        <w:t xml:space="preserve"> community-based experience, and to </w:t>
      </w:r>
      <w:r w:rsidR="00B618E8" w:rsidRPr="005D13A2">
        <w:t xml:space="preserve">identify </w:t>
      </w:r>
      <w:r w:rsidR="00C10306">
        <w:t>approaches</w:t>
      </w:r>
      <w:r w:rsidR="00B618E8" w:rsidRPr="005D13A2">
        <w:t xml:space="preserve"> to close the </w:t>
      </w:r>
      <w:r w:rsidR="00C10306">
        <w:t xml:space="preserve">jurisdictional and practical </w:t>
      </w:r>
      <w:r w:rsidR="00B618E8" w:rsidRPr="005D13A2">
        <w:t xml:space="preserve">gaps </w:t>
      </w:r>
      <w:r w:rsidR="00C10306">
        <w:t xml:space="preserve">in </w:t>
      </w:r>
      <w:r w:rsidR="00B618E8" w:rsidRPr="005D13A2">
        <w:t>how</w:t>
      </w:r>
      <w:r w:rsidRPr="005D13A2">
        <w:rPr>
          <w:rFonts w:cs="Arial"/>
          <w:szCs w:val="28"/>
          <w:lang w:val="en-US"/>
        </w:rPr>
        <w:t xml:space="preserve"> the four pillars of emergency management operate </w:t>
      </w:r>
      <w:r w:rsidR="003C28A5" w:rsidRPr="005D13A2">
        <w:rPr>
          <w:rFonts w:cs="Arial"/>
          <w:szCs w:val="28"/>
          <w:lang w:val="en-US"/>
        </w:rPr>
        <w:t>to</w:t>
      </w:r>
      <w:r w:rsidRPr="005D13A2">
        <w:rPr>
          <w:rFonts w:cs="Arial"/>
          <w:szCs w:val="28"/>
          <w:lang w:val="en-US"/>
        </w:rPr>
        <w:t xml:space="preserve"> serve First Nations in BC.</w:t>
      </w:r>
    </w:p>
    <w:p w14:paraId="154FCC9B" w14:textId="5EE4C602" w:rsidR="00080055" w:rsidRPr="005D13A2" w:rsidRDefault="00080055" w:rsidP="00080055">
      <w:pPr>
        <w:rPr>
          <w:rFonts w:cs="Arial"/>
          <w:szCs w:val="28"/>
        </w:rPr>
      </w:pPr>
      <w:r w:rsidRPr="005D13A2">
        <w:rPr>
          <w:rFonts w:cs="Arial"/>
          <w:szCs w:val="28"/>
          <w:lang w:val="en-US"/>
        </w:rPr>
        <w:t xml:space="preserve">In November 2019, the British Columbia legislature unanimously passed the </w:t>
      </w:r>
      <w:r w:rsidRPr="005D13A2">
        <w:rPr>
          <w:rFonts w:cs="Arial"/>
          <w:i/>
          <w:iCs/>
          <w:szCs w:val="28"/>
          <w:lang w:val="en-US"/>
        </w:rPr>
        <w:t xml:space="preserve">Declaration on the Rights of Indigenous Peoples Act </w:t>
      </w:r>
      <w:r w:rsidRPr="005D13A2">
        <w:rPr>
          <w:rFonts w:cs="Arial"/>
          <w:szCs w:val="28"/>
          <w:lang w:val="en-US"/>
        </w:rPr>
        <w:t>(</w:t>
      </w:r>
      <w:r w:rsidR="00C5217C" w:rsidRPr="005D13A2">
        <w:rPr>
          <w:rFonts w:cs="Arial"/>
          <w:szCs w:val="28"/>
          <w:lang w:val="en-US"/>
        </w:rPr>
        <w:t xml:space="preserve">the </w:t>
      </w:r>
      <w:r w:rsidRPr="005D13A2">
        <w:rPr>
          <w:rFonts w:cs="Arial"/>
          <w:szCs w:val="28"/>
          <w:lang w:val="en-US"/>
        </w:rPr>
        <w:t>“</w:t>
      </w:r>
      <w:r w:rsidR="00C5217C" w:rsidRPr="005D13A2">
        <w:rPr>
          <w:rFonts w:cs="Arial"/>
          <w:b/>
        </w:rPr>
        <w:t>Declaration Act</w:t>
      </w:r>
      <w:r w:rsidRPr="005D13A2">
        <w:rPr>
          <w:rFonts w:cs="Arial"/>
          <w:szCs w:val="28"/>
          <w:lang w:val="en-US"/>
        </w:rPr>
        <w:t>”)</w:t>
      </w:r>
      <w:r w:rsidR="00861219" w:rsidRPr="005D13A2">
        <w:rPr>
          <w:rFonts w:cs="Arial"/>
          <w:szCs w:val="28"/>
          <w:lang w:val="en-US"/>
        </w:rPr>
        <w:t>,</w:t>
      </w:r>
      <w:r w:rsidRPr="005D13A2">
        <w:rPr>
          <w:rFonts w:cs="Arial"/>
          <w:szCs w:val="28"/>
          <w:lang w:val="en-US"/>
        </w:rPr>
        <w:t xml:space="preserve"> </w:t>
      </w:r>
      <w:r w:rsidR="00861219" w:rsidRPr="005D13A2">
        <w:t xml:space="preserve">which requires British Columbia to take all measures needed to ensure provincial laws are consistent with the UN Declaration on the Rights of Indigenous Peoples. </w:t>
      </w:r>
      <w:r w:rsidR="001D3DAD" w:rsidRPr="005D13A2">
        <w:rPr>
          <w:rFonts w:cs="Arial"/>
          <w:szCs w:val="28"/>
          <w:lang w:val="en-US"/>
        </w:rPr>
        <w:t xml:space="preserve">DRIPA </w:t>
      </w:r>
      <w:r w:rsidRPr="005D13A2">
        <w:rPr>
          <w:rFonts w:cs="Arial"/>
          <w:szCs w:val="28"/>
        </w:rPr>
        <w:t xml:space="preserve">requires </w:t>
      </w:r>
      <w:r w:rsidR="001D3DAD" w:rsidRPr="005D13A2">
        <w:rPr>
          <w:rFonts w:cs="Arial"/>
          <w:szCs w:val="28"/>
        </w:rPr>
        <w:t xml:space="preserve">that </w:t>
      </w:r>
      <w:r w:rsidRPr="005D13A2">
        <w:rPr>
          <w:rFonts w:cs="Arial"/>
          <w:szCs w:val="28"/>
        </w:rPr>
        <w:t xml:space="preserve">British Columbia take all </w:t>
      </w:r>
      <w:r w:rsidR="001D3DAD" w:rsidRPr="005D13A2">
        <w:rPr>
          <w:rFonts w:cs="Arial"/>
          <w:szCs w:val="28"/>
        </w:rPr>
        <w:t xml:space="preserve">necessary </w:t>
      </w:r>
      <w:r w:rsidRPr="005D13A2">
        <w:rPr>
          <w:rFonts w:cs="Arial"/>
          <w:szCs w:val="28"/>
        </w:rPr>
        <w:t xml:space="preserve">measures to ensure provincial laws are consistent with </w:t>
      </w:r>
      <w:r w:rsidR="001D3DAD" w:rsidRPr="005D13A2">
        <w:rPr>
          <w:rFonts w:cs="Arial"/>
          <w:szCs w:val="28"/>
        </w:rPr>
        <w:t>UNDRIP</w:t>
      </w:r>
      <w:r w:rsidRPr="005D13A2">
        <w:rPr>
          <w:rFonts w:cs="Arial"/>
          <w:szCs w:val="28"/>
        </w:rPr>
        <w:t xml:space="preserve">. </w:t>
      </w:r>
      <w:r w:rsidR="001D3DAD" w:rsidRPr="005D13A2">
        <w:rPr>
          <w:rFonts w:cs="Arial"/>
          <w:szCs w:val="28"/>
        </w:rPr>
        <w:t>Therefore, o</w:t>
      </w:r>
      <w:r w:rsidRPr="005D13A2">
        <w:rPr>
          <w:rFonts w:cs="Arial"/>
          <w:szCs w:val="28"/>
        </w:rPr>
        <w:t xml:space="preserve">ngoing provincial reform of the </w:t>
      </w:r>
      <w:r w:rsidRPr="005D13A2">
        <w:rPr>
          <w:rFonts w:cs="Arial"/>
          <w:i/>
          <w:iCs/>
          <w:szCs w:val="28"/>
        </w:rPr>
        <w:t xml:space="preserve">Emergency Program Act </w:t>
      </w:r>
      <w:r w:rsidRPr="005D13A2">
        <w:rPr>
          <w:rFonts w:cs="Arial"/>
          <w:szCs w:val="28"/>
        </w:rPr>
        <w:t>(“</w:t>
      </w:r>
      <w:r w:rsidRPr="005D13A2">
        <w:rPr>
          <w:rFonts w:cs="Arial"/>
          <w:b/>
          <w:iCs/>
          <w:szCs w:val="28"/>
        </w:rPr>
        <w:t>EPA</w:t>
      </w:r>
      <w:r w:rsidRPr="005D13A2">
        <w:rPr>
          <w:rFonts w:cs="Arial"/>
          <w:szCs w:val="28"/>
        </w:rPr>
        <w:t xml:space="preserve">”) must comply with </w:t>
      </w:r>
      <w:r w:rsidRPr="005D13A2">
        <w:rPr>
          <w:rFonts w:cs="Arial"/>
          <w:iCs/>
          <w:szCs w:val="28"/>
        </w:rPr>
        <w:t>DRIPA</w:t>
      </w:r>
      <w:r w:rsidRPr="005D13A2">
        <w:rPr>
          <w:rFonts w:cs="Arial"/>
          <w:szCs w:val="28"/>
        </w:rPr>
        <w:t>.</w:t>
      </w:r>
    </w:p>
    <w:p w14:paraId="31692642" w14:textId="77777777" w:rsidR="00080055" w:rsidRPr="005D13A2" w:rsidRDefault="00080055" w:rsidP="00080055">
      <w:pPr>
        <w:pStyle w:val="Heading1"/>
        <w:numPr>
          <w:ilvl w:val="0"/>
          <w:numId w:val="1"/>
        </w:numPr>
      </w:pPr>
      <w:r w:rsidRPr="005D13A2">
        <w:t>definitions</w:t>
      </w:r>
    </w:p>
    <w:p w14:paraId="1802CF25" w14:textId="58DA3D61" w:rsidR="00080055" w:rsidRPr="005D13A2" w:rsidRDefault="004B21C9" w:rsidP="00DE5D5B">
      <w:r w:rsidRPr="005D13A2">
        <w:rPr>
          <w:b/>
          <w:bCs/>
        </w:rPr>
        <w:t>“</w:t>
      </w:r>
      <w:r w:rsidR="00080055" w:rsidRPr="005D13A2">
        <w:rPr>
          <w:b/>
          <w:bCs/>
        </w:rPr>
        <w:t>Emergency Program Act Reform</w:t>
      </w:r>
      <w:r w:rsidRPr="005D13A2">
        <w:rPr>
          <w:b/>
          <w:bCs/>
        </w:rPr>
        <w:t>”</w:t>
      </w:r>
      <w:r w:rsidR="00080055" w:rsidRPr="005D13A2">
        <w:rPr>
          <w:b/>
          <w:bCs/>
        </w:rPr>
        <w:t xml:space="preserve"> </w:t>
      </w:r>
      <w:r w:rsidR="00080055" w:rsidRPr="005D13A2">
        <w:rPr>
          <w:bCs/>
        </w:rPr>
        <w:t>(“</w:t>
      </w:r>
      <w:r w:rsidR="00080055" w:rsidRPr="005D13A2">
        <w:rPr>
          <w:b/>
          <w:bCs/>
        </w:rPr>
        <w:t>EPA Reform</w:t>
      </w:r>
      <w:r w:rsidR="00080055" w:rsidRPr="005D13A2">
        <w:rPr>
          <w:bCs/>
        </w:rPr>
        <w:t>”)</w:t>
      </w:r>
      <w:r w:rsidR="00080055" w:rsidRPr="005D13A2">
        <w:t xml:space="preserve"> refers to the Emergency Program Act Modernization that British Columbia launched through its discussion paper in October 2019. </w:t>
      </w:r>
    </w:p>
    <w:p w14:paraId="6632F088" w14:textId="6AB4F987" w:rsidR="00FF5EC5" w:rsidRPr="005D13A2" w:rsidRDefault="00861219" w:rsidP="00DE5D5B">
      <w:r w:rsidRPr="005D13A2">
        <w:rPr>
          <w:b/>
        </w:rPr>
        <w:t>“</w:t>
      </w:r>
      <w:r w:rsidR="00080055" w:rsidRPr="005D13A2">
        <w:rPr>
          <w:b/>
        </w:rPr>
        <w:t>Senior Level Officials</w:t>
      </w:r>
      <w:r w:rsidR="004B21C9" w:rsidRPr="005D13A2">
        <w:rPr>
          <w:b/>
        </w:rPr>
        <w:t>”</w:t>
      </w:r>
      <w:r w:rsidR="00080055" w:rsidRPr="005D13A2">
        <w:t xml:space="preserve"> refers to the senior parties of the </w:t>
      </w:r>
      <w:r w:rsidR="004B21C9" w:rsidRPr="005D13A2">
        <w:t xml:space="preserve">Tripartite </w:t>
      </w:r>
      <w:r w:rsidR="00080055" w:rsidRPr="005D13A2">
        <w:t xml:space="preserve">MOU tasked with engagement, </w:t>
      </w:r>
      <w:r w:rsidR="00EC433C">
        <w:t>as defined in</w:t>
      </w:r>
      <w:r w:rsidR="00EC433C" w:rsidRPr="005D13A2">
        <w:t xml:space="preserve"> Section 3.5 in the Tripartite MOU, </w:t>
      </w:r>
      <w:r w:rsidR="00080055" w:rsidRPr="005D13A2">
        <w:t>including</w:t>
      </w:r>
      <w:r w:rsidR="00FF5EC5" w:rsidRPr="005D13A2">
        <w:t xml:space="preserve"> </w:t>
      </w:r>
      <w:r w:rsidR="00080055" w:rsidRPr="005D13A2">
        <w:t>the</w:t>
      </w:r>
      <w:r w:rsidR="00FF5EC5" w:rsidRPr="005D13A2">
        <w:t>:</w:t>
      </w:r>
      <w:r w:rsidR="00080055" w:rsidRPr="005D13A2">
        <w:t xml:space="preserve"> </w:t>
      </w:r>
    </w:p>
    <w:p w14:paraId="4B428791" w14:textId="45EFAF43" w:rsidR="00FF5EC5" w:rsidRPr="005D13A2" w:rsidRDefault="00080055" w:rsidP="00DE5D5B">
      <w:pPr>
        <w:pStyle w:val="ListParagraph"/>
        <w:numPr>
          <w:ilvl w:val="0"/>
          <w:numId w:val="22"/>
        </w:numPr>
      </w:pPr>
      <w:r w:rsidRPr="005D13A2">
        <w:t>Assistant Deputy Minister of EMBC</w:t>
      </w:r>
      <w:r w:rsidR="00FF5EC5" w:rsidRPr="005D13A2">
        <w:t>;</w:t>
      </w:r>
    </w:p>
    <w:p w14:paraId="5257B0AC" w14:textId="0C4B2688" w:rsidR="00FF5EC5" w:rsidRPr="005D13A2" w:rsidRDefault="00080055" w:rsidP="00DE5D5B">
      <w:pPr>
        <w:pStyle w:val="ListParagraph"/>
        <w:numPr>
          <w:ilvl w:val="0"/>
          <w:numId w:val="22"/>
        </w:numPr>
      </w:pPr>
      <w:r w:rsidRPr="005D13A2">
        <w:t>Associate Deputy Minister of BCWS</w:t>
      </w:r>
      <w:r w:rsidR="00FF5EC5" w:rsidRPr="005D13A2">
        <w:t>;</w:t>
      </w:r>
      <w:r w:rsidRPr="005D13A2">
        <w:t xml:space="preserve"> </w:t>
      </w:r>
    </w:p>
    <w:p w14:paraId="09219F03" w14:textId="5B7BE6CC" w:rsidR="00FF5EC5" w:rsidRPr="005D13A2" w:rsidRDefault="00080055" w:rsidP="00DE5D5B">
      <w:pPr>
        <w:pStyle w:val="ListParagraph"/>
        <w:numPr>
          <w:ilvl w:val="0"/>
          <w:numId w:val="22"/>
        </w:numPr>
      </w:pPr>
      <w:r w:rsidRPr="005D13A2">
        <w:t>Assistant</w:t>
      </w:r>
      <w:r w:rsidRPr="005D13A2">
        <w:rPr>
          <w:rFonts w:cstheme="minorHAnsi"/>
        </w:rPr>
        <w:t xml:space="preserve"> Deputy Minister of the Ministry of Indigenous Relations and Reconciliation (</w:t>
      </w:r>
      <w:r w:rsidR="00FF5EC5" w:rsidRPr="005D13A2">
        <w:rPr>
          <w:rFonts w:cstheme="minorHAnsi"/>
        </w:rPr>
        <w:t>“</w:t>
      </w:r>
      <w:r w:rsidRPr="005D13A2">
        <w:rPr>
          <w:rFonts w:cstheme="minorHAnsi"/>
          <w:b/>
        </w:rPr>
        <w:t>MIRR</w:t>
      </w:r>
      <w:r w:rsidR="00FF5EC5" w:rsidRPr="005D13A2">
        <w:rPr>
          <w:rFonts w:cstheme="minorHAnsi"/>
        </w:rPr>
        <w:t>”</w:t>
      </w:r>
      <w:r w:rsidRPr="005D13A2">
        <w:rPr>
          <w:rFonts w:cstheme="minorHAnsi"/>
        </w:rPr>
        <w:t>)</w:t>
      </w:r>
      <w:r w:rsidR="00FF5EC5" w:rsidRPr="005D13A2">
        <w:rPr>
          <w:rFonts w:cstheme="minorHAnsi"/>
        </w:rPr>
        <w:t>;</w:t>
      </w:r>
      <w:r w:rsidRPr="005D13A2">
        <w:rPr>
          <w:rFonts w:cstheme="minorHAnsi"/>
        </w:rPr>
        <w:t xml:space="preserve"> </w:t>
      </w:r>
    </w:p>
    <w:p w14:paraId="69DDF879" w14:textId="50EAD0B1" w:rsidR="00FF5EC5" w:rsidRPr="005D13A2" w:rsidRDefault="003C28A5" w:rsidP="00DE5D5B">
      <w:pPr>
        <w:pStyle w:val="ListParagraph"/>
        <w:numPr>
          <w:ilvl w:val="0"/>
          <w:numId w:val="22"/>
        </w:numPr>
      </w:pPr>
      <w:r w:rsidRPr="005D13A2">
        <w:rPr>
          <w:rFonts w:cstheme="minorHAnsi"/>
        </w:rPr>
        <w:t>ISC</w:t>
      </w:r>
      <w:r w:rsidR="00FF5EC5" w:rsidRPr="005D13A2">
        <w:rPr>
          <w:rFonts w:cstheme="minorHAnsi"/>
        </w:rPr>
        <w:t xml:space="preserve">; </w:t>
      </w:r>
    </w:p>
    <w:p w14:paraId="0392379E" w14:textId="5B54FB14" w:rsidR="00FF5EC5" w:rsidRPr="005D13A2" w:rsidRDefault="00080055" w:rsidP="00DE5D5B">
      <w:pPr>
        <w:pStyle w:val="ListParagraph"/>
        <w:numPr>
          <w:ilvl w:val="0"/>
          <w:numId w:val="22"/>
        </w:numPr>
      </w:pPr>
      <w:r w:rsidRPr="005D13A2">
        <w:rPr>
          <w:rFonts w:cstheme="minorHAnsi"/>
        </w:rPr>
        <w:lastRenderedPageBreak/>
        <w:t>Regional Director General</w:t>
      </w:r>
      <w:r w:rsidR="00FF5EC5" w:rsidRPr="005D13A2">
        <w:rPr>
          <w:rFonts w:cstheme="minorHAnsi"/>
        </w:rPr>
        <w:t xml:space="preserve">; </w:t>
      </w:r>
    </w:p>
    <w:p w14:paraId="1B6C4CF7" w14:textId="79A3C9E7" w:rsidR="00FF5EC5" w:rsidRPr="005D13A2" w:rsidRDefault="00080055" w:rsidP="00DE5D5B">
      <w:pPr>
        <w:pStyle w:val="ListParagraph"/>
        <w:numPr>
          <w:ilvl w:val="0"/>
          <w:numId w:val="22"/>
        </w:numPr>
      </w:pPr>
      <w:r w:rsidRPr="005D13A2">
        <w:rPr>
          <w:rFonts w:cstheme="minorHAnsi"/>
        </w:rPr>
        <w:t>FNLC representatives, and</w:t>
      </w:r>
      <w:r w:rsidR="00FF5EC5" w:rsidRPr="005D13A2">
        <w:rPr>
          <w:rFonts w:cstheme="minorHAnsi"/>
        </w:rPr>
        <w:t xml:space="preserve">; </w:t>
      </w:r>
    </w:p>
    <w:p w14:paraId="24D16BC9" w14:textId="77777777" w:rsidR="00080055" w:rsidRPr="005D13A2" w:rsidRDefault="00080055" w:rsidP="00DE5D5B">
      <w:pPr>
        <w:pStyle w:val="ListParagraph"/>
        <w:numPr>
          <w:ilvl w:val="0"/>
          <w:numId w:val="22"/>
        </w:numPr>
      </w:pPr>
      <w:r w:rsidRPr="005D13A2">
        <w:rPr>
          <w:rFonts w:cstheme="minorHAnsi"/>
        </w:rPr>
        <w:t>Executive Director of the First Nations Emergency Services Society (</w:t>
      </w:r>
      <w:r w:rsidR="00FF5EC5" w:rsidRPr="005D13A2">
        <w:rPr>
          <w:rFonts w:cstheme="minorHAnsi"/>
        </w:rPr>
        <w:t>“</w:t>
      </w:r>
      <w:r w:rsidRPr="005D13A2">
        <w:rPr>
          <w:rFonts w:cstheme="minorHAnsi"/>
          <w:b/>
        </w:rPr>
        <w:t>FNESS</w:t>
      </w:r>
      <w:r w:rsidR="00FF5EC5" w:rsidRPr="005D13A2">
        <w:rPr>
          <w:rFonts w:cstheme="minorHAnsi"/>
        </w:rPr>
        <w:t>”</w:t>
      </w:r>
      <w:r w:rsidRPr="005D13A2">
        <w:rPr>
          <w:rFonts w:cstheme="minorHAnsi"/>
        </w:rPr>
        <w:t>).</w:t>
      </w:r>
    </w:p>
    <w:p w14:paraId="305FAEA0" w14:textId="0F98C9A1" w:rsidR="00FF5EC5" w:rsidRDefault="00FF5EC5" w:rsidP="00080055">
      <w:r w:rsidRPr="005D13A2">
        <w:rPr>
          <w:b/>
          <w:bCs/>
        </w:rPr>
        <w:t>“</w:t>
      </w:r>
      <w:r w:rsidR="00080055" w:rsidRPr="005D13A2">
        <w:rPr>
          <w:b/>
          <w:bCs/>
        </w:rPr>
        <w:t>Tripartite Emergency Management Working Group</w:t>
      </w:r>
      <w:r w:rsidRPr="005D13A2">
        <w:rPr>
          <w:b/>
          <w:bCs/>
        </w:rPr>
        <w:t>”</w:t>
      </w:r>
      <w:r w:rsidR="00080055" w:rsidRPr="005D13A2">
        <w:rPr>
          <w:b/>
          <w:bCs/>
        </w:rPr>
        <w:t xml:space="preserve"> </w:t>
      </w:r>
      <w:r w:rsidR="00080055" w:rsidRPr="005D13A2">
        <w:rPr>
          <w:bCs/>
        </w:rPr>
        <w:t>(“</w:t>
      </w:r>
      <w:r w:rsidR="00080055" w:rsidRPr="005D13A2">
        <w:rPr>
          <w:b/>
          <w:bCs/>
        </w:rPr>
        <w:t>Working Group</w:t>
      </w:r>
      <w:r w:rsidR="00080055" w:rsidRPr="005D13A2">
        <w:rPr>
          <w:bCs/>
        </w:rPr>
        <w:t>”)</w:t>
      </w:r>
      <w:r w:rsidR="00080055" w:rsidRPr="005D13A2">
        <w:rPr>
          <w:b/>
          <w:bCs/>
        </w:rPr>
        <w:t xml:space="preserve"> </w:t>
      </w:r>
      <w:r w:rsidR="00080055" w:rsidRPr="005D13A2">
        <w:t xml:space="preserve">refers to the technical working group </w:t>
      </w:r>
      <w:r w:rsidR="003C28A5" w:rsidRPr="005D13A2">
        <w:t xml:space="preserve">composed of representatives </w:t>
      </w:r>
      <w:r w:rsidR="00080055" w:rsidRPr="005D13A2">
        <w:t xml:space="preserve">of First Nations, the FNLC, </w:t>
      </w:r>
      <w:r w:rsidR="009C4B0E" w:rsidRPr="005D13A2">
        <w:t>FNESS</w:t>
      </w:r>
      <w:r w:rsidR="00080055" w:rsidRPr="005D13A2">
        <w:t xml:space="preserve">, </w:t>
      </w:r>
      <w:r w:rsidR="009C4B0E" w:rsidRPr="005D13A2">
        <w:t>EM</w:t>
      </w:r>
      <w:r w:rsidR="00080055" w:rsidRPr="005D13A2">
        <w:t xml:space="preserve">BC, </w:t>
      </w:r>
      <w:r w:rsidR="009C4B0E" w:rsidRPr="005D13A2">
        <w:t>ISC</w:t>
      </w:r>
      <w:r w:rsidR="00080055" w:rsidRPr="005D13A2">
        <w:t>, and representatives from BC</w:t>
      </w:r>
      <w:r w:rsidR="003C28A5" w:rsidRPr="005D13A2">
        <w:t>WS</w:t>
      </w:r>
      <w:r w:rsidR="00080055" w:rsidRPr="005D13A2">
        <w:t xml:space="preserve">, </w:t>
      </w:r>
      <w:r w:rsidR="003C28A5" w:rsidRPr="005D13A2">
        <w:t xml:space="preserve">and </w:t>
      </w:r>
      <w:r w:rsidR="00080055" w:rsidRPr="005D13A2">
        <w:t xml:space="preserve">formed as a result of the Tripartite MOU tasked with </w:t>
      </w:r>
      <w:r w:rsidR="003C28A5" w:rsidRPr="005D13A2">
        <w:t xml:space="preserve">general </w:t>
      </w:r>
      <w:r w:rsidR="00080055" w:rsidRPr="005D13A2">
        <w:t>technical-level engagement</w:t>
      </w:r>
      <w:r w:rsidR="007A2D5D" w:rsidRPr="005D13A2">
        <w:t xml:space="preserve"> with respect to </w:t>
      </w:r>
      <w:r w:rsidR="007A2D5D" w:rsidRPr="005D13A2">
        <w:rPr>
          <w:i/>
          <w:iCs/>
        </w:rPr>
        <w:t>Emergency Program Act</w:t>
      </w:r>
      <w:r w:rsidR="007A2D5D" w:rsidRPr="005D13A2">
        <w:t xml:space="preserve"> reform</w:t>
      </w:r>
      <w:r w:rsidR="00080055" w:rsidRPr="005D13A2">
        <w:t>.</w:t>
      </w:r>
    </w:p>
    <w:p w14:paraId="1462AEC7" w14:textId="77777777" w:rsidR="00B263D2" w:rsidRPr="005D13A2" w:rsidRDefault="00B263D2" w:rsidP="00B263D2">
      <w:pPr>
        <w:rPr>
          <w:b/>
          <w:bCs/>
        </w:rPr>
      </w:pPr>
      <w:r w:rsidRPr="005D13A2">
        <w:rPr>
          <w:b/>
          <w:bCs/>
        </w:rPr>
        <w:t xml:space="preserve">“Technical Sub-Committee on EPA Reform” </w:t>
      </w:r>
      <w:r w:rsidRPr="005D13A2">
        <w:rPr>
          <w:bCs/>
        </w:rPr>
        <w:t>(“</w:t>
      </w:r>
      <w:r w:rsidRPr="005D13A2">
        <w:rPr>
          <w:b/>
          <w:bCs/>
        </w:rPr>
        <w:t>Technical Sub-committee</w:t>
      </w:r>
      <w:r w:rsidRPr="005D13A2">
        <w:rPr>
          <w:bCs/>
        </w:rPr>
        <w:t xml:space="preserve">”) </w:t>
      </w:r>
      <w:r w:rsidRPr="005D13A2">
        <w:t>refers to the technical sub-committee composed of representatives of First Nations, the FNLC, FNESS, EMBC, ISC, and BC Wildfire Service</w:t>
      </w:r>
      <w:r>
        <w:t>, which has been</w:t>
      </w:r>
      <w:r w:rsidRPr="005D13A2">
        <w:t xml:space="preserve"> formed as a sub-committee </w:t>
      </w:r>
      <w:r>
        <w:t xml:space="preserve">of </w:t>
      </w:r>
      <w:r w:rsidRPr="005D13A2">
        <w:t xml:space="preserve">the </w:t>
      </w:r>
      <w:r>
        <w:t xml:space="preserve">Tripartite Emergency Management </w:t>
      </w:r>
      <w:r w:rsidRPr="005D13A2">
        <w:t>Working Group.</w:t>
      </w:r>
    </w:p>
    <w:p w14:paraId="79052570" w14:textId="77777777" w:rsidR="005D13A2" w:rsidRPr="005D13A2" w:rsidRDefault="005D13A2" w:rsidP="005D13A2">
      <w:pPr>
        <w:pStyle w:val="Heading1"/>
        <w:numPr>
          <w:ilvl w:val="0"/>
          <w:numId w:val="1"/>
        </w:numPr>
      </w:pPr>
      <w:r w:rsidRPr="005D13A2">
        <w:t>Composition</w:t>
      </w:r>
    </w:p>
    <w:p w14:paraId="557A31F2" w14:textId="77777777" w:rsidR="005D13A2" w:rsidRPr="005D13A2" w:rsidRDefault="005D13A2" w:rsidP="005D13A2">
      <w:r w:rsidRPr="005D13A2">
        <w:t>The membership of the Technical Sub-Committee shall include at least one technical representative from each of the following organizations:</w:t>
      </w:r>
    </w:p>
    <w:p w14:paraId="4BDAFF48" w14:textId="77777777" w:rsidR="005D13A2" w:rsidRPr="005D13A2" w:rsidRDefault="005D13A2" w:rsidP="005D13A2">
      <w:pPr>
        <w:pStyle w:val="ListParagraph"/>
        <w:numPr>
          <w:ilvl w:val="0"/>
          <w:numId w:val="24"/>
        </w:numPr>
      </w:pPr>
      <w:r w:rsidRPr="005D13A2">
        <w:t>Participating First Nations;</w:t>
      </w:r>
    </w:p>
    <w:p w14:paraId="2B805C5A" w14:textId="77777777" w:rsidR="005D13A2" w:rsidRPr="005D13A2" w:rsidRDefault="005D13A2" w:rsidP="005D13A2">
      <w:pPr>
        <w:pStyle w:val="ListParagraph"/>
        <w:numPr>
          <w:ilvl w:val="0"/>
          <w:numId w:val="24"/>
        </w:numPr>
      </w:pPr>
      <w:r w:rsidRPr="005D13A2">
        <w:t>FNLC;</w:t>
      </w:r>
    </w:p>
    <w:p w14:paraId="7663B173" w14:textId="77777777" w:rsidR="005D13A2" w:rsidRPr="005D13A2" w:rsidRDefault="005D13A2" w:rsidP="005D13A2">
      <w:pPr>
        <w:pStyle w:val="ListParagraph"/>
        <w:numPr>
          <w:ilvl w:val="0"/>
          <w:numId w:val="24"/>
        </w:numPr>
      </w:pPr>
      <w:r w:rsidRPr="005D13A2">
        <w:t>FNESS;</w:t>
      </w:r>
    </w:p>
    <w:p w14:paraId="699B70ED" w14:textId="77777777" w:rsidR="005D13A2" w:rsidRPr="005D13A2" w:rsidRDefault="005D13A2" w:rsidP="005D13A2">
      <w:pPr>
        <w:pStyle w:val="ListParagraph"/>
        <w:numPr>
          <w:ilvl w:val="0"/>
          <w:numId w:val="24"/>
        </w:numPr>
      </w:pPr>
      <w:r w:rsidRPr="005D13A2">
        <w:t>EMBC;</w:t>
      </w:r>
    </w:p>
    <w:p w14:paraId="0B482086" w14:textId="77777777" w:rsidR="005D13A2" w:rsidRPr="005D13A2" w:rsidRDefault="005D13A2" w:rsidP="005D13A2">
      <w:pPr>
        <w:pStyle w:val="ListParagraph"/>
        <w:numPr>
          <w:ilvl w:val="0"/>
          <w:numId w:val="24"/>
        </w:numPr>
      </w:pPr>
      <w:r w:rsidRPr="005D13A2">
        <w:t>ISC; and</w:t>
      </w:r>
    </w:p>
    <w:p w14:paraId="691461C9" w14:textId="77777777" w:rsidR="005D13A2" w:rsidRPr="005D13A2" w:rsidRDefault="005D13A2" w:rsidP="005D13A2">
      <w:pPr>
        <w:pStyle w:val="ListParagraph"/>
        <w:numPr>
          <w:ilvl w:val="0"/>
          <w:numId w:val="24"/>
        </w:numPr>
      </w:pPr>
      <w:r w:rsidRPr="005D13A2">
        <w:t>BC Wildfire Service.</w:t>
      </w:r>
    </w:p>
    <w:p w14:paraId="4DF84332" w14:textId="0EDB6EEA" w:rsidR="005D13A2" w:rsidRDefault="005D13A2" w:rsidP="005D13A2">
      <w:r w:rsidRPr="005D13A2">
        <w:t>The number of representatives appointed to the Technical Sub-Committee shall be determined by each organiz</w:t>
      </w:r>
      <w:r w:rsidR="00A345C4">
        <w:t xml:space="preserve">ation on a case-by-case basis. </w:t>
      </w:r>
    </w:p>
    <w:p w14:paraId="29915589" w14:textId="00E01248" w:rsidR="00EC433C" w:rsidRPr="005D13A2" w:rsidRDefault="00AA7674" w:rsidP="00062BF2">
      <w:r>
        <w:t>M</w:t>
      </w:r>
      <w:r w:rsidR="00062BF2">
        <w:t xml:space="preserve">embers shall appoint a Chair </w:t>
      </w:r>
      <w:r>
        <w:t xml:space="preserve">who must be a member of the Technical Sub-Committee </w:t>
      </w:r>
      <w:r w:rsidR="00062BF2">
        <w:t xml:space="preserve">at the end of each meeting of the Technical Sub-Committee. The appointment of the Chair shall be effective from the closure of the meeting at which </w:t>
      </w:r>
      <w:r>
        <w:t xml:space="preserve">the Chair is appointed until </w:t>
      </w:r>
      <w:r w:rsidR="00BF0837">
        <w:t xml:space="preserve">to the closure of the proceeding meeting of the Technical Sub-Committee. </w:t>
      </w:r>
      <w:r w:rsidR="00062BF2">
        <w:t xml:space="preserve">The </w:t>
      </w:r>
      <w:r w:rsidR="00E9191C">
        <w:t>Senior Level Officials</w:t>
      </w:r>
      <w:r w:rsidR="00BF0837">
        <w:t xml:space="preserve"> shall appoint an </w:t>
      </w:r>
      <w:r w:rsidR="00062BF2">
        <w:t xml:space="preserve">initial Chair </w:t>
      </w:r>
      <w:r w:rsidR="00BF0837">
        <w:t>of the Technical Sub-Committee from its member</w:t>
      </w:r>
      <w:r>
        <w:t>ship</w:t>
      </w:r>
      <w:r w:rsidR="00062BF2">
        <w:t xml:space="preserve">. </w:t>
      </w:r>
    </w:p>
    <w:p w14:paraId="61BB0624" w14:textId="3A728FBE" w:rsidR="00080055" w:rsidRPr="005D13A2" w:rsidRDefault="005E0128" w:rsidP="00080055">
      <w:pPr>
        <w:pStyle w:val="Heading1"/>
        <w:numPr>
          <w:ilvl w:val="0"/>
          <w:numId w:val="1"/>
        </w:numPr>
      </w:pPr>
      <w:r w:rsidRPr="005D13A2">
        <w:t>Mandate</w:t>
      </w:r>
      <w:r w:rsidR="00D55F15" w:rsidRPr="005D13A2">
        <w:t xml:space="preserve"> and </w:t>
      </w:r>
      <w:r w:rsidR="00E74C75" w:rsidRPr="005D13A2">
        <w:t>Scope</w:t>
      </w:r>
    </w:p>
    <w:p w14:paraId="087DD065" w14:textId="0EF458AF" w:rsidR="00E74C75" w:rsidRPr="005D13A2" w:rsidRDefault="00AA7674" w:rsidP="00C5217C">
      <w:pPr>
        <w:spacing w:after="60"/>
      </w:pPr>
      <w:r>
        <w:t>T</w:t>
      </w:r>
      <w:r w:rsidR="00080055" w:rsidRPr="005D13A2">
        <w:t>he purpose of the Technical Sub-Committee</w:t>
      </w:r>
      <w:r w:rsidR="00E549C5" w:rsidRPr="005D13A2">
        <w:t xml:space="preserve"> </w:t>
      </w:r>
      <w:r w:rsidR="00080055" w:rsidRPr="005D13A2">
        <w:t xml:space="preserve">is to facilitate co-development of </w:t>
      </w:r>
      <w:r w:rsidR="00080055" w:rsidRPr="005D13A2">
        <w:rPr>
          <w:iCs/>
        </w:rPr>
        <w:t>EPA</w:t>
      </w:r>
      <w:r w:rsidR="00080055" w:rsidRPr="005D13A2">
        <w:rPr>
          <w:i/>
          <w:iCs/>
        </w:rPr>
        <w:t xml:space="preserve"> </w:t>
      </w:r>
      <w:r w:rsidR="00080055" w:rsidRPr="005D13A2">
        <w:t>Reforms by the province of British Columbia and Indigenous peoples within British Columbia</w:t>
      </w:r>
      <w:r w:rsidR="003C28A5" w:rsidRPr="005D13A2">
        <w:t>,</w:t>
      </w:r>
      <w:r w:rsidR="00080055" w:rsidRPr="005D13A2">
        <w:t xml:space="preserve"> and to help ensure the new legislation realizes the goal of the Tripartite MOU</w:t>
      </w:r>
      <w:r w:rsidR="003C28A5" w:rsidRPr="005D13A2">
        <w:t xml:space="preserve">, being </w:t>
      </w:r>
      <w:r w:rsidR="00080055" w:rsidRPr="005D13A2">
        <w:t>to collectively advance meaningful recognition and enhanced capacity of First Nations within all pillars of emergency management.</w:t>
      </w:r>
      <w:r w:rsidR="00C5217C" w:rsidRPr="005D13A2">
        <w:t xml:space="preserve"> </w:t>
      </w:r>
    </w:p>
    <w:p w14:paraId="4FC1C6E0" w14:textId="77777777" w:rsidR="00E74C75" w:rsidRPr="005D13A2" w:rsidRDefault="00E74C75" w:rsidP="00C5217C">
      <w:pPr>
        <w:spacing w:after="60"/>
      </w:pPr>
    </w:p>
    <w:p w14:paraId="767F7472" w14:textId="061E341C" w:rsidR="00C5217C" w:rsidRPr="005D13A2" w:rsidRDefault="00C5217C" w:rsidP="00C5217C">
      <w:pPr>
        <w:spacing w:after="60"/>
        <w:rPr>
          <w:rFonts w:cs="Arial"/>
        </w:rPr>
      </w:pPr>
      <w:r w:rsidRPr="005D13A2">
        <w:t>In fulfilling this mandate, t</w:t>
      </w:r>
      <w:r w:rsidRPr="005D13A2">
        <w:rPr>
          <w:rFonts w:cs="Arial"/>
        </w:rPr>
        <w:t>he Technical Sub-Committee will support the meaningful implementation of UNDRIP within EPA Reforms by:</w:t>
      </w:r>
    </w:p>
    <w:p w14:paraId="12A3430F" w14:textId="600883FA" w:rsidR="00C5217C" w:rsidRPr="005D13A2" w:rsidRDefault="00E9191C" w:rsidP="00C5217C">
      <w:pPr>
        <w:pStyle w:val="ListParagraph"/>
        <w:numPr>
          <w:ilvl w:val="0"/>
          <w:numId w:val="21"/>
        </w:numPr>
        <w:spacing w:after="60"/>
        <w:contextualSpacing w:val="0"/>
        <w:rPr>
          <w:rFonts w:cs="Arial"/>
        </w:rPr>
      </w:pPr>
      <w:r>
        <w:rPr>
          <w:rFonts w:cs="Arial"/>
        </w:rPr>
        <w:t>i</w:t>
      </w:r>
      <w:r w:rsidR="00C5217C" w:rsidRPr="005D13A2">
        <w:rPr>
          <w:rFonts w:cs="Arial"/>
        </w:rPr>
        <w:t>dentifying areas where amendments to the EPA or its regulations may be helpful or necessary to support Declaration Act implementation and be consistent with UNDRIP;</w:t>
      </w:r>
    </w:p>
    <w:p w14:paraId="1C5063DA" w14:textId="22302B23" w:rsidR="00C5217C" w:rsidRPr="005D13A2" w:rsidRDefault="00E9191C" w:rsidP="00C5217C">
      <w:pPr>
        <w:pStyle w:val="ListParagraph"/>
        <w:numPr>
          <w:ilvl w:val="0"/>
          <w:numId w:val="21"/>
        </w:numPr>
        <w:spacing w:after="60"/>
        <w:contextualSpacing w:val="0"/>
        <w:rPr>
          <w:rFonts w:cs="Arial"/>
        </w:rPr>
      </w:pPr>
      <w:r>
        <w:rPr>
          <w:rFonts w:cs="Arial"/>
        </w:rPr>
        <w:t>p</w:t>
      </w:r>
      <w:r w:rsidR="00C5217C" w:rsidRPr="005D13A2">
        <w:rPr>
          <w:rFonts w:cs="Arial"/>
        </w:rPr>
        <w:t>roviding input, discussing matters and considering approaches relating to section 3 of the Declaration Act on the alignment of provincial laws with UNDRIP, including reviewing proposed new or amended legislation and/or regulations, agreements, policies and other instruments;</w:t>
      </w:r>
    </w:p>
    <w:p w14:paraId="265E49DC" w14:textId="35AC38F7" w:rsidR="00C5217C" w:rsidRPr="005D13A2" w:rsidRDefault="00E9191C" w:rsidP="00896308">
      <w:pPr>
        <w:pStyle w:val="ListParagraph"/>
        <w:numPr>
          <w:ilvl w:val="0"/>
          <w:numId w:val="21"/>
        </w:numPr>
        <w:spacing w:after="60"/>
        <w:contextualSpacing w:val="0"/>
        <w:rPr>
          <w:rFonts w:cs="Arial"/>
        </w:rPr>
      </w:pPr>
      <w:r>
        <w:rPr>
          <w:rFonts w:cs="Arial"/>
        </w:rPr>
        <w:lastRenderedPageBreak/>
        <w:t>p</w:t>
      </w:r>
      <w:r w:rsidR="00C5217C" w:rsidRPr="005D13A2">
        <w:rPr>
          <w:rFonts w:cs="Arial"/>
        </w:rPr>
        <w:t xml:space="preserve">roviding a forum for discussion of legal issues arising from </w:t>
      </w:r>
      <w:r w:rsidR="00E74C75" w:rsidRPr="005D13A2">
        <w:rPr>
          <w:rFonts w:cs="Arial"/>
        </w:rPr>
        <w:t>planning reporting requirements that flow from the Declaration Act, including the A</w:t>
      </w:r>
      <w:r w:rsidR="00C5217C" w:rsidRPr="005D13A2">
        <w:rPr>
          <w:rFonts w:cs="Arial"/>
        </w:rPr>
        <w:t xml:space="preserve">ction </w:t>
      </w:r>
      <w:r w:rsidR="00E74C75" w:rsidRPr="005D13A2">
        <w:rPr>
          <w:rFonts w:cs="Arial"/>
        </w:rPr>
        <w:t>P</w:t>
      </w:r>
      <w:r w:rsidR="00C5217C" w:rsidRPr="005D13A2">
        <w:rPr>
          <w:rFonts w:cs="Arial"/>
        </w:rPr>
        <w:t>lan</w:t>
      </w:r>
      <w:r w:rsidR="00E74C75" w:rsidRPr="005D13A2">
        <w:rPr>
          <w:rFonts w:cs="Arial"/>
        </w:rPr>
        <w:t xml:space="preserve"> (section 4),</w:t>
      </w:r>
      <w:r w:rsidR="00C5217C" w:rsidRPr="005D13A2">
        <w:rPr>
          <w:rFonts w:cs="Arial"/>
        </w:rPr>
        <w:t xml:space="preserve"> and </w:t>
      </w:r>
      <w:r w:rsidR="00E74C75" w:rsidRPr="005D13A2">
        <w:rPr>
          <w:rFonts w:cs="Arial"/>
        </w:rPr>
        <w:t>the A</w:t>
      </w:r>
      <w:r w:rsidR="00C5217C" w:rsidRPr="005D13A2">
        <w:rPr>
          <w:rFonts w:cs="Arial"/>
        </w:rPr>
        <w:t xml:space="preserve">nnual </w:t>
      </w:r>
      <w:r w:rsidR="00E74C75" w:rsidRPr="005D13A2">
        <w:rPr>
          <w:rFonts w:cs="Arial"/>
        </w:rPr>
        <w:t>R</w:t>
      </w:r>
      <w:r w:rsidR="00C5217C" w:rsidRPr="005D13A2">
        <w:rPr>
          <w:rFonts w:cs="Arial"/>
        </w:rPr>
        <w:t>eport</w:t>
      </w:r>
      <w:r w:rsidR="00E74C75" w:rsidRPr="005D13A2">
        <w:rPr>
          <w:rFonts w:cs="Arial"/>
        </w:rPr>
        <w:t xml:space="preserve"> (section 5)</w:t>
      </w:r>
      <w:r w:rsidR="00C5217C" w:rsidRPr="005D13A2">
        <w:rPr>
          <w:rFonts w:cs="Arial"/>
        </w:rPr>
        <w:t>; and</w:t>
      </w:r>
    </w:p>
    <w:p w14:paraId="5EE780FF" w14:textId="2E9285A5" w:rsidR="00080055" w:rsidRPr="005D13A2" w:rsidRDefault="00E9191C" w:rsidP="00896308">
      <w:pPr>
        <w:pStyle w:val="ListParagraph"/>
        <w:numPr>
          <w:ilvl w:val="0"/>
          <w:numId w:val="21"/>
        </w:numPr>
        <w:spacing w:after="60"/>
        <w:contextualSpacing w:val="0"/>
        <w:rPr>
          <w:rFonts w:cs="Arial"/>
        </w:rPr>
      </w:pPr>
      <w:r>
        <w:rPr>
          <w:rFonts w:cs="Arial"/>
        </w:rPr>
        <w:t>e</w:t>
      </w:r>
      <w:r w:rsidR="00E74C75" w:rsidRPr="005D13A2">
        <w:rPr>
          <w:rFonts w:cs="Arial"/>
        </w:rPr>
        <w:t xml:space="preserve">mploying </w:t>
      </w:r>
      <w:r w:rsidR="00C5217C" w:rsidRPr="005D13A2">
        <w:rPr>
          <w:rFonts w:cs="Arial"/>
        </w:rPr>
        <w:t xml:space="preserve">collaborative approaches </w:t>
      </w:r>
      <w:r w:rsidR="00E74C75" w:rsidRPr="005D13A2">
        <w:rPr>
          <w:rFonts w:cs="Arial"/>
        </w:rPr>
        <w:t xml:space="preserve">in developing </w:t>
      </w:r>
      <w:r w:rsidR="00C5217C" w:rsidRPr="005D13A2">
        <w:rPr>
          <w:rFonts w:cs="Arial"/>
        </w:rPr>
        <w:t xml:space="preserve">technical </w:t>
      </w:r>
      <w:r w:rsidR="00E74C75" w:rsidRPr="005D13A2">
        <w:rPr>
          <w:rFonts w:cs="Arial"/>
        </w:rPr>
        <w:t xml:space="preserve">solutions to the implementation </w:t>
      </w:r>
      <w:r w:rsidR="00C5217C" w:rsidRPr="005D13A2">
        <w:rPr>
          <w:rFonts w:cs="Arial"/>
        </w:rPr>
        <w:t>of the Declaration Act.</w:t>
      </w:r>
    </w:p>
    <w:p w14:paraId="29BFEE11" w14:textId="77777777" w:rsidR="00E74C75" w:rsidRPr="005D13A2" w:rsidRDefault="00E74C75" w:rsidP="00175D12">
      <w:pPr>
        <w:spacing w:after="60"/>
        <w:rPr>
          <w:szCs w:val="20"/>
        </w:rPr>
      </w:pPr>
    </w:p>
    <w:p w14:paraId="3EEB3009" w14:textId="1EA48CF2" w:rsidR="00175D12" w:rsidRPr="005D13A2" w:rsidRDefault="00175D12" w:rsidP="00175D12">
      <w:pPr>
        <w:spacing w:after="60"/>
        <w:rPr>
          <w:rFonts w:cs="Arial"/>
        </w:rPr>
      </w:pPr>
      <w:r w:rsidRPr="005D13A2">
        <w:rPr>
          <w:szCs w:val="20"/>
        </w:rPr>
        <w:t xml:space="preserve">The Technical Sub-Committee will </w:t>
      </w:r>
      <w:r w:rsidRPr="005D13A2">
        <w:rPr>
          <w:rFonts w:cs="Arial"/>
        </w:rPr>
        <w:t>work on a “without prejudice” basis and will be further guided by the Tripartite MOU, Commitment Document, UNDRIP, and the following additional principles:</w:t>
      </w:r>
    </w:p>
    <w:p w14:paraId="5F9E953F" w14:textId="3E5D3FDE" w:rsidR="00175D12" w:rsidRPr="005D13A2" w:rsidRDefault="00E9191C" w:rsidP="00175D12">
      <w:pPr>
        <w:pStyle w:val="ListParagraph"/>
        <w:numPr>
          <w:ilvl w:val="0"/>
          <w:numId w:val="21"/>
        </w:numPr>
        <w:spacing w:after="60"/>
        <w:contextualSpacing w:val="0"/>
        <w:rPr>
          <w:rFonts w:cs="Arial"/>
        </w:rPr>
      </w:pPr>
      <w:r>
        <w:rPr>
          <w:rFonts w:cs="Arial"/>
        </w:rPr>
        <w:t>c</w:t>
      </w:r>
      <w:r w:rsidR="00175D12" w:rsidRPr="005D13A2">
        <w:rPr>
          <w:rFonts w:cs="Arial"/>
        </w:rPr>
        <w:t>onfidentiality and sharing of information based on the concepts of collaboration; cooperation and reconciliation;</w:t>
      </w:r>
    </w:p>
    <w:p w14:paraId="61D072C4" w14:textId="77777777" w:rsidR="00175D12" w:rsidRPr="005D13A2" w:rsidRDefault="00175D12" w:rsidP="00175D12">
      <w:pPr>
        <w:pStyle w:val="ListParagraph"/>
        <w:numPr>
          <w:ilvl w:val="0"/>
          <w:numId w:val="21"/>
        </w:numPr>
        <w:spacing w:after="60"/>
        <w:contextualSpacing w:val="0"/>
        <w:rPr>
          <w:rFonts w:cs="Arial"/>
        </w:rPr>
      </w:pPr>
      <w:r w:rsidRPr="005D13A2">
        <w:rPr>
          <w:rFonts w:cs="Arial"/>
        </w:rPr>
        <w:t>reciprocity and respect for positions, mandates and authorities;</w:t>
      </w:r>
    </w:p>
    <w:p w14:paraId="14CFC417" w14:textId="77777777" w:rsidR="00175D12" w:rsidRPr="005D13A2" w:rsidRDefault="00175D12" w:rsidP="00175D12">
      <w:pPr>
        <w:pStyle w:val="ListParagraph"/>
        <w:numPr>
          <w:ilvl w:val="0"/>
          <w:numId w:val="21"/>
        </w:numPr>
        <w:spacing w:after="60"/>
        <w:contextualSpacing w:val="0"/>
        <w:rPr>
          <w:rFonts w:cs="Arial"/>
        </w:rPr>
      </w:pPr>
      <w:r w:rsidRPr="005D13A2">
        <w:rPr>
          <w:rFonts w:cs="Arial"/>
        </w:rPr>
        <w:t>understanding of roles and responsibilities of the parties and members of the Technical Sub-Committee; and</w:t>
      </w:r>
    </w:p>
    <w:p w14:paraId="01A255A4" w14:textId="31ED110D" w:rsidR="00175D12" w:rsidRDefault="00175D12" w:rsidP="00175D12">
      <w:pPr>
        <w:pStyle w:val="ListParagraph"/>
        <w:numPr>
          <w:ilvl w:val="0"/>
          <w:numId w:val="21"/>
        </w:numPr>
        <w:spacing w:after="0"/>
        <w:rPr>
          <w:rFonts w:cs="Arial"/>
        </w:rPr>
      </w:pPr>
      <w:r w:rsidRPr="005D13A2">
        <w:rPr>
          <w:rFonts w:cs="Arial"/>
        </w:rPr>
        <w:t xml:space="preserve">focus on constructive, innovative and solution-oriented discussions and recommendations that advance the implementation of the Declaration Act and meeting the objectives of UNDRIP. </w:t>
      </w:r>
    </w:p>
    <w:p w14:paraId="6EB3EF38" w14:textId="77777777" w:rsidR="005D13A2" w:rsidRPr="005D13A2" w:rsidRDefault="005D13A2" w:rsidP="005D13A2">
      <w:pPr>
        <w:spacing w:after="0"/>
        <w:rPr>
          <w:rFonts w:cs="Arial"/>
        </w:rPr>
      </w:pPr>
    </w:p>
    <w:p w14:paraId="2A5230C6" w14:textId="0D374460" w:rsidR="00080055" w:rsidRPr="005D13A2" w:rsidRDefault="00F05D66" w:rsidP="00080055">
      <w:pPr>
        <w:pStyle w:val="Heading1"/>
        <w:numPr>
          <w:ilvl w:val="0"/>
          <w:numId w:val="1"/>
        </w:numPr>
      </w:pPr>
      <w:r w:rsidRPr="005D13A2">
        <w:t>Objectives</w:t>
      </w:r>
    </w:p>
    <w:p w14:paraId="2E25F386" w14:textId="01F75CEB" w:rsidR="00080055" w:rsidRPr="005D13A2" w:rsidRDefault="00080055" w:rsidP="00080055">
      <w:pPr>
        <w:spacing w:after="0"/>
      </w:pPr>
      <w:r w:rsidRPr="005D13A2">
        <w:t xml:space="preserve">The following represent the primary </w:t>
      </w:r>
      <w:r w:rsidR="00E549C5" w:rsidRPr="005D13A2">
        <w:t>objectives</w:t>
      </w:r>
      <w:r w:rsidRPr="005D13A2">
        <w:t xml:space="preserve"> of the Technical Sub-Committee</w:t>
      </w:r>
      <w:r w:rsidR="005D13A2">
        <w:t xml:space="preserve"> in fulfilling its mandate</w:t>
      </w:r>
      <w:r w:rsidRPr="005D13A2">
        <w:t>:</w:t>
      </w:r>
    </w:p>
    <w:p w14:paraId="00FC1C1F" w14:textId="77777777" w:rsidR="00080055" w:rsidRPr="005D13A2" w:rsidRDefault="00080055" w:rsidP="00080055">
      <w:pPr>
        <w:spacing w:after="0"/>
      </w:pPr>
    </w:p>
    <w:p w14:paraId="62CF8CD4" w14:textId="5FAEBD8D" w:rsidR="00080055" w:rsidRPr="005D13A2" w:rsidRDefault="00080055" w:rsidP="005D13A2">
      <w:pPr>
        <w:pStyle w:val="ListParagraph"/>
        <w:numPr>
          <w:ilvl w:val="0"/>
          <w:numId w:val="25"/>
        </w:numPr>
        <w:spacing w:after="60"/>
        <w:contextualSpacing w:val="0"/>
        <w:rPr>
          <w:rFonts w:cs="Arial"/>
        </w:rPr>
      </w:pPr>
      <w:r w:rsidRPr="005D13A2">
        <w:rPr>
          <w:rFonts w:cs="Arial"/>
        </w:rPr>
        <w:t xml:space="preserve">To </w:t>
      </w:r>
      <w:r w:rsidR="00DB521D" w:rsidRPr="005D13A2">
        <w:rPr>
          <w:rFonts w:cs="Arial"/>
        </w:rPr>
        <w:t>de</w:t>
      </w:r>
      <w:bookmarkStart w:id="0" w:name="_GoBack"/>
      <w:bookmarkEnd w:id="0"/>
      <w:r w:rsidR="00DB521D" w:rsidRPr="005D13A2">
        <w:rPr>
          <w:rFonts w:cs="Arial"/>
        </w:rPr>
        <w:t xml:space="preserve">velop </w:t>
      </w:r>
      <w:r w:rsidRPr="005D13A2">
        <w:rPr>
          <w:rFonts w:cs="Arial"/>
        </w:rPr>
        <w:t>an Indigenous engagement plan for legislative reform that reflects th</w:t>
      </w:r>
      <w:r w:rsidR="00E9191C">
        <w:rPr>
          <w:rFonts w:cs="Arial"/>
        </w:rPr>
        <w:t xml:space="preserve">e province’s obligations in </w:t>
      </w:r>
      <w:r w:rsidRPr="005D13A2">
        <w:rPr>
          <w:rFonts w:cs="Arial"/>
        </w:rPr>
        <w:t>DRIPA</w:t>
      </w:r>
      <w:r w:rsidR="00DE5D5B" w:rsidRPr="005D13A2">
        <w:rPr>
          <w:rFonts w:cs="Arial"/>
        </w:rPr>
        <w:t>,</w:t>
      </w:r>
      <w:r w:rsidRPr="005D13A2">
        <w:rPr>
          <w:rFonts w:cs="Arial"/>
        </w:rPr>
        <w:t xml:space="preserve"> </w:t>
      </w:r>
      <w:r w:rsidR="00777BF1" w:rsidRPr="00BB424B">
        <w:rPr>
          <w:rFonts w:cs="Arial"/>
        </w:rPr>
        <w:t>and which is developed in the spirit of DRIPA with transparency, respect and inclusion of Indigenous perspectives</w:t>
      </w:r>
      <w:r w:rsidR="00BB424B" w:rsidRPr="00BB424B">
        <w:rPr>
          <w:rFonts w:cs="Arial"/>
        </w:rPr>
        <w:t>.</w:t>
      </w:r>
    </w:p>
    <w:p w14:paraId="4F5A8A5E" w14:textId="4E272D3F" w:rsidR="00080055" w:rsidRPr="005D13A2" w:rsidRDefault="00080055" w:rsidP="005D13A2">
      <w:pPr>
        <w:pStyle w:val="ListParagraph"/>
        <w:numPr>
          <w:ilvl w:val="0"/>
          <w:numId w:val="25"/>
        </w:numPr>
        <w:spacing w:after="60"/>
        <w:contextualSpacing w:val="0"/>
        <w:rPr>
          <w:rFonts w:cs="Arial"/>
        </w:rPr>
      </w:pPr>
      <w:r w:rsidRPr="005D13A2">
        <w:rPr>
          <w:rFonts w:cs="Arial"/>
        </w:rPr>
        <w:t xml:space="preserve">To review and refine policy concepts </w:t>
      </w:r>
      <w:r w:rsidR="00DB521D" w:rsidRPr="005D13A2">
        <w:rPr>
          <w:rFonts w:cs="Arial"/>
        </w:rPr>
        <w:t>informed from</w:t>
      </w:r>
      <w:r w:rsidRPr="005D13A2">
        <w:rPr>
          <w:rFonts w:cs="Arial"/>
        </w:rPr>
        <w:t xml:space="preserve"> Indigenous engagement</w:t>
      </w:r>
      <w:r w:rsidR="00DB521D" w:rsidRPr="005D13A2">
        <w:rPr>
          <w:rFonts w:cs="Arial"/>
        </w:rPr>
        <w:t>,</w:t>
      </w:r>
      <w:r w:rsidRPr="005D13A2">
        <w:rPr>
          <w:rFonts w:cs="Arial"/>
        </w:rPr>
        <w:t xml:space="preserve"> which will inform the drafting of</w:t>
      </w:r>
      <w:r w:rsidR="004C173D" w:rsidRPr="005D13A2">
        <w:rPr>
          <w:rFonts w:cs="Arial"/>
        </w:rPr>
        <w:t xml:space="preserve"> reforms to</w:t>
      </w:r>
      <w:r w:rsidRPr="005D13A2">
        <w:rPr>
          <w:rFonts w:cs="Arial"/>
        </w:rPr>
        <w:t xml:space="preserve"> the EPA.</w:t>
      </w:r>
    </w:p>
    <w:p w14:paraId="5F7B05EC" w14:textId="6ED44B23" w:rsidR="00080055" w:rsidRPr="005D13A2" w:rsidRDefault="00080055" w:rsidP="005D13A2">
      <w:pPr>
        <w:pStyle w:val="ListParagraph"/>
        <w:numPr>
          <w:ilvl w:val="0"/>
          <w:numId w:val="25"/>
        </w:numPr>
        <w:spacing w:after="60"/>
        <w:contextualSpacing w:val="0"/>
        <w:rPr>
          <w:rFonts w:cs="Arial"/>
        </w:rPr>
      </w:pPr>
      <w:r w:rsidRPr="005D13A2">
        <w:rPr>
          <w:rFonts w:cs="Arial"/>
        </w:rPr>
        <w:t xml:space="preserve">To track and report on how Indigenous engagement is reflected in the legislative process for </w:t>
      </w:r>
      <w:r w:rsidR="004C173D" w:rsidRPr="005D13A2">
        <w:rPr>
          <w:rFonts w:cs="Arial"/>
        </w:rPr>
        <w:t xml:space="preserve">implementing reforms to </w:t>
      </w:r>
      <w:r w:rsidRPr="005D13A2">
        <w:rPr>
          <w:rFonts w:cs="Arial"/>
        </w:rPr>
        <w:t>the EPA.</w:t>
      </w:r>
    </w:p>
    <w:p w14:paraId="45833BAA" w14:textId="437B151B" w:rsidR="00D55F15" w:rsidRPr="005D13A2" w:rsidRDefault="00080055" w:rsidP="00F05D66">
      <w:pPr>
        <w:pStyle w:val="ListParagraph"/>
        <w:numPr>
          <w:ilvl w:val="0"/>
          <w:numId w:val="25"/>
        </w:numPr>
        <w:spacing w:after="60"/>
        <w:contextualSpacing w:val="0"/>
        <w:rPr>
          <w:rFonts w:cs="Arial"/>
        </w:rPr>
      </w:pPr>
      <w:r w:rsidRPr="005D13A2">
        <w:rPr>
          <w:rFonts w:cs="Arial"/>
        </w:rPr>
        <w:t xml:space="preserve">To review and comment on drafts of the </w:t>
      </w:r>
      <w:r w:rsidR="00DB521D" w:rsidRPr="005D13A2">
        <w:rPr>
          <w:rFonts w:cs="Arial"/>
        </w:rPr>
        <w:t xml:space="preserve">proposed </w:t>
      </w:r>
      <w:r w:rsidRPr="005D13A2">
        <w:rPr>
          <w:rFonts w:cs="Arial"/>
        </w:rPr>
        <w:t>legislati</w:t>
      </w:r>
      <w:r w:rsidR="00DB521D" w:rsidRPr="005D13A2">
        <w:rPr>
          <w:rFonts w:cs="Arial"/>
        </w:rPr>
        <w:t xml:space="preserve">ve reforms </w:t>
      </w:r>
      <w:r w:rsidRPr="005D13A2">
        <w:rPr>
          <w:rFonts w:cs="Arial"/>
        </w:rPr>
        <w:t xml:space="preserve">to ensure that the goals of the Tripartite MOU and </w:t>
      </w:r>
      <w:r w:rsidR="00DB521D" w:rsidRPr="005D13A2">
        <w:rPr>
          <w:rFonts w:cs="Arial"/>
        </w:rPr>
        <w:t xml:space="preserve">any </w:t>
      </w:r>
      <w:r w:rsidRPr="005D13A2">
        <w:rPr>
          <w:rFonts w:cs="Arial"/>
        </w:rPr>
        <w:t xml:space="preserve">feedback </w:t>
      </w:r>
      <w:r w:rsidR="00DB521D" w:rsidRPr="005D13A2">
        <w:rPr>
          <w:rFonts w:cs="Arial"/>
        </w:rPr>
        <w:t xml:space="preserve">arising from </w:t>
      </w:r>
      <w:r w:rsidRPr="005D13A2">
        <w:rPr>
          <w:rFonts w:cs="Arial"/>
        </w:rPr>
        <w:t xml:space="preserve">Indigenous engagement are </w:t>
      </w:r>
      <w:r w:rsidR="00DB521D" w:rsidRPr="005D13A2">
        <w:rPr>
          <w:rFonts w:cs="Arial"/>
        </w:rPr>
        <w:t xml:space="preserve">adequately </w:t>
      </w:r>
      <w:r w:rsidRPr="005D13A2">
        <w:rPr>
          <w:rFonts w:cs="Arial"/>
        </w:rPr>
        <w:t>reflected in the legislative text.</w:t>
      </w:r>
    </w:p>
    <w:p w14:paraId="3C558C40" w14:textId="7FD5AA89" w:rsidR="00D55F15" w:rsidRPr="005D13A2" w:rsidRDefault="00D55F15" w:rsidP="005D13A2">
      <w:pPr>
        <w:spacing w:after="0"/>
        <w:rPr>
          <w:rFonts w:cs="Arial"/>
        </w:rPr>
      </w:pPr>
    </w:p>
    <w:p w14:paraId="17CA9AC6" w14:textId="77777777" w:rsidR="00080055" w:rsidRPr="005D13A2" w:rsidRDefault="00080055" w:rsidP="00080055">
      <w:pPr>
        <w:pStyle w:val="Heading1"/>
        <w:numPr>
          <w:ilvl w:val="0"/>
          <w:numId w:val="1"/>
        </w:numPr>
      </w:pPr>
      <w:r w:rsidRPr="005D13A2">
        <w:t>workplan</w:t>
      </w:r>
    </w:p>
    <w:p w14:paraId="52A05633" w14:textId="2555E7E1" w:rsidR="00080055" w:rsidRPr="005D13A2" w:rsidRDefault="00080055" w:rsidP="00080055">
      <w:r w:rsidRPr="005D13A2">
        <w:t xml:space="preserve">The Technical Sub-Committee will develop a </w:t>
      </w:r>
      <w:r w:rsidR="00896308" w:rsidRPr="005D13A2">
        <w:t>w</w:t>
      </w:r>
      <w:r w:rsidRPr="005D13A2">
        <w:t>orkplan w</w:t>
      </w:r>
      <w:r w:rsidR="00896308" w:rsidRPr="005D13A2">
        <w:t xml:space="preserve">ithin 30 days of completing this </w:t>
      </w:r>
      <w:r w:rsidRPr="005D13A2">
        <w:t xml:space="preserve">Terms of Reference, </w:t>
      </w:r>
      <w:r w:rsidR="00896308" w:rsidRPr="005D13A2">
        <w:t>identifying all resources necessary to achieve the objectives identified in section 5.  T</w:t>
      </w:r>
      <w:r w:rsidRPr="005D13A2">
        <w:t>he Senior Level Officials</w:t>
      </w:r>
      <w:r w:rsidR="00896308" w:rsidRPr="005D13A2">
        <w:t xml:space="preserve"> </w:t>
      </w:r>
      <w:r w:rsidR="00896308" w:rsidRPr="00D63A5D">
        <w:t>shall approve the workplan</w:t>
      </w:r>
      <w:r w:rsidR="005D13A2" w:rsidRPr="00D63A5D">
        <w:t xml:space="preserve"> prior to initiating </w:t>
      </w:r>
      <w:r w:rsidR="00D63A5D" w:rsidRPr="00D63A5D">
        <w:t>work under this Terms of Reference</w:t>
      </w:r>
      <w:r w:rsidRPr="00D63A5D">
        <w:t>.</w:t>
      </w:r>
      <w:r w:rsidRPr="005D13A2">
        <w:t xml:space="preserve"> </w:t>
      </w:r>
    </w:p>
    <w:p w14:paraId="7EB41FAE" w14:textId="77777777" w:rsidR="00080055" w:rsidRPr="005D13A2" w:rsidRDefault="00080055" w:rsidP="00080055">
      <w:pPr>
        <w:pStyle w:val="Heading1"/>
        <w:numPr>
          <w:ilvl w:val="0"/>
          <w:numId w:val="1"/>
        </w:numPr>
      </w:pPr>
      <w:r w:rsidRPr="005D13A2">
        <w:t>structure &amp; accountability</w:t>
      </w:r>
    </w:p>
    <w:p w14:paraId="5F305417" w14:textId="336AAD7D" w:rsidR="00080055" w:rsidRPr="005D13A2" w:rsidRDefault="00080055" w:rsidP="00080055">
      <w:r w:rsidRPr="005D13A2">
        <w:t>Members of the Technical Sub-Committee</w:t>
      </w:r>
      <w:r w:rsidR="00EC433C" w:rsidRPr="005D13A2">
        <w:t xml:space="preserve"> are governed by these Terms of Reference</w:t>
      </w:r>
      <w:r w:rsidR="00EC433C">
        <w:t>.</w:t>
      </w:r>
      <w:r w:rsidR="00EC433C" w:rsidRPr="005D13A2">
        <w:t xml:space="preserve"> </w:t>
      </w:r>
    </w:p>
    <w:p w14:paraId="5C16D630" w14:textId="1B681416" w:rsidR="00080055" w:rsidRDefault="00080055" w:rsidP="00080055">
      <w:r w:rsidRPr="005D13A2">
        <w:t xml:space="preserve">Members of the Technical Sub-Committee are </w:t>
      </w:r>
      <w:r w:rsidR="00EC433C" w:rsidRPr="005D13A2">
        <w:t>accountable to the communities and organizations they represent,</w:t>
      </w:r>
      <w:r w:rsidR="00EC433C">
        <w:t xml:space="preserve"> and shall be r</w:t>
      </w:r>
      <w:r w:rsidRPr="005D13A2">
        <w:t>esponsible for reporting to th</w:t>
      </w:r>
      <w:r w:rsidR="00EC433C">
        <w:t xml:space="preserve">ose respective </w:t>
      </w:r>
      <w:r w:rsidRPr="005D13A2">
        <w:t xml:space="preserve">communities and organizations on all matters </w:t>
      </w:r>
      <w:r w:rsidR="00EC433C">
        <w:t xml:space="preserve">of the </w:t>
      </w:r>
      <w:r w:rsidR="00EC433C" w:rsidRPr="005D13A2">
        <w:t>Technical Sub-Committee</w:t>
      </w:r>
      <w:r w:rsidRPr="005D13A2">
        <w:t>.</w:t>
      </w:r>
      <w:r w:rsidR="00EC433C">
        <w:t xml:space="preserve"> </w:t>
      </w:r>
      <w:r w:rsidR="00D8499F">
        <w:t>M</w:t>
      </w:r>
      <w:r w:rsidRPr="005D13A2">
        <w:t xml:space="preserve">embers of the Technical Sub-Committee will </w:t>
      </w:r>
      <w:r w:rsidR="00D8499F">
        <w:t xml:space="preserve">also </w:t>
      </w:r>
      <w:r w:rsidRPr="005D13A2">
        <w:t xml:space="preserve">report to the assemblies of the BCAFN, UBCIC, and FNS, and </w:t>
      </w:r>
      <w:r w:rsidR="00EC433C">
        <w:t>at</w:t>
      </w:r>
      <w:r w:rsidRPr="005D13A2">
        <w:t xml:space="preserve"> meetings of the FNLC, as request</w:t>
      </w:r>
      <w:r w:rsidR="00EC433C">
        <w:t>ed</w:t>
      </w:r>
      <w:r w:rsidRPr="005D13A2">
        <w:t>.</w:t>
      </w:r>
    </w:p>
    <w:p w14:paraId="655C07C9" w14:textId="3F45C295" w:rsidR="002B4AF9" w:rsidRDefault="00A71A4F" w:rsidP="002B4AF9">
      <w:r>
        <w:lastRenderedPageBreak/>
        <w:t xml:space="preserve">Members of the Technical Sub-Committee shall be </w:t>
      </w:r>
      <w:r w:rsidRPr="005D13A2">
        <w:t xml:space="preserve">accountable to </w:t>
      </w:r>
      <w:r>
        <w:t>any</w:t>
      </w:r>
      <w:r w:rsidRPr="00A71A4F">
        <w:t xml:space="preserve"> </w:t>
      </w:r>
      <w:r>
        <w:t xml:space="preserve">confidentiality </w:t>
      </w:r>
      <w:r w:rsidRPr="005D13A2">
        <w:t>or non-disclosure agreements</w:t>
      </w:r>
      <w:r>
        <w:t xml:space="preserve"> they enter into with government entities, and shall</w:t>
      </w:r>
      <w:r w:rsidRPr="005D13A2">
        <w:t xml:space="preserve"> be governed by the provisions contain</w:t>
      </w:r>
      <w:r>
        <w:t xml:space="preserve"> in any such confidentiality or non-disclosure agreement</w:t>
      </w:r>
      <w:r w:rsidRPr="005D13A2">
        <w:t>, including, but not limited to, provisions regarding the sharing of information with individuals, groups, or organization not bound by the agreements</w:t>
      </w:r>
      <w:r w:rsidR="002B4AF9">
        <w:t xml:space="preserve">. </w:t>
      </w:r>
    </w:p>
    <w:p w14:paraId="5A77277D" w14:textId="77777777" w:rsidR="00AA7674" w:rsidRDefault="00AA7674" w:rsidP="00AA7674">
      <w:r w:rsidRPr="005D13A2">
        <w:t>The Chair</w:t>
      </w:r>
      <w:r>
        <w:t xml:space="preserve"> of the </w:t>
      </w:r>
      <w:r w:rsidRPr="005D13A2">
        <w:t xml:space="preserve">Technical Sub-Committee will </w:t>
      </w:r>
      <w:r>
        <w:t xml:space="preserve">act as </w:t>
      </w:r>
      <w:r w:rsidRPr="005D13A2">
        <w:t xml:space="preserve">the </w:t>
      </w:r>
      <w:r>
        <w:t xml:space="preserve">external </w:t>
      </w:r>
      <w:r w:rsidRPr="005D13A2">
        <w:t>spokesperson of the Technical Sub-Committee</w:t>
      </w:r>
      <w:r>
        <w:t xml:space="preserve"> in a general capacity. </w:t>
      </w:r>
    </w:p>
    <w:p w14:paraId="521FB85C" w14:textId="2F4BFEB9" w:rsidR="00F05D66" w:rsidRPr="005D13A2" w:rsidRDefault="00F05D66" w:rsidP="00F05D66">
      <w:pPr>
        <w:pStyle w:val="Heading1"/>
        <w:numPr>
          <w:ilvl w:val="0"/>
          <w:numId w:val="1"/>
        </w:numPr>
      </w:pPr>
      <w:r w:rsidRPr="005D13A2">
        <w:t xml:space="preserve">meetings </w:t>
      </w:r>
    </w:p>
    <w:p w14:paraId="25F0768B" w14:textId="0A3BA3CE" w:rsidR="00F05D66" w:rsidRPr="005D13A2" w:rsidRDefault="00F05D66" w:rsidP="00F05D66">
      <w:pPr>
        <w:rPr>
          <w:b/>
        </w:rPr>
      </w:pPr>
      <w:r w:rsidRPr="005D13A2">
        <w:t xml:space="preserve">The Technical Sub-Committee will meet </w:t>
      </w:r>
      <w:r w:rsidR="00062BF2">
        <w:t>regularly on an as-</w:t>
      </w:r>
      <w:r w:rsidRPr="005D13A2">
        <w:t xml:space="preserve">needed </w:t>
      </w:r>
      <w:r w:rsidR="00062BF2">
        <w:t xml:space="preserve">basis </w:t>
      </w:r>
      <w:r w:rsidRPr="005D13A2">
        <w:t>to carry out its work during the period of EPA reform. The Chair or support staff will</w:t>
      </w:r>
      <w:r w:rsidR="00AE3E26">
        <w:t xml:space="preserve"> provide written notice to m</w:t>
      </w:r>
      <w:r w:rsidRPr="005D13A2">
        <w:t xml:space="preserve">embers </w:t>
      </w:r>
      <w:r w:rsidR="00AE3E26">
        <w:t>not less than fourteen (14)</w:t>
      </w:r>
      <w:r w:rsidR="00A345C4">
        <w:t xml:space="preserve"> </w:t>
      </w:r>
      <w:r w:rsidR="00AE3E26">
        <w:t xml:space="preserve">calendar days in advance of each meeting, </w:t>
      </w:r>
      <w:r w:rsidRPr="005D13A2">
        <w:t xml:space="preserve">and will </w:t>
      </w:r>
      <w:r w:rsidR="00AE3E26">
        <w:t xml:space="preserve">include an </w:t>
      </w:r>
      <w:r w:rsidRPr="005D13A2">
        <w:t xml:space="preserve">agenda and </w:t>
      </w:r>
      <w:r w:rsidR="00AE3E26">
        <w:t xml:space="preserve">all relevant </w:t>
      </w:r>
      <w:r w:rsidRPr="005D13A2">
        <w:t xml:space="preserve">materials in advance of </w:t>
      </w:r>
      <w:r w:rsidR="00AE3E26">
        <w:t xml:space="preserve">each meeting </w:t>
      </w:r>
      <w:r w:rsidRPr="005D13A2">
        <w:t xml:space="preserve">with adequate time for review and preparation. </w:t>
      </w:r>
    </w:p>
    <w:p w14:paraId="00101367" w14:textId="6759F646" w:rsidR="00D17317" w:rsidRPr="005D13A2" w:rsidRDefault="00F05D66" w:rsidP="00F05D66">
      <w:r w:rsidRPr="005D13A2">
        <w:t>The quorum for any meeting of the Technical Sub-Committee is fifty percent plus one (50% +1) of its membe</w:t>
      </w:r>
      <w:r w:rsidR="00AE3E26">
        <w:t>rship, including the Chair</w:t>
      </w:r>
      <w:r w:rsidRPr="005D13A2">
        <w:t xml:space="preserve">. </w:t>
      </w:r>
      <w:r w:rsidR="00AE3E26">
        <w:t xml:space="preserve">The </w:t>
      </w:r>
      <w:r w:rsidRPr="005D13A2">
        <w:t xml:space="preserve">support staff </w:t>
      </w:r>
      <w:r w:rsidR="00AE3E26">
        <w:t>of the FNESS</w:t>
      </w:r>
      <w:r w:rsidR="00AE3E26" w:rsidRPr="005D13A2">
        <w:t xml:space="preserve"> </w:t>
      </w:r>
      <w:r w:rsidRPr="005D13A2">
        <w:t>are responsible for keeping minutes of each Technical Sub-Committee meeting using a template provided, and will circulate</w:t>
      </w:r>
      <w:r w:rsidR="00AE3E26">
        <w:t xml:space="preserve"> meeting minutes</w:t>
      </w:r>
      <w:r w:rsidRPr="005D13A2">
        <w:t xml:space="preserve"> to the Technical Sub-Committee within </w:t>
      </w:r>
      <w:r w:rsidR="00AE3E26">
        <w:t>five (</w:t>
      </w:r>
      <w:r w:rsidR="00C10306">
        <w:t>5</w:t>
      </w:r>
      <w:r w:rsidR="00AE3E26">
        <w:t>)</w:t>
      </w:r>
      <w:r w:rsidRPr="005D13A2">
        <w:t xml:space="preserve"> business days of </w:t>
      </w:r>
      <w:r w:rsidR="00AE3E26">
        <w:t xml:space="preserve">the each proceeding </w:t>
      </w:r>
      <w:r w:rsidRPr="005D13A2">
        <w:t>Technical Sub-Committee meeting.</w:t>
      </w:r>
    </w:p>
    <w:p w14:paraId="5045E05A" w14:textId="1D2878FB" w:rsidR="001F3F95" w:rsidRDefault="00AE3E26" w:rsidP="001F3F95">
      <w:pPr>
        <w:spacing w:after="0"/>
      </w:pPr>
      <w:r>
        <w:t xml:space="preserve">The members of the Technical Sub-Committee will </w:t>
      </w:r>
      <w:r w:rsidRPr="00AE3E26">
        <w:t>endeavour to make decisions by consensus and</w:t>
      </w:r>
      <w:r w:rsidR="00062BF2">
        <w:t xml:space="preserve"> as</w:t>
      </w:r>
      <w:r w:rsidRPr="00AE3E26">
        <w:t xml:space="preserve"> informed by their own respective mandates.</w:t>
      </w:r>
      <w:r>
        <w:t xml:space="preserve"> </w:t>
      </w:r>
      <w:r w:rsidR="001F3F95" w:rsidRPr="00AE3E26">
        <w:t xml:space="preserve">In the event that consensus is not reached, issues will be referred to the </w:t>
      </w:r>
      <w:r w:rsidRPr="00AE3E26">
        <w:t>Working Group</w:t>
      </w:r>
      <w:r w:rsidR="001F3F95" w:rsidRPr="00AE3E26">
        <w:t>, with reasons for the lack of consensus.</w:t>
      </w:r>
    </w:p>
    <w:p w14:paraId="0C142521" w14:textId="77777777" w:rsidR="00AE3E26" w:rsidRPr="00AE3E26" w:rsidRDefault="00AE3E26" w:rsidP="001F3F95">
      <w:pPr>
        <w:spacing w:after="0"/>
      </w:pPr>
    </w:p>
    <w:p w14:paraId="08C798E1" w14:textId="77777777" w:rsidR="00080055" w:rsidRPr="005D13A2" w:rsidRDefault="00080055" w:rsidP="00080055">
      <w:pPr>
        <w:pStyle w:val="Heading1"/>
        <w:numPr>
          <w:ilvl w:val="0"/>
          <w:numId w:val="1"/>
        </w:numPr>
      </w:pPr>
      <w:r w:rsidRPr="005D13A2">
        <w:t xml:space="preserve">amendments </w:t>
      </w:r>
    </w:p>
    <w:p w14:paraId="6C40AB9B" w14:textId="77777777" w:rsidR="00080055" w:rsidRPr="00C3364A" w:rsidRDefault="00080055" w:rsidP="00080055">
      <w:r w:rsidRPr="005D13A2">
        <w:t xml:space="preserve">The Technical Sub-Committee may propose amendments to the Terms of Reference at any duly convened meeting, which FNESS support staff will track using version numbers and dates. </w:t>
      </w:r>
      <w:r w:rsidRPr="005D13A2">
        <w:rPr>
          <w:rFonts w:cstheme="minorHAnsi"/>
        </w:rPr>
        <w:t xml:space="preserve">Amendments to the Terms of Reference must be approved by a quorum of </w:t>
      </w:r>
      <w:r w:rsidRPr="005D13A2">
        <w:t>Technical Sub-Committee</w:t>
      </w:r>
      <w:r w:rsidRPr="005D13A2">
        <w:rPr>
          <w:rFonts w:cstheme="minorHAnsi"/>
        </w:rPr>
        <w:t xml:space="preserve"> members, and then must be subsequently approved by Senior Level Of</w:t>
      </w:r>
      <w:r w:rsidRPr="006A3614">
        <w:rPr>
          <w:rFonts w:cstheme="minorHAnsi"/>
        </w:rPr>
        <w:t>ficials.</w:t>
      </w:r>
      <w:r>
        <w:rPr>
          <w:rFonts w:cstheme="minorHAnsi"/>
        </w:rPr>
        <w:t xml:space="preserve"> </w:t>
      </w:r>
    </w:p>
    <w:p w14:paraId="0804382C" w14:textId="77777777" w:rsidR="00080055" w:rsidRPr="00C3364A" w:rsidRDefault="00080055" w:rsidP="00080055"/>
    <w:p w14:paraId="24EBA1F7" w14:textId="77777777" w:rsidR="00080055" w:rsidRPr="008B160E" w:rsidRDefault="00080055" w:rsidP="00080055"/>
    <w:p w14:paraId="7EB13A1F" w14:textId="77777777" w:rsidR="00F512B1" w:rsidRPr="00A83FEE" w:rsidRDefault="00BB424B" w:rsidP="002E22C0"/>
    <w:sectPr w:rsidR="00F512B1" w:rsidRPr="00A83FEE" w:rsidSect="006E53BE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382F5" w14:textId="77777777" w:rsidR="00F9487E" w:rsidRDefault="00F9487E">
      <w:pPr>
        <w:spacing w:after="0"/>
      </w:pPr>
      <w:r>
        <w:separator/>
      </w:r>
    </w:p>
  </w:endnote>
  <w:endnote w:type="continuationSeparator" w:id="0">
    <w:p w14:paraId="6211DABB" w14:textId="77777777" w:rsidR="00F9487E" w:rsidRDefault="00F948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0921A" w14:textId="135399AB" w:rsidR="00080055" w:rsidRPr="00080055" w:rsidRDefault="00A345C4" w:rsidP="00080055">
    <w:pPr>
      <w:pStyle w:val="Footer"/>
    </w:pPr>
    <w:r w:rsidRPr="00A345C4">
      <w:rPr>
        <w:noProof/>
        <w:vanish/>
        <w:sz w:val="16"/>
      </w:rPr>
      <w:t>{</w:t>
    </w:r>
    <w:r w:rsidRPr="00A345C4">
      <w:rPr>
        <w:noProof/>
        <w:sz w:val="16"/>
      </w:rPr>
      <w:t>00795301.</w:t>
    </w:r>
    <w:r w:rsidR="00777BF1">
      <w:rPr>
        <w:noProof/>
        <w:sz w:val="16"/>
      </w:rPr>
      <w:t>3</w:t>
    </w:r>
    <w:r w:rsidR="000C4DAC">
      <w:rPr>
        <w:noProof/>
        <w:sz w:val="16"/>
      </w:rPr>
      <w:t xml:space="preserve"> 0</w:t>
    </w:r>
    <w:r w:rsidR="00F526B2">
      <w:rPr>
        <w:noProof/>
        <w:sz w:val="16"/>
      </w:rPr>
      <w:t>8</w:t>
    </w:r>
    <w:r w:rsidR="000C4DAC">
      <w:rPr>
        <w:noProof/>
        <w:sz w:val="16"/>
      </w:rPr>
      <w:t>092020</w:t>
    </w:r>
    <w:r w:rsidRPr="00A345C4">
      <w:rPr>
        <w:noProof/>
        <w:sz w:val="16"/>
      </w:rPr>
      <w:t xml:space="preserve"> </w:t>
    </w:r>
    <w:r w:rsidRPr="00A345C4">
      <w:rPr>
        <w:noProof/>
        <w:vanish/>
        <w:sz w:val="16"/>
      </w:rPr>
      <w:t>}</w:t>
    </w:r>
    <w:r w:rsidR="00080055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30F05" w14:textId="3058A71C" w:rsidR="00FF3301" w:rsidRPr="00080055" w:rsidRDefault="00A345C4" w:rsidP="00080055">
    <w:pPr>
      <w:pStyle w:val="Footer"/>
      <w:spacing w:after="0"/>
    </w:pPr>
    <w:r w:rsidRPr="00A345C4">
      <w:rPr>
        <w:noProof/>
        <w:vanish/>
        <w:sz w:val="16"/>
      </w:rPr>
      <w:t>{</w:t>
    </w:r>
    <w:r w:rsidRPr="00A345C4">
      <w:rPr>
        <w:noProof/>
        <w:sz w:val="16"/>
      </w:rPr>
      <w:t>00795301.</w:t>
    </w:r>
    <w:r w:rsidR="000C4DAC">
      <w:rPr>
        <w:noProof/>
        <w:sz w:val="16"/>
      </w:rPr>
      <w:t>3 04092020</w:t>
    </w:r>
    <w:r w:rsidRPr="00A345C4">
      <w:rPr>
        <w:noProof/>
        <w:sz w:val="16"/>
      </w:rPr>
      <w:t xml:space="preserve"> </w:t>
    </w:r>
    <w:r w:rsidRPr="00A345C4">
      <w:rPr>
        <w:noProof/>
        <w:vanish/>
        <w:sz w:val="16"/>
      </w:rPr>
      <w:t>}</w:t>
    </w:r>
    <w:r w:rsidR="0008005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FD22B" w14:textId="77777777" w:rsidR="00F9487E" w:rsidRDefault="00F9487E">
      <w:pPr>
        <w:spacing w:after="0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384D6886" w14:textId="77777777" w:rsidR="00F9487E" w:rsidRDefault="00F9487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EBFA2" w14:textId="075EE77F" w:rsidR="00805442" w:rsidRDefault="000620EE" w:rsidP="005A4294">
    <w:pPr>
      <w:pStyle w:val="Header"/>
      <w:tabs>
        <w:tab w:val="clear" w:pos="4320"/>
        <w:tab w:val="clear" w:pos="8640"/>
        <w:tab w:val="center" w:pos="4680"/>
        <w:tab w:val="right" w:pos="9360"/>
      </w:tabs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345C4">
      <w:rPr>
        <w:rStyle w:val="PageNumber"/>
        <w:noProof/>
      </w:rPr>
      <w:t>5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FC4F4" w14:textId="77777777" w:rsidR="006E53BE" w:rsidRPr="006E53BE" w:rsidRDefault="00BB424B" w:rsidP="006E53BE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E33C1"/>
    <w:multiLevelType w:val="hybridMultilevel"/>
    <w:tmpl w:val="13283560"/>
    <w:lvl w:ilvl="0" w:tplc="DAB00B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E1726D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E49C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06C1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76D6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7447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B22F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0ED3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EA13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93E58"/>
    <w:multiLevelType w:val="hybridMultilevel"/>
    <w:tmpl w:val="E4202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51E42"/>
    <w:multiLevelType w:val="multilevel"/>
    <w:tmpl w:val="7B362DB4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AlphaList"/>
      <w:lvlText w:val="(%3)"/>
      <w:lvlJc w:val="left"/>
      <w:pPr>
        <w:ind w:left="1440" w:hanging="720"/>
      </w:pPr>
      <w:rPr>
        <w:rFonts w:hint="default"/>
        <w:b w:val="0"/>
        <w:caps w:val="0"/>
      </w:rPr>
    </w:lvl>
    <w:lvl w:ilvl="3">
      <w:start w:val="1"/>
      <w:numFmt w:val="lowerRoman"/>
      <w:pStyle w:val="RomanList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288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-32766" w:hanging="2989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880" w:firstLine="0"/>
      </w:pPr>
      <w:rPr>
        <w:rFonts w:hint="default"/>
      </w:rPr>
    </w:lvl>
  </w:abstractNum>
  <w:abstractNum w:abstractNumId="3" w15:restartNumberingAfterBreak="0">
    <w:nsid w:val="28FB727A"/>
    <w:multiLevelType w:val="hybridMultilevel"/>
    <w:tmpl w:val="E89C63D2"/>
    <w:lvl w:ilvl="0" w:tplc="5F048076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BB9E56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9CD7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2C60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4202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204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9889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FE19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1E01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81119"/>
    <w:multiLevelType w:val="hybridMultilevel"/>
    <w:tmpl w:val="EEC24AF2"/>
    <w:lvl w:ilvl="0" w:tplc="CDA24E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F1869"/>
    <w:multiLevelType w:val="hybridMultilevel"/>
    <w:tmpl w:val="10D2B208"/>
    <w:lvl w:ilvl="0" w:tplc="5EE61E3C">
      <w:start w:val="1"/>
      <w:numFmt w:val="upperLetter"/>
      <w:lvlText w:val="%1."/>
      <w:lvlJc w:val="left"/>
      <w:pPr>
        <w:ind w:left="720" w:hanging="720"/>
      </w:pPr>
      <w:rPr>
        <w:rFonts w:hint="default"/>
        <w:spacing w:val="-1"/>
        <w:w w:val="100"/>
        <w:sz w:val="24"/>
        <w:szCs w:val="24"/>
      </w:rPr>
    </w:lvl>
    <w:lvl w:ilvl="1" w:tplc="5B08D1DC" w:tentative="1">
      <w:start w:val="1"/>
      <w:numFmt w:val="lowerLetter"/>
      <w:lvlText w:val="%2."/>
      <w:lvlJc w:val="left"/>
      <w:pPr>
        <w:ind w:left="1440" w:hanging="360"/>
      </w:pPr>
    </w:lvl>
    <w:lvl w:ilvl="2" w:tplc="8BAE3DCC" w:tentative="1">
      <w:start w:val="1"/>
      <w:numFmt w:val="lowerRoman"/>
      <w:lvlText w:val="%3."/>
      <w:lvlJc w:val="right"/>
      <w:pPr>
        <w:ind w:left="2160" w:hanging="180"/>
      </w:pPr>
    </w:lvl>
    <w:lvl w:ilvl="3" w:tplc="0D689EA8" w:tentative="1">
      <w:start w:val="1"/>
      <w:numFmt w:val="decimal"/>
      <w:lvlText w:val="%4."/>
      <w:lvlJc w:val="left"/>
      <w:pPr>
        <w:ind w:left="2880" w:hanging="360"/>
      </w:pPr>
    </w:lvl>
    <w:lvl w:ilvl="4" w:tplc="0F662014" w:tentative="1">
      <w:start w:val="1"/>
      <w:numFmt w:val="lowerLetter"/>
      <w:lvlText w:val="%5."/>
      <w:lvlJc w:val="left"/>
      <w:pPr>
        <w:ind w:left="3600" w:hanging="360"/>
      </w:pPr>
    </w:lvl>
    <w:lvl w:ilvl="5" w:tplc="0D362020" w:tentative="1">
      <w:start w:val="1"/>
      <w:numFmt w:val="lowerRoman"/>
      <w:lvlText w:val="%6."/>
      <w:lvlJc w:val="right"/>
      <w:pPr>
        <w:ind w:left="4320" w:hanging="180"/>
      </w:pPr>
    </w:lvl>
    <w:lvl w:ilvl="6" w:tplc="AB72E3E8" w:tentative="1">
      <w:start w:val="1"/>
      <w:numFmt w:val="decimal"/>
      <w:lvlText w:val="%7."/>
      <w:lvlJc w:val="left"/>
      <w:pPr>
        <w:ind w:left="5040" w:hanging="360"/>
      </w:pPr>
    </w:lvl>
    <w:lvl w:ilvl="7" w:tplc="BDA039B2" w:tentative="1">
      <w:start w:val="1"/>
      <w:numFmt w:val="lowerLetter"/>
      <w:lvlText w:val="%8."/>
      <w:lvlJc w:val="left"/>
      <w:pPr>
        <w:ind w:left="5760" w:hanging="360"/>
      </w:pPr>
    </w:lvl>
    <w:lvl w:ilvl="8" w:tplc="BAA6E1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6433D"/>
    <w:multiLevelType w:val="hybridMultilevel"/>
    <w:tmpl w:val="98C2B0D4"/>
    <w:lvl w:ilvl="0" w:tplc="C3065AA0">
      <w:start w:val="1"/>
      <w:numFmt w:val="decimal"/>
      <w:lvlText w:val="%1."/>
      <w:lvlJc w:val="left"/>
      <w:pPr>
        <w:ind w:left="720" w:hanging="720"/>
      </w:pPr>
      <w:rPr>
        <w:rFonts w:ascii="Helvetica" w:eastAsia="Calibri" w:hAnsi="Helvetica" w:hint="default"/>
        <w:spacing w:val="-1"/>
        <w:w w:val="100"/>
        <w:sz w:val="22"/>
        <w:szCs w:val="24"/>
      </w:rPr>
    </w:lvl>
    <w:lvl w:ilvl="1" w:tplc="0064432C" w:tentative="1">
      <w:start w:val="1"/>
      <w:numFmt w:val="lowerLetter"/>
      <w:lvlText w:val="%2."/>
      <w:lvlJc w:val="left"/>
      <w:pPr>
        <w:ind w:left="1440" w:hanging="360"/>
      </w:pPr>
    </w:lvl>
    <w:lvl w:ilvl="2" w:tplc="4EC4077A" w:tentative="1">
      <w:start w:val="1"/>
      <w:numFmt w:val="lowerRoman"/>
      <w:lvlText w:val="%3."/>
      <w:lvlJc w:val="right"/>
      <w:pPr>
        <w:ind w:left="2160" w:hanging="180"/>
      </w:pPr>
    </w:lvl>
    <w:lvl w:ilvl="3" w:tplc="543C1716" w:tentative="1">
      <w:start w:val="1"/>
      <w:numFmt w:val="decimal"/>
      <w:lvlText w:val="%4."/>
      <w:lvlJc w:val="left"/>
      <w:pPr>
        <w:ind w:left="2880" w:hanging="360"/>
      </w:pPr>
    </w:lvl>
    <w:lvl w:ilvl="4" w:tplc="ED9C334A" w:tentative="1">
      <w:start w:val="1"/>
      <w:numFmt w:val="lowerLetter"/>
      <w:lvlText w:val="%5."/>
      <w:lvlJc w:val="left"/>
      <w:pPr>
        <w:ind w:left="3600" w:hanging="360"/>
      </w:pPr>
    </w:lvl>
    <w:lvl w:ilvl="5" w:tplc="FC469034" w:tentative="1">
      <w:start w:val="1"/>
      <w:numFmt w:val="lowerRoman"/>
      <w:lvlText w:val="%6."/>
      <w:lvlJc w:val="right"/>
      <w:pPr>
        <w:ind w:left="4320" w:hanging="180"/>
      </w:pPr>
    </w:lvl>
    <w:lvl w:ilvl="6" w:tplc="A4A00F52" w:tentative="1">
      <w:start w:val="1"/>
      <w:numFmt w:val="decimal"/>
      <w:lvlText w:val="%7."/>
      <w:lvlJc w:val="left"/>
      <w:pPr>
        <w:ind w:left="5040" w:hanging="360"/>
      </w:pPr>
    </w:lvl>
    <w:lvl w:ilvl="7" w:tplc="FDE86790" w:tentative="1">
      <w:start w:val="1"/>
      <w:numFmt w:val="lowerLetter"/>
      <w:lvlText w:val="%8."/>
      <w:lvlJc w:val="left"/>
      <w:pPr>
        <w:ind w:left="5760" w:hanging="360"/>
      </w:pPr>
    </w:lvl>
    <w:lvl w:ilvl="8" w:tplc="6DE08E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D6531"/>
    <w:multiLevelType w:val="hybridMultilevel"/>
    <w:tmpl w:val="CD34B77E"/>
    <w:lvl w:ilvl="0" w:tplc="5E14A2CA">
      <w:start w:val="1"/>
      <w:numFmt w:val="decimal"/>
      <w:lvlText w:val="4.%1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39E831EF"/>
    <w:multiLevelType w:val="hybridMultilevel"/>
    <w:tmpl w:val="D48EEED2"/>
    <w:lvl w:ilvl="0" w:tplc="0588AF6E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AEC679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B258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AAE7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808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045D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FC44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EE87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F25E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D33EE"/>
    <w:multiLevelType w:val="hybridMultilevel"/>
    <w:tmpl w:val="B900D37C"/>
    <w:lvl w:ilvl="0" w:tplc="1A8237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72B633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467F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EE6C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2450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0AE2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881C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6E6B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F82D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01099"/>
    <w:multiLevelType w:val="multilevel"/>
    <w:tmpl w:val="3B186CA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2EA21A2"/>
    <w:multiLevelType w:val="hybridMultilevel"/>
    <w:tmpl w:val="D9D441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5B64EB"/>
    <w:multiLevelType w:val="hybridMultilevel"/>
    <w:tmpl w:val="F98AC104"/>
    <w:lvl w:ilvl="0" w:tplc="84AE7A86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46F14"/>
    <w:multiLevelType w:val="hybridMultilevel"/>
    <w:tmpl w:val="547EC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B4E7D"/>
    <w:multiLevelType w:val="hybridMultilevel"/>
    <w:tmpl w:val="C9E62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D4427"/>
    <w:multiLevelType w:val="hybridMultilevel"/>
    <w:tmpl w:val="83BC53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948D8"/>
    <w:multiLevelType w:val="hybridMultilevel"/>
    <w:tmpl w:val="B0483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5"/>
  </w:num>
  <w:num w:numId="12">
    <w:abstractNumId w:val="6"/>
  </w:num>
  <w:num w:numId="13">
    <w:abstractNumId w:val="0"/>
  </w:num>
  <w:num w:numId="14">
    <w:abstractNumId w:val="8"/>
  </w:num>
  <w:num w:numId="15">
    <w:abstractNumId w:val="9"/>
  </w:num>
  <w:num w:numId="16">
    <w:abstractNumId w:val="3"/>
  </w:num>
  <w:num w:numId="17">
    <w:abstractNumId w:val="2"/>
  </w:num>
  <w:num w:numId="18">
    <w:abstractNumId w:val="12"/>
  </w:num>
  <w:num w:numId="19">
    <w:abstractNumId w:val="11"/>
  </w:num>
  <w:num w:numId="20">
    <w:abstractNumId w:val="15"/>
  </w:num>
  <w:num w:numId="21">
    <w:abstractNumId w:val="14"/>
  </w:num>
  <w:num w:numId="22">
    <w:abstractNumId w:val="16"/>
  </w:num>
  <w:num w:numId="23">
    <w:abstractNumId w:val="7"/>
  </w:num>
  <w:num w:numId="24">
    <w:abstractNumId w:val="1"/>
  </w:num>
  <w:num w:numId="25">
    <w:abstractNumId w:val="13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055"/>
    <w:rsid w:val="00000D99"/>
    <w:rsid w:val="000438FA"/>
    <w:rsid w:val="000620EE"/>
    <w:rsid w:val="00062A11"/>
    <w:rsid w:val="00062BF2"/>
    <w:rsid w:val="00080055"/>
    <w:rsid w:val="000C4DAC"/>
    <w:rsid w:val="00131FAC"/>
    <w:rsid w:val="00175D12"/>
    <w:rsid w:val="001D3DAD"/>
    <w:rsid w:val="001F3F95"/>
    <w:rsid w:val="002A0956"/>
    <w:rsid w:val="002B4AF9"/>
    <w:rsid w:val="002E15EF"/>
    <w:rsid w:val="003230E5"/>
    <w:rsid w:val="003C28A5"/>
    <w:rsid w:val="003F1548"/>
    <w:rsid w:val="004B21C9"/>
    <w:rsid w:val="004C173D"/>
    <w:rsid w:val="005D13A2"/>
    <w:rsid w:val="005E0128"/>
    <w:rsid w:val="006C29CF"/>
    <w:rsid w:val="00777BF1"/>
    <w:rsid w:val="007A2D5D"/>
    <w:rsid w:val="00841AE2"/>
    <w:rsid w:val="00861219"/>
    <w:rsid w:val="0089232F"/>
    <w:rsid w:val="00896308"/>
    <w:rsid w:val="009165A0"/>
    <w:rsid w:val="009A7E3B"/>
    <w:rsid w:val="009C4B0E"/>
    <w:rsid w:val="00A345C4"/>
    <w:rsid w:val="00A71A4F"/>
    <w:rsid w:val="00A83FEE"/>
    <w:rsid w:val="00AA7674"/>
    <w:rsid w:val="00AD3254"/>
    <w:rsid w:val="00AE3E26"/>
    <w:rsid w:val="00B263D2"/>
    <w:rsid w:val="00B618E8"/>
    <w:rsid w:val="00BB424B"/>
    <w:rsid w:val="00BF0837"/>
    <w:rsid w:val="00C10306"/>
    <w:rsid w:val="00C5217C"/>
    <w:rsid w:val="00CB37AB"/>
    <w:rsid w:val="00CD5C0D"/>
    <w:rsid w:val="00D17317"/>
    <w:rsid w:val="00D55F15"/>
    <w:rsid w:val="00D63A5D"/>
    <w:rsid w:val="00D8499F"/>
    <w:rsid w:val="00DB420E"/>
    <w:rsid w:val="00DB521D"/>
    <w:rsid w:val="00DE5D5B"/>
    <w:rsid w:val="00E02571"/>
    <w:rsid w:val="00E549C5"/>
    <w:rsid w:val="00E74C75"/>
    <w:rsid w:val="00E9191C"/>
    <w:rsid w:val="00E95E1A"/>
    <w:rsid w:val="00EB3AD6"/>
    <w:rsid w:val="00EC433C"/>
    <w:rsid w:val="00EE724D"/>
    <w:rsid w:val="00F05D66"/>
    <w:rsid w:val="00F526B2"/>
    <w:rsid w:val="00F9487E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095833"/>
  <w15:chartTrackingRefBased/>
  <w15:docId w15:val="{81101267-7262-4A4C-97AE-25DB5E28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0055"/>
    <w:pPr>
      <w:spacing w:line="240" w:lineRule="auto"/>
    </w:pPr>
    <w:rPr>
      <w:rFonts w:ascii="Helvetica" w:hAnsi="Helvetica"/>
    </w:rPr>
  </w:style>
  <w:style w:type="paragraph" w:styleId="Heading10">
    <w:name w:val="heading 1"/>
    <w:basedOn w:val="Normal"/>
    <w:next w:val="Normal"/>
    <w:link w:val="Heading1Char"/>
    <w:uiPriority w:val="9"/>
    <w:qFormat/>
    <w:rsid w:val="002E22C0"/>
    <w:pPr>
      <w:keepNext/>
      <w:keepLines/>
      <w:outlineLvl w:val="0"/>
    </w:pPr>
    <w:rPr>
      <w:rFonts w:eastAsiaTheme="majorEastAsia" w:cstheme="majorBidi"/>
      <w:b/>
      <w:bCs/>
      <w:caps/>
      <w:color w:val="000000" w:themeColor="text1"/>
      <w:szCs w:val="28"/>
      <w:u w:val="single"/>
    </w:rPr>
  </w:style>
  <w:style w:type="paragraph" w:styleId="Heading20">
    <w:name w:val="heading 2"/>
    <w:basedOn w:val="Normal"/>
    <w:next w:val="Normal"/>
    <w:link w:val="Heading2Char"/>
    <w:uiPriority w:val="9"/>
    <w:unhideWhenUsed/>
    <w:qFormat/>
    <w:rsid w:val="002E22C0"/>
    <w:pPr>
      <w:keepNext/>
      <w:keepLines/>
      <w:outlineLvl w:val="1"/>
    </w:pPr>
    <w:rPr>
      <w:rFonts w:eastAsiaTheme="majorEastAsia" w:cstheme="majorBidi"/>
      <w:b/>
      <w:bCs/>
      <w:color w:val="000000" w:themeColor="text1"/>
      <w:szCs w:val="26"/>
      <w:lang w:val="en-US"/>
    </w:rPr>
  </w:style>
  <w:style w:type="paragraph" w:styleId="Heading3">
    <w:name w:val="heading 3"/>
    <w:basedOn w:val="Normal"/>
    <w:next w:val="Normal"/>
    <w:uiPriority w:val="9"/>
    <w:unhideWhenUsed/>
    <w:qFormat/>
    <w:rsid w:val="005A4294"/>
    <w:pPr>
      <w:keepNext/>
      <w:outlineLvl w:val="2"/>
    </w:pPr>
    <w:rPr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23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923AA"/>
  </w:style>
  <w:style w:type="paragraph" w:styleId="Footer">
    <w:name w:val="footer"/>
    <w:basedOn w:val="Normal"/>
    <w:link w:val="FooterChar"/>
    <w:unhideWhenUsed/>
    <w:rsid w:val="00827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27AFD"/>
    <w:rPr>
      <w:lang w:val="en-US" w:eastAsia="en-US"/>
    </w:rPr>
  </w:style>
  <w:style w:type="paragraph" w:customStyle="1" w:styleId="address">
    <w:name w:val="address"/>
    <w:basedOn w:val="Normal"/>
    <w:rsid w:val="00E07BAE"/>
    <w:pPr>
      <w:spacing w:line="240" w:lineRule="exact"/>
    </w:pPr>
    <w:rPr>
      <w:rFonts w:ascii="Verdana" w:hAnsi="Verdana"/>
      <w:sz w:val="19"/>
      <w:szCs w:val="20"/>
    </w:rPr>
  </w:style>
  <w:style w:type="paragraph" w:customStyle="1" w:styleId="attention">
    <w:name w:val="attention"/>
    <w:basedOn w:val="address"/>
    <w:rsid w:val="00381E80"/>
    <w:pPr>
      <w:spacing w:before="240" w:after="240"/>
    </w:pPr>
    <w:rPr>
      <w:rFonts w:ascii="Calibri" w:hAnsi="Calibr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81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E22C0"/>
    <w:rPr>
      <w:color w:val="000000" w:themeColor="text1"/>
      <w:u w:val="single"/>
    </w:rPr>
  </w:style>
  <w:style w:type="paragraph" w:customStyle="1" w:styleId="AlphaList">
    <w:name w:val="Alpha List"/>
    <w:basedOn w:val="Normal"/>
    <w:link w:val="AlphaListChar"/>
    <w:qFormat/>
    <w:rsid w:val="00D70638"/>
    <w:pPr>
      <w:numPr>
        <w:ilvl w:val="2"/>
        <w:numId w:val="2"/>
      </w:numPr>
    </w:pPr>
    <w:rPr>
      <w:rFonts w:eastAsiaTheme="majorEastAsia" w:cstheme="majorBidi"/>
      <w:color w:val="000000" w:themeColor="text1"/>
      <w:szCs w:val="28"/>
    </w:rPr>
  </w:style>
  <w:style w:type="character" w:customStyle="1" w:styleId="AlphaListChar">
    <w:name w:val="Alpha List Char"/>
    <w:basedOn w:val="Heading1Char"/>
    <w:link w:val="AlphaList"/>
    <w:rsid w:val="00D70638"/>
    <w:rPr>
      <w:rFonts w:ascii="Helvetica" w:eastAsiaTheme="majorEastAsia" w:hAnsi="Helvetica" w:cstheme="majorBidi"/>
      <w:b w:val="0"/>
      <w:bCs w:val="0"/>
      <w:caps w:val="0"/>
      <w:color w:val="000000" w:themeColor="text1"/>
      <w:szCs w:val="28"/>
      <w:u w:val="single"/>
    </w:rPr>
  </w:style>
  <w:style w:type="paragraph" w:customStyle="1" w:styleId="RomanList">
    <w:name w:val="Roman List"/>
    <w:basedOn w:val="AlphaList"/>
    <w:link w:val="RomanListChar"/>
    <w:qFormat/>
    <w:rsid w:val="00C3205D"/>
    <w:pPr>
      <w:numPr>
        <w:ilvl w:val="3"/>
      </w:numPr>
    </w:pPr>
  </w:style>
  <w:style w:type="character" w:customStyle="1" w:styleId="RomanListChar">
    <w:name w:val="Roman List Char"/>
    <w:basedOn w:val="AlphaListChar"/>
    <w:link w:val="RomanList"/>
    <w:rsid w:val="00C3205D"/>
    <w:rPr>
      <w:rFonts w:ascii="Helvetica" w:eastAsiaTheme="majorEastAsia" w:hAnsi="Helvetica" w:cstheme="majorBidi"/>
      <w:b w:val="0"/>
      <w:bCs w:val="0"/>
      <w:caps w:val="0"/>
      <w:color w:val="000000" w:themeColor="text1"/>
      <w:szCs w:val="28"/>
      <w:u w:val="single"/>
    </w:rPr>
  </w:style>
  <w:style w:type="character" w:customStyle="1" w:styleId="Heading1Char">
    <w:name w:val="Heading 1 Char"/>
    <w:basedOn w:val="DefaultParagraphFont"/>
    <w:link w:val="Heading10"/>
    <w:uiPriority w:val="9"/>
    <w:rsid w:val="002E22C0"/>
    <w:rPr>
      <w:rFonts w:ascii="Helvetica" w:eastAsiaTheme="majorEastAsia" w:hAnsi="Helvetica" w:cstheme="majorBidi"/>
      <w:b/>
      <w:bCs/>
      <w:caps/>
      <w:color w:val="000000" w:themeColor="text1"/>
      <w:szCs w:val="28"/>
      <w:u w:val="single"/>
    </w:rPr>
  </w:style>
  <w:style w:type="character" w:customStyle="1" w:styleId="Heading2Char">
    <w:name w:val="Heading 2 Char"/>
    <w:basedOn w:val="DefaultParagraphFont"/>
    <w:link w:val="Heading20"/>
    <w:uiPriority w:val="9"/>
    <w:rsid w:val="002E22C0"/>
    <w:rPr>
      <w:rFonts w:ascii="Helvetica" w:eastAsiaTheme="majorEastAsia" w:hAnsi="Helvetica" w:cstheme="majorBidi"/>
      <w:b/>
      <w:bCs/>
      <w:color w:val="000000" w:themeColor="text1"/>
      <w:szCs w:val="26"/>
      <w:lang w:val="en-US"/>
    </w:rPr>
  </w:style>
  <w:style w:type="table" w:styleId="TableGrid">
    <w:name w:val="Table Grid"/>
    <w:basedOn w:val="TableNormal"/>
    <w:uiPriority w:val="59"/>
    <w:rsid w:val="00D31AA4"/>
    <w:pPr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31AA4"/>
    <w:rPr>
      <w:rFonts w:ascii="Helvetica Neue Light" w:hAnsi="Helvetica Neue Light"/>
    </w:rPr>
  </w:style>
  <w:style w:type="paragraph" w:styleId="NoSpacing">
    <w:name w:val="No Spacing"/>
    <w:uiPriority w:val="1"/>
    <w:rsid w:val="00D70638"/>
    <w:pPr>
      <w:spacing w:after="0" w:line="240" w:lineRule="auto"/>
    </w:pPr>
    <w:rPr>
      <w:rFonts w:ascii="Helvetica" w:hAnsi="Helvetica"/>
    </w:rPr>
  </w:style>
  <w:style w:type="paragraph" w:styleId="ListParagraph">
    <w:name w:val="List Paragraph"/>
    <w:aliases w:val="BN 1"/>
    <w:basedOn w:val="Normal"/>
    <w:link w:val="ListParagraphChar"/>
    <w:uiPriority w:val="34"/>
    <w:qFormat/>
    <w:rsid w:val="00F572FE"/>
    <w:pPr>
      <w:ind w:left="720"/>
      <w:contextualSpacing/>
    </w:pPr>
  </w:style>
  <w:style w:type="paragraph" w:customStyle="1" w:styleId="Heading1">
    <w:name w:val="Heading #1"/>
    <w:basedOn w:val="Heading2"/>
    <w:qFormat/>
    <w:rsid w:val="002E22C0"/>
    <w:pPr>
      <w:numPr>
        <w:ilvl w:val="0"/>
      </w:numPr>
    </w:pPr>
    <w:rPr>
      <w:caps/>
    </w:rPr>
  </w:style>
  <w:style w:type="paragraph" w:customStyle="1" w:styleId="Heading2">
    <w:name w:val="Heading #2"/>
    <w:basedOn w:val="Heading20"/>
    <w:qFormat/>
    <w:rsid w:val="002E22C0"/>
    <w:pPr>
      <w:numPr>
        <w:ilvl w:val="1"/>
        <w:numId w:val="2"/>
      </w:numPr>
    </w:pPr>
  </w:style>
  <w:style w:type="character" w:customStyle="1" w:styleId="ListParagraphChar">
    <w:name w:val="List Paragraph Char"/>
    <w:aliases w:val="BN 1 Char"/>
    <w:basedOn w:val="DefaultParagraphFont"/>
    <w:link w:val="ListParagraph"/>
    <w:uiPriority w:val="34"/>
    <w:locked/>
    <w:rsid w:val="00080055"/>
    <w:rPr>
      <w:rFonts w:ascii="Helvetica" w:hAnsi="Helvetica"/>
    </w:rPr>
  </w:style>
  <w:style w:type="paragraph" w:customStyle="1" w:styleId="ReportSection">
    <w:name w:val="Report Section"/>
    <w:basedOn w:val="Normal"/>
    <w:link w:val="ReportSectionChar"/>
    <w:qFormat/>
    <w:rsid w:val="00D17317"/>
    <w:pPr>
      <w:spacing w:after="0"/>
      <w:ind w:left="360" w:hanging="360"/>
    </w:pPr>
    <w:rPr>
      <w:rFonts w:ascii="Arial" w:eastAsia="Times New Roman" w:hAnsi="Arial" w:cs="Times New Roman"/>
      <w:b/>
      <w:sz w:val="24"/>
      <w:szCs w:val="24"/>
      <w:lang w:val="en-US" w:eastAsia="en-US"/>
    </w:rPr>
  </w:style>
  <w:style w:type="character" w:customStyle="1" w:styleId="ReportSectionChar">
    <w:name w:val="Report Section Char"/>
    <w:basedOn w:val="DefaultParagraphFont"/>
    <w:link w:val="ReportSection"/>
    <w:rsid w:val="00D17317"/>
    <w:rPr>
      <w:rFonts w:ascii="Arial" w:eastAsia="Times New Roman" w:hAnsi="Arial" w:cs="Times New Roman"/>
      <w:b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173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3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317"/>
    <w:rPr>
      <w:rFonts w:ascii="Helvetica" w:hAnsi="Helvetic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3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317"/>
    <w:rPr>
      <w:rFonts w:ascii="Helvetica" w:hAnsi="Helvetic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38A1A-F453-4EA1-B296-89A45C1B3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1555</Words>
  <Characters>9124</Characters>
  <Application>Microsoft Office Word</Application>
  <DocSecurity>0</DocSecurity>
  <PresentationFormat/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 - Technical Sub-Committee on Emergency Program Act Reform - August 14, 2020 (00795301).DOCX</vt:lpstr>
    </vt:vector>
  </TitlesOfParts>
  <Company/>
  <LinksUpToDate>false</LinksUpToDate>
  <CharactersWithSpaces>10658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 - Technical Sub-Committee on Emergency Program Act Reform - August 14, 2020 (00795301).DOCX</dc:title>
  <dc:subject>00795301.2 /Font=8</dc:subject>
  <dc:creator>Cameron Pollock</dc:creator>
  <cp:keywords/>
  <dc:description/>
  <cp:lastModifiedBy>McClintock, Carol EMBC:EX</cp:lastModifiedBy>
  <cp:revision>2</cp:revision>
  <dcterms:created xsi:type="dcterms:W3CDTF">2020-09-08T21:49:00Z</dcterms:created>
  <dcterms:modified xsi:type="dcterms:W3CDTF">2020-09-08T21:49:00Z</dcterms:modified>
</cp:coreProperties>
</file>