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DCD" w:rsidRPr="00127A99" w:rsidRDefault="00691DCD" w:rsidP="00691DCD">
      <w:pPr>
        <w:pStyle w:val="Vchozstyl"/>
        <w:jc w:val="right"/>
        <w:rPr>
          <w:b/>
          <w:lang w:val="cs-CZ"/>
        </w:rPr>
      </w:pPr>
      <w:r w:rsidRPr="00127A99">
        <w:rPr>
          <w:b/>
          <w:lang w:val="cs-CZ"/>
        </w:rPr>
        <w:t>Městská část Praha 13</w:t>
      </w:r>
    </w:p>
    <w:p w:rsidR="00691DCD" w:rsidRPr="00127A99" w:rsidRDefault="00691DCD" w:rsidP="00691DCD">
      <w:pPr>
        <w:pStyle w:val="Vchozstyl"/>
        <w:jc w:val="right"/>
        <w:rPr>
          <w:lang w:val="cs-CZ"/>
        </w:rPr>
      </w:pPr>
      <w:r w:rsidRPr="00127A99">
        <w:rPr>
          <w:lang w:val="cs-CZ"/>
        </w:rPr>
        <w:t>Úřad městské části</w:t>
      </w:r>
    </w:p>
    <w:p w:rsidR="00691DCD" w:rsidRPr="00127A99" w:rsidRDefault="00691DCD" w:rsidP="00691DCD">
      <w:pPr>
        <w:pStyle w:val="Vchozstyl"/>
        <w:jc w:val="right"/>
        <w:rPr>
          <w:lang w:val="cs-CZ"/>
        </w:rPr>
      </w:pPr>
      <w:r w:rsidRPr="00127A99">
        <w:rPr>
          <w:lang w:val="cs-CZ"/>
        </w:rPr>
        <w:t>Odbor stavební</w:t>
      </w:r>
    </w:p>
    <w:p w:rsidR="00691DCD" w:rsidRPr="00127A99" w:rsidRDefault="00691DCD" w:rsidP="00691DCD">
      <w:pPr>
        <w:pStyle w:val="Vchozstyl"/>
        <w:jc w:val="right"/>
        <w:rPr>
          <w:lang w:val="cs-CZ"/>
        </w:rPr>
      </w:pPr>
      <w:r w:rsidRPr="00127A99">
        <w:rPr>
          <w:lang w:val="cs-CZ"/>
        </w:rPr>
        <w:t>Oddělení územního rozhodování</w:t>
      </w:r>
    </w:p>
    <w:p w:rsidR="000964E6" w:rsidRPr="00127A99" w:rsidRDefault="00691DCD" w:rsidP="00691DCD">
      <w:pPr>
        <w:pStyle w:val="Vchozstyl"/>
        <w:jc w:val="right"/>
        <w:rPr>
          <w:lang w:val="cs-CZ"/>
        </w:rPr>
      </w:pPr>
      <w:r w:rsidRPr="00127A99">
        <w:rPr>
          <w:lang w:val="cs-CZ"/>
        </w:rPr>
        <w:t>Sluneční náměstí 2580/13, 158 00 Praha 5</w:t>
      </w:r>
    </w:p>
    <w:p w:rsidR="00240D8F" w:rsidRPr="00127A99" w:rsidRDefault="001B0C41" w:rsidP="00575EEA">
      <w:pPr>
        <w:pStyle w:val="Vchozstyl"/>
        <w:spacing w:line="276" w:lineRule="auto"/>
        <w:ind w:firstLine="720"/>
        <w:jc w:val="both"/>
        <w:rPr>
          <w:lang w:val="cs-CZ"/>
        </w:rPr>
      </w:pPr>
      <w:r w:rsidRPr="00127A99">
        <w:rPr>
          <w:lang w:val="cs-CZ"/>
        </w:rPr>
        <w:t xml:space="preserve">Jméno a příjmení: </w:t>
      </w:r>
    </w:p>
    <w:p w:rsidR="001B0C41" w:rsidRPr="00127A99" w:rsidRDefault="001B0C41" w:rsidP="00575EEA">
      <w:pPr>
        <w:pStyle w:val="Vchozstyl"/>
        <w:spacing w:line="276" w:lineRule="auto"/>
        <w:ind w:firstLine="720"/>
        <w:jc w:val="both"/>
        <w:rPr>
          <w:lang w:val="cs-CZ"/>
        </w:rPr>
      </w:pPr>
      <w:r w:rsidRPr="00127A99">
        <w:rPr>
          <w:lang w:val="cs-CZ"/>
        </w:rPr>
        <w:t xml:space="preserve">Adresa: </w:t>
      </w:r>
    </w:p>
    <w:p w:rsidR="001B0C41" w:rsidRPr="00127A99" w:rsidRDefault="001B0C41" w:rsidP="00575EEA">
      <w:pPr>
        <w:pStyle w:val="Vchozstyl"/>
        <w:spacing w:line="276" w:lineRule="auto"/>
        <w:ind w:firstLine="720"/>
        <w:jc w:val="both"/>
        <w:rPr>
          <w:lang w:val="cs-CZ"/>
        </w:rPr>
      </w:pPr>
      <w:r w:rsidRPr="00127A99">
        <w:rPr>
          <w:lang w:val="cs-CZ"/>
        </w:rPr>
        <w:t>Datum narození:</w:t>
      </w:r>
    </w:p>
    <w:p w:rsidR="00127A99" w:rsidRPr="00127A99" w:rsidRDefault="00127A99" w:rsidP="00127A99">
      <w:pPr>
        <w:pStyle w:val="Vchozstyl"/>
        <w:ind w:firstLine="720"/>
        <w:jc w:val="right"/>
        <w:rPr>
          <w:lang w:val="cs-CZ"/>
        </w:rPr>
      </w:pPr>
      <w:r w:rsidRPr="00127A99">
        <w:rPr>
          <w:lang w:val="cs-CZ"/>
        </w:rPr>
        <w:t>SPIS. ZN.:</w:t>
      </w:r>
      <w:r>
        <w:rPr>
          <w:lang w:val="cs-CZ"/>
        </w:rPr>
        <w:t xml:space="preserve"> </w:t>
      </w:r>
      <w:r w:rsidRPr="00127A99">
        <w:rPr>
          <w:lang w:val="cs-CZ"/>
        </w:rPr>
        <w:t>OUR 32868/2017/Hák</w:t>
      </w:r>
    </w:p>
    <w:p w:rsidR="005765BE" w:rsidRDefault="00127A99" w:rsidP="00127A99">
      <w:pPr>
        <w:pStyle w:val="Vchozstyl"/>
        <w:ind w:firstLine="720"/>
        <w:jc w:val="right"/>
        <w:rPr>
          <w:lang w:val="cs-CZ"/>
        </w:rPr>
      </w:pPr>
      <w:r w:rsidRPr="00127A99">
        <w:rPr>
          <w:lang w:val="cs-CZ"/>
        </w:rPr>
        <w:t>Č.J.:</w:t>
      </w:r>
      <w:r>
        <w:rPr>
          <w:lang w:val="cs-CZ"/>
        </w:rPr>
        <w:t xml:space="preserve"> </w:t>
      </w:r>
      <w:r w:rsidRPr="00127A99">
        <w:rPr>
          <w:lang w:val="cs-CZ"/>
        </w:rPr>
        <w:t>P13-10400/2018</w:t>
      </w:r>
    </w:p>
    <w:p w:rsidR="00127A99" w:rsidRDefault="00127A99" w:rsidP="00127A99">
      <w:pPr>
        <w:pStyle w:val="Vchozstyl"/>
        <w:ind w:firstLine="720"/>
        <w:jc w:val="right"/>
        <w:rPr>
          <w:lang w:val="cs-CZ"/>
        </w:rPr>
      </w:pPr>
    </w:p>
    <w:p w:rsidR="00127A99" w:rsidRDefault="00127A99" w:rsidP="00127A99">
      <w:pPr>
        <w:pStyle w:val="Vchozstyl"/>
        <w:ind w:firstLine="720"/>
        <w:jc w:val="right"/>
        <w:rPr>
          <w:lang w:val="cs-CZ"/>
        </w:rPr>
      </w:pPr>
      <w:r>
        <w:rPr>
          <w:lang w:val="cs-CZ"/>
        </w:rPr>
        <w:t>V Praze, dne . 4. 2018</w:t>
      </w:r>
    </w:p>
    <w:p w:rsidR="00127A99" w:rsidRPr="00B61A82" w:rsidRDefault="00127A99" w:rsidP="00575EEA">
      <w:pPr>
        <w:pStyle w:val="Vchozstyl"/>
        <w:spacing w:line="276" w:lineRule="auto"/>
        <w:ind w:firstLine="720"/>
        <w:jc w:val="center"/>
        <w:rPr>
          <w:lang w:val="cs-CZ"/>
        </w:rPr>
      </w:pPr>
    </w:p>
    <w:p w:rsidR="005765BE" w:rsidRDefault="00127A99" w:rsidP="00127A99">
      <w:pPr>
        <w:pStyle w:val="Vchozstyl"/>
        <w:ind w:firstLine="720"/>
        <w:jc w:val="center"/>
        <w:rPr>
          <w:b/>
          <w:sz w:val="32"/>
          <w:szCs w:val="32"/>
          <w:lang w:val="cs-CZ"/>
        </w:rPr>
      </w:pPr>
      <w:r w:rsidRPr="00127A99">
        <w:rPr>
          <w:b/>
          <w:sz w:val="32"/>
          <w:szCs w:val="32"/>
          <w:lang w:val="cs-CZ"/>
        </w:rPr>
        <w:t>Námitky k územnímu řízení ve věci P</w:t>
      </w:r>
      <w:r>
        <w:rPr>
          <w:b/>
          <w:sz w:val="32"/>
          <w:szCs w:val="32"/>
          <w:lang w:val="cs-CZ"/>
        </w:rPr>
        <w:t>olyfunkční centrum Lužiny, bytové domy Alfa a Beta</w:t>
      </w:r>
    </w:p>
    <w:p w:rsidR="00127A99" w:rsidRPr="00B61A82" w:rsidRDefault="00127A99" w:rsidP="00127A99">
      <w:pPr>
        <w:pStyle w:val="Vchozstyl"/>
        <w:ind w:firstLine="720"/>
        <w:jc w:val="center"/>
        <w:rPr>
          <w:lang w:val="cs-CZ"/>
        </w:rPr>
      </w:pPr>
    </w:p>
    <w:p w:rsidR="005765BE" w:rsidRDefault="00127A99" w:rsidP="00832C9B">
      <w:pPr>
        <w:pStyle w:val="Vchozstyl"/>
        <w:ind w:firstLine="720"/>
        <w:jc w:val="both"/>
        <w:rPr>
          <w:lang w:val="cs-CZ"/>
        </w:rPr>
      </w:pPr>
      <w:r w:rsidRPr="00127A99">
        <w:rPr>
          <w:lang w:val="cs-CZ"/>
        </w:rPr>
        <w:t>Společnosti Lužiny alfa a.s., IČO 285 42 932 a Lužiny beta a.s., IČO 285 43 203, obě se sídlem Archeologická 2256/1, 155 00 Praha 5,</w:t>
      </w:r>
      <w:r>
        <w:rPr>
          <w:lang w:val="cs-CZ"/>
        </w:rPr>
        <w:t xml:space="preserve"> </w:t>
      </w:r>
      <w:r w:rsidRPr="00127A99">
        <w:rPr>
          <w:lang w:val="cs-CZ"/>
        </w:rPr>
        <w:t>které zastupuje spol. Hlaváček &amp; partner, s.r.o., IČ: 481 15 380, se sídlem Vokovická 685/14, Vokovice, 160 00 Praha 6</w:t>
      </w:r>
      <w:r w:rsidR="00832C9B">
        <w:rPr>
          <w:lang w:val="cs-CZ"/>
        </w:rPr>
        <w:t xml:space="preserve"> (dále jen „žadatel“)</w:t>
      </w:r>
      <w:r w:rsidRPr="00127A99">
        <w:rPr>
          <w:lang w:val="cs-CZ"/>
        </w:rPr>
        <w:t>, podaly dne 26.</w:t>
      </w:r>
      <w:r w:rsidR="00832C9B">
        <w:rPr>
          <w:lang w:val="cs-CZ"/>
        </w:rPr>
        <w:t xml:space="preserve"> </w:t>
      </w:r>
      <w:r w:rsidRPr="00127A99">
        <w:rPr>
          <w:lang w:val="cs-CZ"/>
        </w:rPr>
        <w:t>6.</w:t>
      </w:r>
      <w:r w:rsidR="00832C9B">
        <w:rPr>
          <w:lang w:val="cs-CZ"/>
        </w:rPr>
        <w:t xml:space="preserve"> </w:t>
      </w:r>
      <w:r w:rsidRPr="00127A99">
        <w:rPr>
          <w:lang w:val="cs-CZ"/>
        </w:rPr>
        <w:t>2017 žádost o vydání rozhod</w:t>
      </w:r>
      <w:r w:rsidR="00832C9B">
        <w:rPr>
          <w:lang w:val="cs-CZ"/>
        </w:rPr>
        <w:t xml:space="preserve">nutí o umístění stavby s názvem </w:t>
      </w:r>
      <w:r w:rsidR="00832C9B" w:rsidRPr="00832C9B">
        <w:rPr>
          <w:lang w:val="cs-CZ"/>
        </w:rPr>
        <w:t>Polyfunkční centrum Lužiny, bytové domy Alfa a Beta</w:t>
      </w:r>
      <w:r w:rsidR="00832C9B">
        <w:rPr>
          <w:lang w:val="cs-CZ"/>
        </w:rPr>
        <w:t xml:space="preserve"> </w:t>
      </w:r>
      <w:r w:rsidRPr="00127A99">
        <w:rPr>
          <w:lang w:val="cs-CZ"/>
        </w:rPr>
        <w:t xml:space="preserve">na pozemcích </w:t>
      </w:r>
      <w:proofErr w:type="spellStart"/>
      <w:r w:rsidRPr="00127A99">
        <w:rPr>
          <w:lang w:val="cs-CZ"/>
        </w:rPr>
        <w:t>parc</w:t>
      </w:r>
      <w:proofErr w:type="spellEnd"/>
      <w:r w:rsidRPr="00127A99">
        <w:rPr>
          <w:lang w:val="cs-CZ"/>
        </w:rPr>
        <w:t xml:space="preserve">. č. 2131/733 a 2131/734 (bytové domy) a č. </w:t>
      </w:r>
      <w:proofErr w:type="spellStart"/>
      <w:r w:rsidRPr="00127A99">
        <w:rPr>
          <w:lang w:val="cs-CZ"/>
        </w:rPr>
        <w:t>parc</w:t>
      </w:r>
      <w:proofErr w:type="spellEnd"/>
      <w:r w:rsidRPr="00127A99">
        <w:rPr>
          <w:lang w:val="cs-CZ"/>
        </w:rPr>
        <w:t>. 2131/369, 2131/370, 2131/376, 2131/377, 2131/378, 2131/381, 2131/383, 2131/384, 2131/391, 2131/394, 2131/399, 2131/400, 2131/5, 2131/339, 2131/340, 2131/341 (</w:t>
      </w:r>
      <w:proofErr w:type="spellStart"/>
      <w:r w:rsidRPr="00127A99">
        <w:rPr>
          <w:lang w:val="cs-CZ"/>
        </w:rPr>
        <w:t>inž</w:t>
      </w:r>
      <w:proofErr w:type="spellEnd"/>
      <w:r w:rsidRPr="00127A99">
        <w:rPr>
          <w:lang w:val="cs-CZ"/>
        </w:rPr>
        <w:t>. sítě a komunikace), vše v katastrálním území Stodůlky</w:t>
      </w:r>
      <w:r w:rsidR="00832C9B">
        <w:rPr>
          <w:lang w:val="cs-CZ"/>
        </w:rPr>
        <w:t xml:space="preserve"> (dále jen „stavba“)</w:t>
      </w:r>
      <w:r w:rsidRPr="00127A99">
        <w:rPr>
          <w:lang w:val="cs-CZ"/>
        </w:rPr>
        <w:t>. Pozemky dotčené stavbou bytových domů sousedí se stávajícím obchodním centrem Lužiny a přímo na ně navazují.</w:t>
      </w:r>
      <w:r w:rsidR="00832C9B">
        <w:rPr>
          <w:lang w:val="cs-CZ"/>
        </w:rPr>
        <w:t xml:space="preserve"> </w:t>
      </w:r>
      <w:r w:rsidRPr="00127A99">
        <w:rPr>
          <w:lang w:val="cs-CZ"/>
        </w:rPr>
        <w:t xml:space="preserve">Dnem podání žádosti bylo zahájeno územní řízení, které je navazujícím řízením ve smyslu § 3 písm. g) ve spojení s § 9b a násl. zákona č. 100/2001 Sb., o posuzování vlivů na životní prostředí a o změně některých souvisejících zákonů (dále jen </w:t>
      </w:r>
      <w:proofErr w:type="spellStart"/>
      <w:r w:rsidRPr="00127A99">
        <w:rPr>
          <w:lang w:val="cs-CZ"/>
        </w:rPr>
        <w:t>ZoŽP</w:t>
      </w:r>
      <w:proofErr w:type="spellEnd"/>
      <w:r w:rsidRPr="00127A99">
        <w:rPr>
          <w:lang w:val="cs-CZ"/>
        </w:rPr>
        <w:t>).</w:t>
      </w:r>
    </w:p>
    <w:p w:rsidR="00832C9B" w:rsidRDefault="00832C9B" w:rsidP="00832C9B">
      <w:pPr>
        <w:pStyle w:val="Vchozstyl"/>
        <w:ind w:firstLine="720"/>
        <w:jc w:val="both"/>
        <w:rPr>
          <w:lang w:val="cs-CZ"/>
        </w:rPr>
      </w:pPr>
    </w:p>
    <w:p w:rsidR="00832C9B" w:rsidRPr="00390DBB" w:rsidRDefault="00832C9B" w:rsidP="00832C9B">
      <w:pPr>
        <w:spacing w:before="100" w:beforeAutospacing="1" w:after="100" w:afterAutospacing="1"/>
        <w:ind w:firstLine="709"/>
        <w:jc w:val="both"/>
        <w:rPr>
          <w:rFonts w:ascii="Times New Roman" w:hAnsi="Times New Roman"/>
          <w:sz w:val="24"/>
          <w:szCs w:val="24"/>
          <w:lang w:eastAsia="ar-SA"/>
        </w:rPr>
      </w:pPr>
      <w:r>
        <w:rPr>
          <w:rFonts w:ascii="Times New Roman" w:hAnsi="Times New Roman"/>
          <w:sz w:val="24"/>
          <w:szCs w:val="24"/>
          <w:lang w:eastAsia="ar-SA"/>
        </w:rPr>
        <w:t>K umístění stavby podávám následující</w:t>
      </w:r>
    </w:p>
    <w:p w:rsidR="00832C9B" w:rsidRPr="00390DBB" w:rsidRDefault="00832C9B" w:rsidP="00832C9B">
      <w:pPr>
        <w:spacing w:before="100" w:beforeAutospacing="1" w:after="100" w:afterAutospacing="1"/>
        <w:ind w:firstLine="709"/>
        <w:jc w:val="center"/>
        <w:rPr>
          <w:rFonts w:ascii="Times-Roman" w:eastAsia="Times New Roman" w:hAnsi="Times-Roman" w:cs="Times-Roman"/>
          <w:b/>
          <w:sz w:val="24"/>
          <w:szCs w:val="24"/>
          <w:u w:val="single"/>
        </w:rPr>
      </w:pPr>
      <w:r>
        <w:rPr>
          <w:rFonts w:ascii="Times-Roman" w:eastAsia="Times New Roman" w:hAnsi="Times-Roman" w:cs="Times-Roman"/>
          <w:b/>
          <w:sz w:val="24"/>
          <w:szCs w:val="24"/>
          <w:u w:val="single"/>
        </w:rPr>
        <w:t>námitky</w:t>
      </w:r>
    </w:p>
    <w:p w:rsidR="00832C9B" w:rsidRPr="00EF55D3" w:rsidRDefault="00832C9B" w:rsidP="00832C9B">
      <w:pPr>
        <w:spacing w:after="0"/>
        <w:jc w:val="center"/>
        <w:rPr>
          <w:rFonts w:ascii="Times New Roman" w:eastAsia="Times New Roman" w:hAnsi="Times New Roman" w:cs="Times New Roman"/>
          <w:b/>
          <w:sz w:val="24"/>
          <w:szCs w:val="24"/>
        </w:rPr>
      </w:pPr>
      <w:r w:rsidRPr="00EF55D3">
        <w:rPr>
          <w:rFonts w:ascii="Times New Roman" w:eastAsia="Times New Roman" w:hAnsi="Times New Roman" w:cs="Times New Roman"/>
          <w:b/>
          <w:sz w:val="24"/>
          <w:szCs w:val="24"/>
        </w:rPr>
        <w:t>I.</w:t>
      </w:r>
    </w:p>
    <w:p w:rsidR="00832C9B" w:rsidRPr="00EF55D3" w:rsidRDefault="00832C9B" w:rsidP="00832C9B">
      <w:pPr>
        <w:spacing w:after="0"/>
        <w:jc w:val="center"/>
        <w:rPr>
          <w:rFonts w:ascii="Times New Roman" w:hAnsi="Times New Roman" w:cs="Times New Roman"/>
          <w:sz w:val="24"/>
          <w:szCs w:val="24"/>
        </w:rPr>
      </w:pPr>
      <w:r w:rsidRPr="00EF55D3">
        <w:rPr>
          <w:rFonts w:ascii="Times New Roman" w:eastAsia="Times New Roman" w:hAnsi="Times New Roman" w:cs="Times New Roman"/>
          <w:b/>
          <w:sz w:val="24"/>
          <w:szCs w:val="24"/>
        </w:rPr>
        <w:t>Postavení účastníka</w:t>
      </w:r>
    </w:p>
    <w:p w:rsidR="00832C9B" w:rsidRPr="00AB0D5C" w:rsidRDefault="00832C9B" w:rsidP="00832C9B">
      <w:pPr>
        <w:contextualSpacing/>
        <w:rPr>
          <w:rFonts w:ascii="Times New Roman" w:hAnsi="Times New Roman" w:cs="Times New Roman"/>
          <w:sz w:val="24"/>
          <w:szCs w:val="24"/>
        </w:rPr>
      </w:pPr>
    </w:p>
    <w:p w:rsidR="00832C9B" w:rsidRDefault="00832C9B" w:rsidP="00287FF0">
      <w:pPr>
        <w:pStyle w:val="Vchozstyl"/>
        <w:spacing w:line="276" w:lineRule="auto"/>
        <w:ind w:firstLine="720"/>
        <w:jc w:val="both"/>
        <w:rPr>
          <w:rFonts w:eastAsia="Times New Roman"/>
          <w:lang w:val="cs-CZ"/>
        </w:rPr>
      </w:pPr>
      <w:r w:rsidRPr="00832C9B">
        <w:rPr>
          <w:rFonts w:eastAsia="Times New Roman"/>
          <w:lang w:val="cs-CZ"/>
        </w:rPr>
        <w:t xml:space="preserve">Dle ustanovení § 85 odst. 2 písm. b) jsou účastníkem územního řízení </w:t>
      </w:r>
      <w:bookmarkStart w:id="0" w:name="p85-2-b"/>
      <w:bookmarkEnd w:id="0"/>
      <w:r w:rsidRPr="00832C9B">
        <w:rPr>
          <w:rFonts w:eastAsia="Times New Roman"/>
          <w:i/>
          <w:lang w:val="cs-CZ"/>
        </w:rPr>
        <w:t>osoby, jejichž vlastnické nebo jiné věcné právo k sousedním stavbám anebo sousedním pozemkům nebo stavbám na nich může být územním rozhodnutím přímo dotčeno</w:t>
      </w:r>
      <w:r w:rsidRPr="00832C9B">
        <w:rPr>
          <w:rFonts w:eastAsia="Times New Roman"/>
          <w:lang w:val="cs-CZ"/>
        </w:rPr>
        <w:t xml:space="preserve">. </w:t>
      </w:r>
      <w:r w:rsidR="00287FF0" w:rsidRPr="00287FF0">
        <w:rPr>
          <w:rFonts w:eastAsia="Times New Roman"/>
          <w:highlight w:val="yellow"/>
          <w:lang w:val="cs-CZ"/>
        </w:rPr>
        <w:t>….</w:t>
      </w:r>
      <w:r w:rsidRPr="00287FF0">
        <w:rPr>
          <w:rFonts w:eastAsia="Times New Roman"/>
          <w:highlight w:val="yellow"/>
          <w:lang w:val="cs-CZ"/>
        </w:rPr>
        <w:t xml:space="preserve"> je vlastníkem pozemků a staveb na pozemku </w:t>
      </w:r>
      <w:proofErr w:type="spellStart"/>
      <w:r w:rsidRPr="00287FF0">
        <w:rPr>
          <w:rFonts w:eastAsia="Times New Roman"/>
          <w:highlight w:val="yellow"/>
          <w:lang w:val="cs-CZ"/>
        </w:rPr>
        <w:t>parc</w:t>
      </w:r>
      <w:proofErr w:type="spellEnd"/>
      <w:r w:rsidRPr="00287FF0">
        <w:rPr>
          <w:rFonts w:eastAsia="Times New Roman"/>
          <w:highlight w:val="yellow"/>
          <w:lang w:val="cs-CZ"/>
        </w:rPr>
        <w:t xml:space="preserve">. č. </w:t>
      </w:r>
      <w:r w:rsidR="00287FF0" w:rsidRPr="00287FF0">
        <w:rPr>
          <w:rFonts w:eastAsia="Times New Roman"/>
          <w:highlight w:val="yellow"/>
          <w:lang w:val="cs-CZ"/>
        </w:rPr>
        <w:t>… – zastavěná plocha o výměře …</w:t>
      </w:r>
      <w:r w:rsidRPr="00287FF0">
        <w:rPr>
          <w:rFonts w:eastAsia="Times New Roman"/>
          <w:highlight w:val="yellow"/>
          <w:lang w:val="cs-CZ"/>
        </w:rPr>
        <w:t xml:space="preserve"> m2 (dále jen nemovi</w:t>
      </w:r>
      <w:r w:rsidR="00287FF0" w:rsidRPr="00287FF0">
        <w:rPr>
          <w:rFonts w:eastAsia="Times New Roman"/>
          <w:highlight w:val="yellow"/>
          <w:lang w:val="cs-CZ"/>
        </w:rPr>
        <w:t>tosti), vše zapsáno na LV č. … pro katastrální území ….</w:t>
      </w:r>
      <w:r w:rsidRPr="00287FF0">
        <w:rPr>
          <w:rFonts w:eastAsia="Times New Roman"/>
          <w:highlight w:val="yellow"/>
          <w:lang w:val="cs-CZ"/>
        </w:rPr>
        <w:t xml:space="preserve"> u Katastrálního úřadu pro hlavní město Prahu</w:t>
      </w:r>
      <w:r w:rsidR="00287FF0">
        <w:rPr>
          <w:rFonts w:eastAsia="Times New Roman"/>
          <w:lang w:val="cs-CZ"/>
        </w:rPr>
        <w:t>. T</w:t>
      </w:r>
      <w:r w:rsidRPr="00832C9B">
        <w:rPr>
          <w:rFonts w:eastAsia="Times New Roman"/>
          <w:lang w:val="cs-CZ"/>
        </w:rPr>
        <w:t xml:space="preserve">vrdím, že předmětná stavba negativně zasáhne do mého vlastnického práva (snížením ceny nemovitosti), práva na příznivé životní prostředí a soukromí. Zásah do těchto práv je způsobem především ztrátou zeleně, překročením povolené hlukové a imisní zátěže v okolí </w:t>
      </w:r>
      <w:r w:rsidRPr="00832C9B">
        <w:rPr>
          <w:rFonts w:eastAsia="Times New Roman"/>
          <w:lang w:val="cs-CZ"/>
        </w:rPr>
        <w:lastRenderedPageBreak/>
        <w:t xml:space="preserve">mé </w:t>
      </w:r>
      <w:commentRangeStart w:id="1"/>
      <w:r w:rsidRPr="00832C9B">
        <w:rPr>
          <w:rFonts w:eastAsia="Times New Roman"/>
          <w:lang w:val="cs-CZ"/>
        </w:rPr>
        <w:t>nemovitosti</w:t>
      </w:r>
      <w:commentRangeEnd w:id="1"/>
      <w:r>
        <w:rPr>
          <w:rStyle w:val="Odkaznakoment"/>
        </w:rPr>
        <w:commentReference w:id="1"/>
      </w:r>
      <w:r w:rsidRPr="00832C9B">
        <w:rPr>
          <w:rFonts w:eastAsia="Times New Roman"/>
          <w:lang w:val="cs-CZ"/>
        </w:rPr>
        <w:t>.</w:t>
      </w:r>
    </w:p>
    <w:p w:rsidR="00287FF0" w:rsidRDefault="00287FF0" w:rsidP="00287FF0">
      <w:pPr>
        <w:spacing w:after="0"/>
        <w:ind w:firstLine="709"/>
        <w:jc w:val="both"/>
        <w:rPr>
          <w:rFonts w:ascii="Times New Roman" w:eastAsia="Times New Roman" w:hAnsi="Times New Roman" w:cs="Times New Roman"/>
          <w:sz w:val="24"/>
          <w:szCs w:val="24"/>
        </w:rPr>
      </w:pPr>
    </w:p>
    <w:p w:rsidR="00287FF0" w:rsidRPr="001E3958" w:rsidRDefault="00287FF0" w:rsidP="00287FF0">
      <w:pPr>
        <w:spacing w:after="0"/>
        <w:ind w:firstLine="709"/>
        <w:jc w:val="both"/>
        <w:rPr>
          <w:rFonts w:ascii="Times New Roman" w:eastAsia="Times New Roman" w:hAnsi="Times New Roman" w:cs="Times New Roman"/>
          <w:sz w:val="24"/>
          <w:szCs w:val="24"/>
        </w:rPr>
      </w:pPr>
      <w:commentRangeStart w:id="2"/>
      <w:r w:rsidRPr="001E3958">
        <w:rPr>
          <w:rFonts w:ascii="Times New Roman" w:eastAsia="Times New Roman" w:hAnsi="Times New Roman" w:cs="Times New Roman"/>
          <w:sz w:val="24"/>
          <w:szCs w:val="24"/>
        </w:rPr>
        <w:t xml:space="preserve">Dle ustanovení </w:t>
      </w:r>
      <w:commentRangeEnd w:id="2"/>
      <w:r w:rsidRPr="001E3958">
        <w:rPr>
          <w:rStyle w:val="Odkaznakoment"/>
          <w:rFonts w:ascii="Times New Roman" w:hAnsi="Times New Roman"/>
          <w:sz w:val="24"/>
          <w:szCs w:val="24"/>
        </w:rPr>
        <w:commentReference w:id="2"/>
      </w:r>
      <w:r w:rsidRPr="001E3958">
        <w:rPr>
          <w:rFonts w:ascii="Times New Roman" w:eastAsia="Times New Roman" w:hAnsi="Times New Roman" w:cs="Times New Roman"/>
          <w:sz w:val="24"/>
          <w:szCs w:val="24"/>
        </w:rPr>
        <w:t>§ 85 odst. 2 písm. c) jsou účastníkem územního řízení</w:t>
      </w:r>
      <w:r w:rsidRPr="001E3958">
        <w:rPr>
          <w:rFonts w:ascii="Times New Roman" w:eastAsia="Times New Roman" w:hAnsi="Times New Roman" w:cs="Times New Roman"/>
          <w:i/>
          <w:sz w:val="24"/>
          <w:szCs w:val="24"/>
        </w:rPr>
        <w:t> osoby, o kterých tak stanoví zvláštní právní předpis.</w:t>
      </w:r>
      <w:r w:rsidRPr="001E3958">
        <w:rPr>
          <w:rFonts w:ascii="Times New Roman" w:eastAsia="Times New Roman" w:hAnsi="Times New Roman" w:cs="Times New Roman"/>
          <w:sz w:val="24"/>
          <w:szCs w:val="24"/>
        </w:rPr>
        <w:t xml:space="preserve"> Zvláštním právním předpisem je zákon o </w:t>
      </w:r>
      <w:r>
        <w:rPr>
          <w:rFonts w:ascii="Times New Roman" w:eastAsia="Times New Roman" w:hAnsi="Times New Roman" w:cs="Times New Roman"/>
          <w:sz w:val="24"/>
          <w:szCs w:val="24"/>
        </w:rPr>
        <w:t>posuzování vlivů na životní prostředí, dle kterého se náš spolek přihlásil do řízení a stal</w:t>
      </w:r>
      <w:r w:rsidRPr="001E3958">
        <w:rPr>
          <w:rFonts w:ascii="Times New Roman" w:eastAsia="Times New Roman" w:hAnsi="Times New Roman" w:cs="Times New Roman"/>
          <w:sz w:val="24"/>
          <w:szCs w:val="24"/>
        </w:rPr>
        <w:t xml:space="preserve"> se tak účastníkem řízení. Základním cílem činnost </w:t>
      </w:r>
      <w:r>
        <w:rPr>
          <w:rFonts w:ascii="Times New Roman" w:eastAsia="Times New Roman" w:hAnsi="Times New Roman" w:cs="Times New Roman"/>
          <w:sz w:val="24"/>
          <w:szCs w:val="24"/>
        </w:rPr>
        <w:t>našeho spolku</w:t>
      </w:r>
      <w:r w:rsidRPr="001E3958">
        <w:rPr>
          <w:rFonts w:ascii="Times New Roman" w:eastAsia="Times New Roman" w:hAnsi="Times New Roman" w:cs="Times New Roman"/>
          <w:sz w:val="24"/>
          <w:szCs w:val="24"/>
        </w:rPr>
        <w:t xml:space="preserve"> je </w:t>
      </w:r>
      <w:r>
        <w:rPr>
          <w:rFonts w:ascii="Times New Roman" w:eastAsia="Times New Roman" w:hAnsi="Times New Roman" w:cs="Times New Roman"/>
          <w:i/>
          <w:sz w:val="24"/>
          <w:szCs w:val="24"/>
        </w:rPr>
        <w:t>….</w:t>
      </w:r>
      <w:r w:rsidRPr="001E3958">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Spolek</w:t>
      </w:r>
      <w:r w:rsidRPr="001E3958">
        <w:rPr>
          <w:rFonts w:ascii="Times New Roman" w:eastAsia="Times New Roman" w:hAnsi="Times New Roman" w:cs="Times New Roman"/>
          <w:sz w:val="24"/>
          <w:szCs w:val="24"/>
        </w:rPr>
        <w:t xml:space="preserve"> vyjadřuje níže uvedené námitky za účelem plnění výše uvedeného cíle.</w:t>
      </w:r>
    </w:p>
    <w:p w:rsidR="00287FF0" w:rsidRPr="00832C9B" w:rsidRDefault="00287FF0" w:rsidP="00287FF0">
      <w:pPr>
        <w:pStyle w:val="Vchozstyl"/>
        <w:spacing w:line="276" w:lineRule="auto"/>
        <w:ind w:firstLine="720"/>
        <w:jc w:val="both"/>
        <w:rPr>
          <w:b/>
          <w:lang w:val="cs-CZ"/>
        </w:rPr>
      </w:pPr>
    </w:p>
    <w:p w:rsidR="005765BE" w:rsidRPr="00BB5B74" w:rsidRDefault="001B0CCC" w:rsidP="00575EEA">
      <w:pPr>
        <w:pStyle w:val="Vchozstyl"/>
        <w:spacing w:before="100" w:beforeAutospacing="1" w:after="100" w:afterAutospacing="1" w:line="276" w:lineRule="auto"/>
        <w:ind w:firstLine="720"/>
        <w:jc w:val="center"/>
        <w:rPr>
          <w:lang w:val="cs-CZ"/>
        </w:rPr>
      </w:pPr>
      <w:r w:rsidRPr="00BB5B74">
        <w:rPr>
          <w:rFonts w:eastAsia="Times New Roman"/>
          <w:b/>
          <w:bCs/>
          <w:lang w:val="cs-CZ" w:eastAsia="cs-CZ"/>
        </w:rPr>
        <w:t xml:space="preserve">II. </w:t>
      </w:r>
    </w:p>
    <w:p w:rsidR="005765BE" w:rsidRPr="00BB5B74" w:rsidRDefault="00287FF0" w:rsidP="00575EEA">
      <w:pPr>
        <w:pStyle w:val="Vchozstyl"/>
        <w:spacing w:before="100" w:beforeAutospacing="1" w:after="100" w:afterAutospacing="1" w:line="276" w:lineRule="auto"/>
        <w:ind w:firstLine="720"/>
        <w:jc w:val="center"/>
        <w:rPr>
          <w:lang w:val="cs-CZ"/>
        </w:rPr>
      </w:pPr>
      <w:r w:rsidRPr="00BB5B74">
        <w:rPr>
          <w:rFonts w:eastAsia="Times New Roman"/>
          <w:b/>
          <w:bCs/>
          <w:lang w:val="cs-CZ" w:eastAsia="cs-CZ"/>
        </w:rPr>
        <w:t>Námitky</w:t>
      </w:r>
    </w:p>
    <w:p w:rsidR="00691DCD" w:rsidRPr="00BB5B74" w:rsidRDefault="00691DCD" w:rsidP="00575EEA">
      <w:pPr>
        <w:pStyle w:val="Nadpis2"/>
        <w:numPr>
          <w:ilvl w:val="0"/>
          <w:numId w:val="2"/>
        </w:numPr>
        <w:spacing w:before="100" w:beforeAutospacing="1" w:after="100" w:afterAutospacing="1"/>
        <w:ind w:left="1066" w:hanging="357"/>
      </w:pPr>
      <w:bookmarkStart w:id="3" w:name="_Toc364336589"/>
      <w:bookmarkEnd w:id="3"/>
      <w:r w:rsidRPr="00BB5B74">
        <w:t>Nezákonné stanovisko EIA</w:t>
      </w:r>
    </w:p>
    <w:p w:rsidR="00A95BAB" w:rsidRPr="00BB5B74" w:rsidRDefault="00FC5DE2" w:rsidP="00FC5DE2">
      <w:pPr>
        <w:pStyle w:val="Vchozstyl"/>
        <w:spacing w:before="100" w:beforeAutospacing="1" w:after="100" w:afterAutospacing="1"/>
        <w:ind w:firstLine="720"/>
        <w:jc w:val="both"/>
        <w:rPr>
          <w:rFonts w:eastAsia="Times New Roman"/>
          <w:lang w:val="cs-CZ" w:eastAsia="cs-CZ"/>
        </w:rPr>
      </w:pPr>
      <w:r w:rsidRPr="00BB5B74">
        <w:rPr>
          <w:rFonts w:eastAsia="Times New Roman"/>
          <w:lang w:val="cs-CZ" w:eastAsia="cs-CZ"/>
        </w:rPr>
        <w:t>Umísťovaná stavba byla posouzena v procesu posuzování vlivů na životní prostředí a bylo k ní vydáno stanovisko na záměr „Polyfunkční domy – Centrum Lužiny, Praha 13“ (kód záměru PHA880) pod č.j. MHMP 987139/2017 dne 15. června 2017.</w:t>
      </w:r>
    </w:p>
    <w:p w:rsidR="001D285B" w:rsidRPr="00BB5B74" w:rsidRDefault="001D285B" w:rsidP="00FC5DE2">
      <w:pPr>
        <w:pStyle w:val="Vchozstyl"/>
        <w:spacing w:before="100" w:beforeAutospacing="1" w:after="100" w:afterAutospacing="1"/>
        <w:ind w:firstLine="720"/>
        <w:jc w:val="both"/>
        <w:rPr>
          <w:rFonts w:eastAsia="Times New Roman"/>
          <w:lang w:val="cs-CZ" w:eastAsia="cs-CZ"/>
        </w:rPr>
      </w:pPr>
      <w:r w:rsidRPr="00BB5B74">
        <w:rPr>
          <w:rFonts w:eastAsia="Times New Roman"/>
          <w:bCs/>
          <w:lang w:val="cs-CZ" w:eastAsia="cs-CZ"/>
        </w:rPr>
        <w:t>Z dále rozbíraných věcných důvodů se domnívám, že stanovisko EIA bylo vydáno v rozporu s právními předpisy a je věcně nesprávné z následujících důvodů. Stanovisko EIA by proto mělo být zrušeno.</w:t>
      </w:r>
    </w:p>
    <w:p w:rsidR="00A95BAB" w:rsidRPr="00BB5B74" w:rsidRDefault="00A95BAB" w:rsidP="00A95BAB">
      <w:pPr>
        <w:pStyle w:val="Nadpis2"/>
        <w:numPr>
          <w:ilvl w:val="1"/>
          <w:numId w:val="2"/>
        </w:numPr>
        <w:spacing w:before="100" w:beforeAutospacing="1" w:after="100" w:afterAutospacing="1"/>
      </w:pPr>
      <w:r w:rsidRPr="00BB5B74">
        <w:t>Neposouzení kumulativních a synergických vlivů</w:t>
      </w:r>
    </w:p>
    <w:p w:rsidR="00A95BAB" w:rsidRPr="00BB5B74" w:rsidRDefault="00A95BAB" w:rsidP="00A95BAB">
      <w:pPr>
        <w:pStyle w:val="Vchozstyl"/>
        <w:spacing w:before="100" w:beforeAutospacing="1" w:after="100" w:afterAutospacing="1"/>
        <w:ind w:firstLine="720"/>
        <w:jc w:val="both"/>
        <w:rPr>
          <w:rFonts w:eastAsia="Times New Roman"/>
          <w:lang w:val="cs-CZ" w:eastAsia="cs-CZ"/>
        </w:rPr>
      </w:pPr>
      <w:r w:rsidRPr="00BB5B74">
        <w:rPr>
          <w:rFonts w:eastAsia="Times New Roman"/>
          <w:lang w:val="cs-CZ" w:eastAsia="cs-CZ"/>
        </w:rPr>
        <w:t xml:space="preserve">Podle příloh zákona o posuzování vlivů na životní prostředí (příloha č. 2, 3, 4) musí být vlivy záměru ve všech fázích EIA posuzovány v kumulaci s vlivy jiných známých záměrů (realizovaných, připravovaných, uvažovaných). </w:t>
      </w:r>
    </w:p>
    <w:p w:rsidR="00A95BAB" w:rsidRPr="00BB5B74" w:rsidRDefault="00A95BAB" w:rsidP="00A95BAB">
      <w:pPr>
        <w:pStyle w:val="Vchozstyl"/>
        <w:spacing w:before="100" w:beforeAutospacing="1" w:after="100" w:afterAutospacing="1" w:line="276" w:lineRule="auto"/>
        <w:ind w:firstLine="720"/>
        <w:jc w:val="both"/>
        <w:rPr>
          <w:rFonts w:eastAsia="Times New Roman"/>
          <w:lang w:val="cs-CZ" w:eastAsia="cs-CZ"/>
        </w:rPr>
      </w:pPr>
      <w:r w:rsidRPr="00BB5B74">
        <w:rPr>
          <w:rFonts w:eastAsia="Times New Roman"/>
          <w:lang w:val="cs-CZ" w:eastAsia="cs-CZ"/>
        </w:rPr>
        <w:t>Doplněná dokumentace, posudek ani stanovisko nedostatečně reflektuje nezpochybnitelnou kumulaci negativních dopadů výstavby a provozu záměru s jinými záměry,</w:t>
      </w:r>
      <w:r w:rsidR="00FC5DE2" w:rsidRPr="00BB5B74">
        <w:rPr>
          <w:rFonts w:eastAsia="Times New Roman"/>
          <w:lang w:val="cs-CZ" w:eastAsia="cs-CZ"/>
        </w:rPr>
        <w:t xml:space="preserve"> které v době zpracování</w:t>
      </w:r>
      <w:r w:rsidRPr="00BB5B74">
        <w:rPr>
          <w:rFonts w:eastAsia="Times New Roman"/>
          <w:lang w:val="cs-CZ" w:eastAsia="cs-CZ"/>
        </w:rPr>
        <w:t xml:space="preserve"> mohly a měly být posuzovateli známy. Jedná se zejména o následující záměry:</w:t>
      </w:r>
    </w:p>
    <w:p w:rsidR="00A95BAB" w:rsidRPr="00BB5B74" w:rsidRDefault="00A95BAB" w:rsidP="00A95BAB">
      <w:pPr>
        <w:pStyle w:val="Vchozstyl"/>
        <w:numPr>
          <w:ilvl w:val="0"/>
          <w:numId w:val="13"/>
        </w:numPr>
        <w:spacing w:line="276" w:lineRule="auto"/>
        <w:jc w:val="both"/>
        <w:rPr>
          <w:rFonts w:eastAsia="Times New Roman"/>
          <w:lang w:val="cs-CZ" w:eastAsia="cs-CZ"/>
        </w:rPr>
      </w:pPr>
      <w:r w:rsidRPr="00BB5B74">
        <w:rPr>
          <w:rFonts w:eastAsia="Times New Roman"/>
          <w:lang w:val="cs-CZ" w:eastAsia="cs-CZ"/>
        </w:rPr>
        <w:t>Bytový dům na Luka (</w:t>
      </w:r>
      <w:hyperlink r:id="rId10" w:history="1">
        <w:r w:rsidRPr="00BB5B74">
          <w:rPr>
            <w:rFonts w:eastAsia="Times New Roman"/>
            <w:lang w:val="cs-CZ" w:eastAsia="cs-CZ"/>
          </w:rPr>
          <w:t>http://www.lukaliving.cz</w:t>
        </w:r>
      </w:hyperlink>
      <w:r w:rsidRPr="00BB5B74">
        <w:rPr>
          <w:rFonts w:eastAsia="Times New Roman"/>
          <w:lang w:val="cs-CZ" w:eastAsia="cs-CZ"/>
        </w:rPr>
        <w:t>)</w:t>
      </w:r>
    </w:p>
    <w:p w:rsidR="00A95BAB" w:rsidRPr="00BB5B74" w:rsidRDefault="00A95BAB" w:rsidP="00A95BAB">
      <w:pPr>
        <w:pStyle w:val="Vchozstyl"/>
        <w:numPr>
          <w:ilvl w:val="0"/>
          <w:numId w:val="13"/>
        </w:numPr>
        <w:spacing w:line="276" w:lineRule="auto"/>
        <w:jc w:val="both"/>
        <w:rPr>
          <w:rFonts w:eastAsia="Times New Roman"/>
          <w:lang w:val="cs-CZ" w:eastAsia="cs-CZ"/>
        </w:rPr>
      </w:pPr>
      <w:r w:rsidRPr="00BB5B74">
        <w:rPr>
          <w:rFonts w:eastAsia="Times New Roman"/>
          <w:lang w:val="cs-CZ" w:eastAsia="cs-CZ"/>
        </w:rPr>
        <w:t>Bytový dům Alfa Luka ve fázi územního řízení, stejně jako následující investorem Stodůlky s.r.o. předložené záměry zastavení hektarového prostoru mezi stanicemi metra Luka a Lužiny 4 bytovými domy (</w:t>
      </w:r>
      <w:hyperlink r:id="rId11" w:history="1">
        <w:r w:rsidRPr="00BB5B74">
          <w:rPr>
            <w:rFonts w:eastAsia="Times New Roman"/>
            <w:lang w:val="cs-CZ" w:eastAsia="cs-CZ"/>
          </w:rPr>
          <w:t>https://edesky.cz/dokument/570530</w:t>
        </w:r>
      </w:hyperlink>
      <w:r w:rsidRPr="00BB5B74">
        <w:rPr>
          <w:rFonts w:eastAsia="Times New Roman"/>
          <w:lang w:val="cs-CZ" w:eastAsia="cs-CZ"/>
        </w:rPr>
        <w:t xml:space="preserve">) </w:t>
      </w:r>
    </w:p>
    <w:p w:rsidR="00A95BAB" w:rsidRPr="00BB5B74" w:rsidRDefault="00A95BAB" w:rsidP="00A95BAB">
      <w:pPr>
        <w:pStyle w:val="Vchozstyl"/>
        <w:numPr>
          <w:ilvl w:val="0"/>
          <w:numId w:val="13"/>
        </w:numPr>
        <w:spacing w:line="276" w:lineRule="auto"/>
        <w:jc w:val="both"/>
        <w:rPr>
          <w:rFonts w:eastAsia="Times New Roman"/>
          <w:lang w:val="cs-CZ" w:eastAsia="cs-CZ"/>
        </w:rPr>
      </w:pPr>
      <w:r w:rsidRPr="00BB5B74">
        <w:rPr>
          <w:rFonts w:eastAsia="Times New Roman"/>
          <w:lang w:val="cs-CZ" w:eastAsia="cs-CZ"/>
        </w:rPr>
        <w:t xml:space="preserve">Chytré bydlení </w:t>
      </w:r>
      <w:proofErr w:type="spellStart"/>
      <w:r w:rsidRPr="00BB5B74">
        <w:rPr>
          <w:rFonts w:eastAsia="Times New Roman"/>
          <w:lang w:val="cs-CZ" w:eastAsia="cs-CZ"/>
        </w:rPr>
        <w:t>JRM@Lužiny</w:t>
      </w:r>
      <w:proofErr w:type="spellEnd"/>
      <w:r w:rsidRPr="00BB5B74">
        <w:rPr>
          <w:rFonts w:eastAsia="Times New Roman"/>
          <w:lang w:val="cs-CZ" w:eastAsia="cs-CZ"/>
        </w:rPr>
        <w:t xml:space="preserve"> </w:t>
      </w:r>
      <w:hyperlink r:id="rId12" w:history="1">
        <w:r w:rsidRPr="00BB5B74">
          <w:rPr>
            <w:rFonts w:eastAsia="Times New Roman"/>
            <w:lang w:val="cs-CZ" w:eastAsia="cs-CZ"/>
          </w:rPr>
          <w:t>http://www.jrm-byty.c</w:t>
        </w:r>
      </w:hyperlink>
      <w:r w:rsidRPr="00BB5B74">
        <w:rPr>
          <w:rFonts w:eastAsia="Times New Roman"/>
          <w:lang w:val="cs-CZ" w:eastAsia="cs-CZ"/>
        </w:rPr>
        <w:t xml:space="preserve">z </w:t>
      </w:r>
    </w:p>
    <w:p w:rsidR="00A95BAB" w:rsidRPr="00BB5B74" w:rsidRDefault="00A95BAB" w:rsidP="00A95BAB">
      <w:pPr>
        <w:pStyle w:val="Vchozstyl"/>
        <w:numPr>
          <w:ilvl w:val="0"/>
          <w:numId w:val="13"/>
        </w:numPr>
        <w:spacing w:line="276" w:lineRule="auto"/>
        <w:jc w:val="both"/>
        <w:rPr>
          <w:rFonts w:eastAsia="Times New Roman"/>
          <w:lang w:val="cs-CZ" w:eastAsia="cs-CZ"/>
        </w:rPr>
      </w:pPr>
      <w:r w:rsidRPr="00BB5B74">
        <w:rPr>
          <w:rFonts w:eastAsia="Times New Roman"/>
          <w:lang w:val="cs-CZ" w:eastAsia="cs-CZ"/>
        </w:rPr>
        <w:t>Bytový dům Stodůlky Trávníčkova</w:t>
      </w:r>
    </w:p>
    <w:p w:rsidR="00A95BAB" w:rsidRPr="00BB5B74" w:rsidRDefault="00A95BAB" w:rsidP="00A95BAB">
      <w:pPr>
        <w:pStyle w:val="Vchozstyl"/>
        <w:numPr>
          <w:ilvl w:val="0"/>
          <w:numId w:val="13"/>
        </w:numPr>
        <w:spacing w:line="276" w:lineRule="auto"/>
        <w:jc w:val="both"/>
        <w:rPr>
          <w:rFonts w:eastAsia="Times New Roman"/>
          <w:lang w:val="cs-CZ" w:eastAsia="cs-CZ"/>
        </w:rPr>
      </w:pPr>
      <w:r w:rsidRPr="00BB5B74">
        <w:rPr>
          <w:rFonts w:eastAsia="Times New Roman"/>
          <w:lang w:val="cs-CZ" w:eastAsia="cs-CZ"/>
        </w:rPr>
        <w:t xml:space="preserve">Sociální byty </w:t>
      </w:r>
      <w:proofErr w:type="spellStart"/>
      <w:r w:rsidRPr="00BB5B74">
        <w:rPr>
          <w:rFonts w:eastAsia="Times New Roman"/>
          <w:lang w:val="cs-CZ" w:eastAsia="cs-CZ"/>
        </w:rPr>
        <w:t>Oistrachova</w:t>
      </w:r>
      <w:proofErr w:type="spellEnd"/>
    </w:p>
    <w:p w:rsidR="00A95BAB" w:rsidRPr="00BB5B74" w:rsidRDefault="00A95BAB" w:rsidP="00A95BAB">
      <w:pPr>
        <w:pStyle w:val="Vchozstyl"/>
        <w:numPr>
          <w:ilvl w:val="0"/>
          <w:numId w:val="13"/>
        </w:numPr>
        <w:spacing w:line="276" w:lineRule="auto"/>
        <w:jc w:val="both"/>
        <w:rPr>
          <w:rFonts w:eastAsia="Times New Roman"/>
          <w:lang w:val="cs-CZ" w:eastAsia="cs-CZ"/>
        </w:rPr>
      </w:pPr>
      <w:r w:rsidRPr="00BB5B74">
        <w:rPr>
          <w:rFonts w:eastAsia="Times New Roman"/>
          <w:lang w:val="cs-CZ" w:eastAsia="cs-CZ"/>
        </w:rPr>
        <w:t>Projekt RE100 D na křižovatce Mukařovského-</w:t>
      </w:r>
      <w:proofErr w:type="spellStart"/>
      <w:r w:rsidRPr="00BB5B74">
        <w:rPr>
          <w:rFonts w:eastAsia="Times New Roman"/>
          <w:lang w:val="cs-CZ" w:eastAsia="cs-CZ"/>
        </w:rPr>
        <w:t>Oistrachova</w:t>
      </w:r>
      <w:proofErr w:type="spellEnd"/>
      <w:r w:rsidRPr="00BB5B74">
        <w:rPr>
          <w:rFonts w:eastAsia="Times New Roman"/>
          <w:lang w:val="cs-CZ" w:eastAsia="cs-CZ"/>
        </w:rPr>
        <w:t xml:space="preserve"> a související posunutí autobusové točny na křižovatku Mukařovského-Archeologická</w:t>
      </w:r>
    </w:p>
    <w:p w:rsidR="00A95BAB" w:rsidRPr="00BB5B74" w:rsidRDefault="00A95BAB" w:rsidP="00A95BAB">
      <w:pPr>
        <w:pStyle w:val="Vchozstyl"/>
        <w:numPr>
          <w:ilvl w:val="0"/>
          <w:numId w:val="13"/>
        </w:numPr>
        <w:spacing w:line="276" w:lineRule="auto"/>
        <w:jc w:val="both"/>
        <w:rPr>
          <w:rFonts w:eastAsia="Times New Roman"/>
          <w:lang w:val="cs-CZ" w:eastAsia="cs-CZ"/>
        </w:rPr>
      </w:pPr>
      <w:r w:rsidRPr="00BB5B74">
        <w:rPr>
          <w:rFonts w:eastAsia="Times New Roman"/>
          <w:lang w:val="cs-CZ" w:eastAsia="cs-CZ"/>
        </w:rPr>
        <w:t>Zpoplatnění parkoviště u OC Zličín, které doposud plnilo funkci P+R, respektive obecný nedostatek P+R</w:t>
      </w:r>
    </w:p>
    <w:p w:rsidR="00A95BAB" w:rsidRPr="00BB5B74" w:rsidRDefault="00A95BAB" w:rsidP="00A95BAB">
      <w:pPr>
        <w:pStyle w:val="Vchozstyl"/>
        <w:numPr>
          <w:ilvl w:val="0"/>
          <w:numId w:val="13"/>
        </w:numPr>
        <w:spacing w:line="276" w:lineRule="auto"/>
        <w:jc w:val="both"/>
        <w:rPr>
          <w:rFonts w:eastAsia="Times New Roman"/>
          <w:lang w:val="cs-CZ" w:eastAsia="cs-CZ"/>
        </w:rPr>
      </w:pPr>
      <w:r w:rsidRPr="00BB5B74">
        <w:rPr>
          <w:rFonts w:eastAsia="Times New Roman"/>
          <w:lang w:val="cs-CZ" w:eastAsia="cs-CZ"/>
        </w:rPr>
        <w:lastRenderedPageBreak/>
        <w:t>Zavedení parkovacích zón na Praze 5</w:t>
      </w:r>
    </w:p>
    <w:p w:rsidR="00A95BAB" w:rsidRPr="00BB5B74" w:rsidRDefault="00A95BAB" w:rsidP="00A95BAB">
      <w:pPr>
        <w:pStyle w:val="Vchozstyl"/>
        <w:spacing w:before="100" w:beforeAutospacing="1" w:after="100" w:afterAutospacing="1" w:line="276" w:lineRule="auto"/>
        <w:ind w:firstLine="720"/>
        <w:jc w:val="both"/>
        <w:rPr>
          <w:rFonts w:eastAsia="Times New Roman"/>
          <w:lang w:val="cs-CZ" w:eastAsia="cs-CZ"/>
        </w:rPr>
      </w:pPr>
      <w:r w:rsidRPr="00BB5B74">
        <w:rPr>
          <w:rFonts w:eastAsia="Times New Roman"/>
          <w:lang w:val="cs-CZ" w:eastAsia="cs-CZ"/>
        </w:rPr>
        <w:t xml:space="preserve">Domnívám se, že pro zpracování kvalitního odborného posouzení si posuzovatelé v zájmu ochrany zákonem chráněných zájmů mohli a měli od místně příslušného stavebního úřadu vyžádat podklady o ostatních záměrech, případně si je zajistit z volně dostupných zdrojů a možnost kumulace popsat a vyhodnotit. </w:t>
      </w:r>
    </w:p>
    <w:p w:rsidR="00A95BAB" w:rsidRPr="00BB5B74" w:rsidRDefault="00A95BAB" w:rsidP="00A95BAB">
      <w:pPr>
        <w:pStyle w:val="Nadpis2"/>
        <w:numPr>
          <w:ilvl w:val="1"/>
          <w:numId w:val="2"/>
        </w:numPr>
        <w:spacing w:before="100" w:beforeAutospacing="1" w:after="100" w:afterAutospacing="1"/>
      </w:pPr>
      <w:r w:rsidRPr="00BB5B74">
        <w:t>Nedostatečná kompenzační opatření</w:t>
      </w:r>
    </w:p>
    <w:p w:rsidR="00A95BAB" w:rsidRPr="00BB5B74" w:rsidRDefault="00A95BAB" w:rsidP="00A95BAB">
      <w:pPr>
        <w:pStyle w:val="Vchozstyl"/>
        <w:spacing w:before="100" w:beforeAutospacing="1" w:after="100" w:afterAutospacing="1" w:line="276" w:lineRule="auto"/>
        <w:ind w:firstLine="720"/>
        <w:jc w:val="both"/>
        <w:rPr>
          <w:rFonts w:eastAsia="Times New Roman"/>
          <w:bCs/>
          <w:lang w:val="cs-CZ" w:eastAsia="cs-CZ"/>
        </w:rPr>
      </w:pPr>
      <w:r w:rsidRPr="00BB5B74">
        <w:rPr>
          <w:rFonts w:eastAsia="Times New Roman"/>
          <w:bCs/>
          <w:lang w:val="cs-CZ" w:eastAsia="cs-CZ"/>
        </w:rPr>
        <w:t>Součástí posouzení vlivů má být i stanovení dostatečných kompenzačních opatření, která mají vyloučit či zmírnit negativní vlivy realizace záměru. Tvrdím, že uložená kompenzační opatření nebudou plnit tuto funkci z dále uvedených důvodů.</w:t>
      </w:r>
    </w:p>
    <w:p w:rsidR="00A95BAB" w:rsidRPr="00BB5B74" w:rsidRDefault="00A95BAB" w:rsidP="00A95BAB">
      <w:pPr>
        <w:pStyle w:val="Vchozstyl"/>
        <w:spacing w:before="100" w:beforeAutospacing="1" w:after="100" w:afterAutospacing="1" w:line="276" w:lineRule="auto"/>
        <w:ind w:firstLine="720"/>
        <w:jc w:val="both"/>
        <w:rPr>
          <w:rFonts w:eastAsia="Times New Roman"/>
          <w:lang w:val="cs-CZ" w:eastAsia="cs-CZ"/>
        </w:rPr>
      </w:pPr>
      <w:r w:rsidRPr="00BB5B74">
        <w:rPr>
          <w:rFonts w:eastAsia="Times New Roman"/>
          <w:b/>
          <w:bCs/>
          <w:lang w:val="cs-CZ" w:eastAsia="cs-CZ"/>
        </w:rPr>
        <w:t xml:space="preserve">Výsadba kompenzační zeleně </w:t>
      </w:r>
      <w:r w:rsidRPr="00BB5B74">
        <w:rPr>
          <w:rFonts w:eastAsia="Times New Roman"/>
          <w:lang w:val="cs-CZ" w:eastAsia="cs-CZ"/>
        </w:rPr>
        <w:t xml:space="preserve">podmíněná realizací nejpozději v době kolaudace nebude mít kompenzační efekt na zvýšené imise v období výstavby záměru, tedy v období nejvyšší imisní zátěže. Navíc vzhledem k tomu, že kompenzační zeleň bude tvořena listnatými stromy, nelze s kompenzačním efektem počítat v období vegetačního klidu, tedy v zimních měsících, kdy jsou koncentrace </w:t>
      </w:r>
      <w:proofErr w:type="spellStart"/>
      <w:r w:rsidRPr="00BB5B74">
        <w:rPr>
          <w:rFonts w:eastAsia="Times New Roman"/>
          <w:lang w:val="cs-CZ" w:eastAsia="cs-CZ"/>
        </w:rPr>
        <w:t>benzo</w:t>
      </w:r>
      <w:proofErr w:type="spellEnd"/>
      <w:r w:rsidRPr="00BB5B74">
        <w:rPr>
          <w:rFonts w:eastAsia="Times New Roman"/>
          <w:lang w:val="cs-CZ" w:eastAsia="cs-CZ"/>
        </w:rPr>
        <w:t xml:space="preserve">(a)pyrenu i dalších imisních látek zpravidla nejvyšší. Vysazované listnaté stromy budou ve stáří 3-5 let. Protože je z dobových fotografií doložitelné, že růst stromů odpovídá nadmořské výšce cca 340 m n. m., bude účinné kapacity listové plochy stromů a jejich způsobilosti plnit očekávanou kompenzační funkci dosaženo až za cca 15 let. Z výše uvedených důvodů nelze argumentovat výsadbou jako relevantním kompenzačním opatřením ke snížení příspěvku </w:t>
      </w:r>
      <w:proofErr w:type="spellStart"/>
      <w:r w:rsidRPr="00BB5B74">
        <w:rPr>
          <w:rFonts w:eastAsia="Times New Roman"/>
          <w:lang w:val="cs-CZ" w:eastAsia="cs-CZ"/>
        </w:rPr>
        <w:t>benzoapyrenu</w:t>
      </w:r>
      <w:proofErr w:type="spellEnd"/>
      <w:r w:rsidRPr="00BB5B74">
        <w:rPr>
          <w:rFonts w:eastAsia="Times New Roman"/>
          <w:lang w:val="cs-CZ" w:eastAsia="cs-CZ"/>
        </w:rPr>
        <w:t xml:space="preserve"> a ostatním rozptylovým imisím. </w:t>
      </w:r>
    </w:p>
    <w:p w:rsidR="00A95BAB" w:rsidRPr="00BB5B74" w:rsidRDefault="00A95BAB" w:rsidP="00A95BAB">
      <w:pPr>
        <w:pStyle w:val="Vchozstyl"/>
        <w:spacing w:before="100" w:beforeAutospacing="1" w:after="100" w:afterAutospacing="1" w:line="276" w:lineRule="auto"/>
        <w:ind w:firstLine="720"/>
        <w:jc w:val="both"/>
        <w:rPr>
          <w:rFonts w:eastAsia="Times New Roman"/>
          <w:lang w:val="cs-CZ" w:eastAsia="cs-CZ"/>
        </w:rPr>
      </w:pPr>
      <w:r w:rsidRPr="00BB5B74">
        <w:rPr>
          <w:spacing w:val="-4"/>
          <w:lang w:val="cs-CZ"/>
        </w:rPr>
        <w:t xml:space="preserve">Jako další kompenzační opatření je ve stanovisku uvedena výměna povrchů komunikací za </w:t>
      </w:r>
      <w:r w:rsidRPr="00BB5B74">
        <w:rPr>
          <w:b/>
          <w:spacing w:val="-4"/>
          <w:lang w:val="cs-CZ"/>
        </w:rPr>
        <w:t>tichý asfalt</w:t>
      </w:r>
      <w:r w:rsidRPr="00BB5B74">
        <w:rPr>
          <w:spacing w:val="-4"/>
          <w:lang w:val="cs-CZ"/>
        </w:rPr>
        <w:t xml:space="preserve"> s odůvodněním: </w:t>
      </w:r>
      <w:r w:rsidRPr="00BB5B74">
        <w:rPr>
          <w:i/>
          <w:spacing w:val="-4"/>
          <w:lang w:val="cs-CZ"/>
        </w:rPr>
        <w:t xml:space="preserve">„Vzhledem </w:t>
      </w:r>
      <w:r w:rsidRPr="00BB5B74">
        <w:rPr>
          <w:i/>
          <w:lang w:val="cs-CZ"/>
        </w:rPr>
        <w:t xml:space="preserve">k překročení </w:t>
      </w:r>
      <w:r w:rsidRPr="00BB5B74">
        <w:rPr>
          <w:i/>
          <w:spacing w:val="-6"/>
          <w:lang w:val="cs-CZ"/>
        </w:rPr>
        <w:t xml:space="preserve">hygienického </w:t>
      </w:r>
      <w:r w:rsidRPr="00BB5B74">
        <w:rPr>
          <w:i/>
          <w:spacing w:val="-12"/>
          <w:lang w:val="cs-CZ"/>
        </w:rPr>
        <w:t xml:space="preserve">limitu </w:t>
      </w:r>
      <w:r w:rsidRPr="00BB5B74">
        <w:rPr>
          <w:i/>
          <w:spacing w:val="-9"/>
          <w:lang w:val="cs-CZ"/>
        </w:rPr>
        <w:t xml:space="preserve">je </w:t>
      </w:r>
      <w:r w:rsidRPr="00BB5B74">
        <w:rPr>
          <w:i/>
          <w:lang w:val="cs-CZ"/>
        </w:rPr>
        <w:t xml:space="preserve">v záměru </w:t>
      </w:r>
      <w:r w:rsidRPr="00BB5B74">
        <w:rPr>
          <w:i/>
          <w:spacing w:val="-3"/>
          <w:lang w:val="cs-CZ"/>
        </w:rPr>
        <w:t xml:space="preserve">navržena </w:t>
      </w:r>
      <w:r w:rsidRPr="00BB5B74">
        <w:rPr>
          <w:i/>
          <w:spacing w:val="-6"/>
          <w:lang w:val="cs-CZ"/>
        </w:rPr>
        <w:t xml:space="preserve">jako </w:t>
      </w:r>
      <w:r w:rsidRPr="00BB5B74">
        <w:rPr>
          <w:i/>
          <w:spacing w:val="-5"/>
          <w:lang w:val="cs-CZ"/>
        </w:rPr>
        <w:t xml:space="preserve">kompenzační </w:t>
      </w:r>
      <w:r w:rsidRPr="00BB5B74">
        <w:rPr>
          <w:i/>
          <w:spacing w:val="-4"/>
          <w:lang w:val="cs-CZ"/>
        </w:rPr>
        <w:t xml:space="preserve">opatření </w:t>
      </w:r>
      <w:r w:rsidRPr="00BB5B74">
        <w:rPr>
          <w:i/>
          <w:spacing w:val="-3"/>
          <w:lang w:val="cs-CZ"/>
        </w:rPr>
        <w:t xml:space="preserve">realizace </w:t>
      </w:r>
      <w:r w:rsidRPr="00BB5B74">
        <w:rPr>
          <w:i/>
          <w:spacing w:val="-7"/>
          <w:lang w:val="cs-CZ"/>
        </w:rPr>
        <w:t xml:space="preserve">protihlukových </w:t>
      </w:r>
      <w:r w:rsidRPr="00BB5B74">
        <w:rPr>
          <w:i/>
          <w:spacing w:val="-3"/>
          <w:lang w:val="cs-CZ"/>
        </w:rPr>
        <w:t xml:space="preserve">opatření </w:t>
      </w:r>
      <w:r w:rsidRPr="00BB5B74">
        <w:rPr>
          <w:i/>
          <w:lang w:val="cs-CZ"/>
        </w:rPr>
        <w:t xml:space="preserve">– </w:t>
      </w:r>
      <w:r w:rsidRPr="00BB5B74">
        <w:rPr>
          <w:i/>
          <w:spacing w:val="-3"/>
          <w:lang w:val="cs-CZ"/>
        </w:rPr>
        <w:t xml:space="preserve">rekonstrukcí </w:t>
      </w:r>
      <w:r w:rsidRPr="00BB5B74">
        <w:rPr>
          <w:i/>
          <w:spacing w:val="-4"/>
          <w:lang w:val="cs-CZ"/>
        </w:rPr>
        <w:t xml:space="preserve">povrchů </w:t>
      </w:r>
      <w:r w:rsidRPr="00BB5B74">
        <w:rPr>
          <w:i/>
          <w:spacing w:val="-6"/>
          <w:lang w:val="cs-CZ"/>
        </w:rPr>
        <w:t xml:space="preserve">komunikací </w:t>
      </w:r>
      <w:r w:rsidRPr="00BB5B74">
        <w:rPr>
          <w:i/>
          <w:spacing w:val="-4"/>
          <w:lang w:val="cs-CZ"/>
        </w:rPr>
        <w:t xml:space="preserve">na </w:t>
      </w:r>
      <w:r w:rsidRPr="00BB5B74">
        <w:rPr>
          <w:i/>
          <w:spacing w:val="-5"/>
          <w:lang w:val="cs-CZ"/>
        </w:rPr>
        <w:t xml:space="preserve">tiché </w:t>
      </w:r>
      <w:r w:rsidRPr="00BB5B74">
        <w:rPr>
          <w:i/>
          <w:lang w:val="cs-CZ"/>
        </w:rPr>
        <w:t xml:space="preserve">asfalty v </w:t>
      </w:r>
      <w:r w:rsidRPr="00BB5B74">
        <w:rPr>
          <w:i/>
          <w:spacing w:val="-8"/>
          <w:lang w:val="cs-CZ"/>
        </w:rPr>
        <w:t xml:space="preserve">ulici </w:t>
      </w:r>
      <w:r w:rsidRPr="00BB5B74">
        <w:rPr>
          <w:i/>
          <w:spacing w:val="-5"/>
          <w:lang w:val="cs-CZ"/>
        </w:rPr>
        <w:t xml:space="preserve">Archeologické </w:t>
      </w:r>
      <w:r w:rsidRPr="00BB5B74">
        <w:rPr>
          <w:i/>
          <w:spacing w:val="-6"/>
          <w:lang w:val="cs-CZ"/>
        </w:rPr>
        <w:t xml:space="preserve">východně </w:t>
      </w:r>
      <w:r w:rsidRPr="00BB5B74">
        <w:rPr>
          <w:i/>
          <w:spacing w:val="-4"/>
          <w:lang w:val="cs-CZ"/>
        </w:rPr>
        <w:t xml:space="preserve">od </w:t>
      </w:r>
      <w:r w:rsidRPr="00BB5B74">
        <w:rPr>
          <w:i/>
          <w:lang w:val="cs-CZ"/>
        </w:rPr>
        <w:t xml:space="preserve">záměru v </w:t>
      </w:r>
      <w:r w:rsidRPr="00BB5B74">
        <w:rPr>
          <w:i/>
          <w:spacing w:val="-4"/>
          <w:lang w:val="cs-CZ"/>
        </w:rPr>
        <w:t xml:space="preserve">délce </w:t>
      </w:r>
      <w:r w:rsidRPr="00BB5B74">
        <w:rPr>
          <w:i/>
          <w:spacing w:val="-6"/>
          <w:lang w:val="cs-CZ"/>
        </w:rPr>
        <w:t xml:space="preserve">210 </w:t>
      </w:r>
      <w:r w:rsidRPr="00BB5B74">
        <w:rPr>
          <w:i/>
          <w:lang w:val="cs-CZ"/>
        </w:rPr>
        <w:t xml:space="preserve">m a </w:t>
      </w:r>
      <w:r w:rsidRPr="00BB5B74">
        <w:rPr>
          <w:i/>
          <w:spacing w:val="-4"/>
          <w:lang w:val="cs-CZ"/>
        </w:rPr>
        <w:t xml:space="preserve">západně od </w:t>
      </w:r>
      <w:r w:rsidRPr="00BB5B74">
        <w:rPr>
          <w:i/>
          <w:spacing w:val="-2"/>
          <w:lang w:val="cs-CZ"/>
        </w:rPr>
        <w:t>záměru</w:t>
      </w:r>
      <w:r w:rsidRPr="00BB5B74">
        <w:rPr>
          <w:i/>
          <w:spacing w:val="51"/>
          <w:lang w:val="cs-CZ"/>
        </w:rPr>
        <w:t xml:space="preserve"> </w:t>
      </w:r>
      <w:r w:rsidRPr="00BB5B74">
        <w:rPr>
          <w:i/>
          <w:lang w:val="cs-CZ"/>
        </w:rPr>
        <w:t xml:space="preserve">v </w:t>
      </w:r>
      <w:r w:rsidRPr="00BB5B74">
        <w:rPr>
          <w:i/>
          <w:spacing w:val="-4"/>
          <w:lang w:val="cs-CZ"/>
        </w:rPr>
        <w:t xml:space="preserve">délce </w:t>
      </w:r>
      <w:r w:rsidRPr="00BB5B74">
        <w:rPr>
          <w:i/>
          <w:spacing w:val="-6"/>
          <w:lang w:val="cs-CZ"/>
        </w:rPr>
        <w:t xml:space="preserve">125 m. </w:t>
      </w:r>
      <w:r w:rsidRPr="00BB5B74">
        <w:rPr>
          <w:i/>
          <w:spacing w:val="-3"/>
          <w:lang w:val="cs-CZ"/>
        </w:rPr>
        <w:t xml:space="preserve">Realizací </w:t>
      </w:r>
      <w:r w:rsidRPr="00BB5B74">
        <w:rPr>
          <w:i/>
          <w:spacing w:val="-5"/>
          <w:lang w:val="cs-CZ"/>
        </w:rPr>
        <w:t xml:space="preserve">tohoto </w:t>
      </w:r>
      <w:r w:rsidRPr="00BB5B74">
        <w:rPr>
          <w:i/>
          <w:spacing w:val="-3"/>
          <w:lang w:val="cs-CZ"/>
        </w:rPr>
        <w:t xml:space="preserve">opatření </w:t>
      </w:r>
      <w:r w:rsidRPr="00BB5B74">
        <w:rPr>
          <w:i/>
          <w:spacing w:val="-9"/>
          <w:lang w:val="cs-CZ"/>
        </w:rPr>
        <w:t xml:space="preserve">dojde </w:t>
      </w:r>
      <w:r w:rsidRPr="00BB5B74">
        <w:rPr>
          <w:i/>
          <w:spacing w:val="-4"/>
          <w:lang w:val="cs-CZ"/>
        </w:rPr>
        <w:t xml:space="preserve">nejen </w:t>
      </w:r>
      <w:r w:rsidRPr="00BB5B74">
        <w:rPr>
          <w:i/>
          <w:lang w:val="cs-CZ"/>
        </w:rPr>
        <w:t xml:space="preserve">k </w:t>
      </w:r>
      <w:r w:rsidRPr="00BB5B74">
        <w:rPr>
          <w:i/>
          <w:spacing w:val="-7"/>
          <w:lang w:val="cs-CZ"/>
        </w:rPr>
        <w:t xml:space="preserve">eliminaci </w:t>
      </w:r>
      <w:r w:rsidRPr="00BB5B74">
        <w:rPr>
          <w:i/>
          <w:lang w:val="cs-CZ"/>
        </w:rPr>
        <w:t xml:space="preserve">nárůstu </w:t>
      </w:r>
      <w:r w:rsidRPr="00BB5B74">
        <w:rPr>
          <w:i/>
          <w:spacing w:val="-4"/>
          <w:lang w:val="cs-CZ"/>
        </w:rPr>
        <w:t xml:space="preserve">od </w:t>
      </w:r>
      <w:r w:rsidRPr="00BB5B74">
        <w:rPr>
          <w:i/>
          <w:spacing w:val="-3"/>
          <w:lang w:val="cs-CZ"/>
        </w:rPr>
        <w:t xml:space="preserve">záměru, </w:t>
      </w:r>
      <w:r w:rsidRPr="00BB5B74">
        <w:rPr>
          <w:i/>
          <w:spacing w:val="-5"/>
          <w:lang w:val="cs-CZ"/>
        </w:rPr>
        <w:t xml:space="preserve">ale </w:t>
      </w:r>
      <w:r w:rsidRPr="00BB5B74">
        <w:rPr>
          <w:i/>
          <w:spacing w:val="-4"/>
          <w:lang w:val="cs-CZ"/>
        </w:rPr>
        <w:t xml:space="preserve">ke zlepšení </w:t>
      </w:r>
      <w:r w:rsidRPr="00BB5B74">
        <w:rPr>
          <w:i/>
          <w:lang w:val="cs-CZ"/>
        </w:rPr>
        <w:t xml:space="preserve">i </w:t>
      </w:r>
      <w:r w:rsidRPr="00BB5B74">
        <w:rPr>
          <w:i/>
          <w:spacing w:val="-5"/>
          <w:lang w:val="cs-CZ"/>
        </w:rPr>
        <w:t xml:space="preserve">oproti </w:t>
      </w:r>
      <w:r w:rsidRPr="00BB5B74">
        <w:rPr>
          <w:i/>
          <w:lang w:val="cs-CZ"/>
        </w:rPr>
        <w:t xml:space="preserve">stavu bez </w:t>
      </w:r>
      <w:r w:rsidRPr="00BB5B74">
        <w:rPr>
          <w:i/>
          <w:spacing w:val="-3"/>
          <w:lang w:val="cs-CZ"/>
        </w:rPr>
        <w:t>realizace záměru.“</w:t>
      </w:r>
    </w:p>
    <w:p w:rsidR="00A95BAB" w:rsidRPr="00BB5B74" w:rsidRDefault="00A95BAB" w:rsidP="00A95BAB">
      <w:pPr>
        <w:pStyle w:val="Vchozstyl"/>
        <w:spacing w:before="100" w:beforeAutospacing="1" w:after="100" w:afterAutospacing="1" w:line="276" w:lineRule="auto"/>
        <w:ind w:firstLine="720"/>
        <w:jc w:val="both"/>
        <w:rPr>
          <w:rFonts w:eastAsia="Times New Roman"/>
          <w:lang w:val="cs-CZ" w:eastAsia="cs-CZ"/>
        </w:rPr>
      </w:pPr>
      <w:r w:rsidRPr="00BB5B74">
        <w:rPr>
          <w:rFonts w:eastAsia="Times New Roman"/>
          <w:lang w:val="cs-CZ" w:eastAsia="cs-CZ"/>
        </w:rPr>
        <w:t xml:space="preserve">Tichý asfalt musí být udržován na to speciálně určenou technikou, jinak dojde ke ztrátě jeho akustických vlastností. Vzhledem ke skutečnosti, že tichý asfalt bude položen v rámci komunikace III. třídy a v okolí se žádný jiný úsek s takovýmto povrchem nenachází, nelze rozumně předpokládat, že bude čištěn právě touto technikou. </w:t>
      </w:r>
    </w:p>
    <w:p w:rsidR="00A95BAB" w:rsidRPr="00BB5B74" w:rsidRDefault="00A95BAB" w:rsidP="00A95BAB">
      <w:pPr>
        <w:pStyle w:val="Vchozstyl"/>
        <w:spacing w:before="100" w:beforeAutospacing="1" w:after="100" w:afterAutospacing="1" w:line="276" w:lineRule="auto"/>
        <w:ind w:firstLine="720"/>
        <w:jc w:val="both"/>
        <w:rPr>
          <w:rFonts w:eastAsia="Times New Roman"/>
          <w:lang w:val="cs-CZ" w:eastAsia="cs-CZ"/>
        </w:rPr>
      </w:pPr>
      <w:r w:rsidRPr="00BB5B74">
        <w:rPr>
          <w:rFonts w:eastAsia="Times New Roman"/>
          <w:lang w:val="cs-CZ" w:eastAsia="cs-CZ"/>
        </w:rPr>
        <w:t xml:space="preserve">Nesouhlasím proto s tvrzením, že se jedná o kompenzační opatření, které povede ke zlepšení stavu i proti situaci bez realizace záměru a s tím souvisejícím nárůstem dopravy. K zajištění takovéto funkce by musela být podmínkou stanoviska i zajištění a financování správné údržby tohoto povrchu. Ve stanovisku navíc není určen termín realizace tichého asfaltu, který tak nebude fungovat jako kompenzační opatření po dobu výstavby záměru. </w:t>
      </w:r>
    </w:p>
    <w:p w:rsidR="003E7DCF" w:rsidRPr="00BB5B74" w:rsidRDefault="00FE6460" w:rsidP="00575EEA">
      <w:pPr>
        <w:pStyle w:val="Nadpis2"/>
        <w:numPr>
          <w:ilvl w:val="0"/>
          <w:numId w:val="2"/>
        </w:numPr>
        <w:spacing w:before="100" w:beforeAutospacing="1" w:after="100" w:afterAutospacing="1"/>
        <w:ind w:left="1066" w:hanging="357"/>
      </w:pPr>
      <w:r w:rsidRPr="00BB5B74">
        <w:t>Záměr nerespektuje s</w:t>
      </w:r>
      <w:r w:rsidR="003E7DCF" w:rsidRPr="00BB5B74">
        <w:t>tabilizované</w:t>
      </w:r>
      <w:r w:rsidR="00D46658" w:rsidRPr="00BB5B74">
        <w:t xml:space="preserve"> území dle územního plánu</w:t>
      </w:r>
    </w:p>
    <w:p w:rsidR="00D46658" w:rsidRPr="00BB5B74" w:rsidRDefault="00D46658" w:rsidP="00575EEA">
      <w:pPr>
        <w:pStyle w:val="Vchozstyl"/>
        <w:spacing w:before="100" w:beforeAutospacing="1" w:after="100" w:afterAutospacing="1" w:line="276" w:lineRule="auto"/>
        <w:ind w:firstLine="720"/>
        <w:jc w:val="both"/>
        <w:rPr>
          <w:rFonts w:eastAsia="Times New Roman"/>
          <w:lang w:val="cs-CZ" w:eastAsia="cs-CZ"/>
        </w:rPr>
      </w:pPr>
      <w:r w:rsidRPr="00BB5B74">
        <w:rPr>
          <w:rFonts w:eastAsia="Times New Roman"/>
          <w:lang w:val="cs-CZ" w:eastAsia="cs-CZ"/>
        </w:rPr>
        <w:t xml:space="preserve">Podle přílohy 1 oddílu 6 odst. 1 ke změně územního plánu Z 1000/00, opatření obecné </w:t>
      </w:r>
      <w:r w:rsidRPr="00BB5B74">
        <w:rPr>
          <w:rFonts w:eastAsia="Times New Roman"/>
          <w:lang w:val="cs-CZ" w:eastAsia="cs-CZ"/>
        </w:rPr>
        <w:lastRenderedPageBreak/>
        <w:t xml:space="preserve">povahy č. 6/2009 je území </w:t>
      </w:r>
      <w:proofErr w:type="spellStart"/>
      <w:r w:rsidRPr="00BB5B74">
        <w:rPr>
          <w:rFonts w:eastAsia="Times New Roman"/>
          <w:lang w:val="cs-CZ" w:eastAsia="cs-CZ"/>
        </w:rPr>
        <w:t>hl.m</w:t>
      </w:r>
      <w:proofErr w:type="spellEnd"/>
      <w:r w:rsidRPr="00BB5B74">
        <w:rPr>
          <w:rFonts w:eastAsia="Times New Roman"/>
          <w:lang w:val="cs-CZ" w:eastAsia="cs-CZ"/>
        </w:rPr>
        <w:t xml:space="preserve">. Prahy územním plánem děleno na zastavitelná a nezastavitelná území. Zastavitelná území jsou rozvojová, stabilizovaná, transformační a nerozvojová. Podle oddílu 8 odst. 3 výše uvedené přílohy je uvedeno: </w:t>
      </w:r>
      <w:r w:rsidRPr="00BB5B74">
        <w:rPr>
          <w:rFonts w:eastAsia="Times New Roman"/>
          <w:i/>
          <w:lang w:val="cs-CZ" w:eastAsia="cs-CZ"/>
        </w:rPr>
        <w:t>„Ve stabilizovaném území není stanovena míra využití území; z hlediska limitů rozvoje je možné pouze zachování, dotvoření a rehabilitace stávající urbanistické struktury bez možnosti další rozsáhlé stavební činnosti“.</w:t>
      </w:r>
      <w:r w:rsidRPr="00BB5B74">
        <w:rPr>
          <w:rFonts w:eastAsia="Times New Roman"/>
          <w:lang w:val="cs-CZ" w:eastAsia="cs-CZ"/>
        </w:rPr>
        <w:t xml:space="preserve"> Důležitý je také oddíl 16 bod 37 této přílohy, který vymezuje pojem stabilizovaného území takto: </w:t>
      </w:r>
      <w:r w:rsidRPr="00BB5B74">
        <w:rPr>
          <w:rFonts w:eastAsia="Times New Roman"/>
          <w:i/>
          <w:lang w:val="cs-CZ" w:eastAsia="cs-CZ"/>
        </w:rPr>
        <w:t>„Stabilizované území je zastavitelné území, které je tvořeno stávající souvislou zástavbou a stabilizovanou hmotovou strukturou, v němž územní plán nepředpokládá významný rozvoj“</w:t>
      </w:r>
      <w:r w:rsidRPr="00BB5B74">
        <w:rPr>
          <w:rFonts w:eastAsia="Times New Roman"/>
          <w:lang w:val="cs-CZ" w:eastAsia="cs-CZ"/>
        </w:rPr>
        <w:t>. Z definičního vymezení pojmu stabilizovaného území vyplývá, že toto území je zastavitelné. Jedná se o území, které připouští novou výstavbu, pokud tato výstavba nepřekračuje stanovené limity. Limity se pak rozumí zachování, dotvoření a rehabilitace stávající urbanistické struktury bez možnosti rozsáhlé stavební činnosti.</w:t>
      </w:r>
    </w:p>
    <w:p w:rsidR="00144EE2" w:rsidRPr="00BB5B74" w:rsidRDefault="00144EE2" w:rsidP="00575EEA">
      <w:pPr>
        <w:pStyle w:val="Vchozstyl"/>
        <w:spacing w:before="100" w:beforeAutospacing="1" w:after="100" w:afterAutospacing="1" w:line="276" w:lineRule="auto"/>
        <w:ind w:firstLine="720"/>
        <w:jc w:val="both"/>
        <w:rPr>
          <w:rFonts w:eastAsia="Times New Roman"/>
          <w:lang w:val="cs-CZ" w:eastAsia="cs-CZ"/>
        </w:rPr>
      </w:pPr>
      <w:r w:rsidRPr="00BB5B74">
        <w:rPr>
          <w:rFonts w:eastAsia="Times New Roman"/>
          <w:lang w:val="cs-CZ" w:eastAsia="cs-CZ"/>
        </w:rPr>
        <w:t>Popis stávající urbanistické struktury lze nalézt v Územně analytických</w:t>
      </w:r>
      <w:r w:rsidR="004D360A" w:rsidRPr="00BB5B74">
        <w:rPr>
          <w:rFonts w:eastAsia="Times New Roman"/>
          <w:lang w:val="cs-CZ" w:eastAsia="cs-CZ"/>
        </w:rPr>
        <w:t xml:space="preserve"> </w:t>
      </w:r>
      <w:r w:rsidRPr="00BB5B74">
        <w:rPr>
          <w:rFonts w:eastAsia="Times New Roman"/>
          <w:lang w:val="cs-CZ" w:eastAsia="cs-CZ"/>
        </w:rPr>
        <w:t>podkladech hl. m. Prahy 2012, ve výkrese Struktura zástavby. V tomto výkrese je pro každou vyznačenou lokalitu uveden typ struktury a zároveň je uvedena výšková hladina</w:t>
      </w:r>
      <w:r w:rsidR="00FE6460" w:rsidRPr="00BB5B74">
        <w:rPr>
          <w:rFonts w:eastAsia="Times New Roman"/>
          <w:lang w:val="cs-CZ" w:eastAsia="cs-CZ"/>
        </w:rPr>
        <w:t>.</w:t>
      </w:r>
      <w:r w:rsidRPr="00BB5B74">
        <w:rPr>
          <w:rFonts w:eastAsia="Times New Roman"/>
          <w:lang w:val="cs-CZ" w:eastAsia="cs-CZ"/>
        </w:rPr>
        <w:t xml:space="preserve"> Pokud navrhovaná zástavba není v souladu s tímto typem struktury zástavby anebo převyšuje stanovenou výškovou hladinu, lze konstatovat rozpor s platným územním plánem (viz </w:t>
      </w:r>
      <w:hyperlink r:id="rId13" w:tgtFrame="_blank" w:history="1">
        <w:r w:rsidRPr="00BB5B74">
          <w:rPr>
            <w:rFonts w:eastAsia="Times New Roman"/>
            <w:lang w:val="cs-CZ" w:eastAsia="cs-CZ"/>
          </w:rPr>
          <w:t>http://www.iprpraha.cz/uploads/assets/dokumenty/pup/metodicke_navody_a_vyklady_k_platnemu_uzemnimu_planu_2016_11_01.pdf</w:t>
        </w:r>
      </w:hyperlink>
      <w:r w:rsidRPr="00BB5B74">
        <w:rPr>
          <w:rFonts w:eastAsia="Times New Roman"/>
          <w:lang w:val="cs-CZ" w:eastAsia="cs-CZ"/>
        </w:rPr>
        <w:t xml:space="preserve">). Dle územního plánu podrobněji je v části "Výškové kategorie zástavby" u těchto pozemků 15-18 m - tj. maximálně 6 nadzemních podlaží. </w:t>
      </w:r>
      <w:r w:rsidR="00A95BAB" w:rsidRPr="00BB5B74">
        <w:rPr>
          <w:rFonts w:eastAsia="Times New Roman"/>
          <w:lang w:val="cs-CZ" w:eastAsia="cs-CZ"/>
        </w:rPr>
        <w:t xml:space="preserve">Umísťovaná stavba má v nejvyšších bodech atiky 49,3 m, je tedy několikanásobně vyšší než je výšková hladina. </w:t>
      </w:r>
    </w:p>
    <w:p w:rsidR="00D46658" w:rsidRPr="00BB5B74" w:rsidRDefault="00FE6460" w:rsidP="00575EEA">
      <w:pPr>
        <w:pStyle w:val="Vchozstyl"/>
        <w:spacing w:before="100" w:beforeAutospacing="1" w:after="100" w:afterAutospacing="1" w:line="276" w:lineRule="auto"/>
        <w:ind w:firstLine="720"/>
        <w:jc w:val="both"/>
        <w:rPr>
          <w:rFonts w:eastAsia="Times New Roman"/>
          <w:lang w:val="cs-CZ" w:eastAsia="cs-CZ"/>
        </w:rPr>
      </w:pPr>
      <w:r w:rsidRPr="00BB5B74">
        <w:rPr>
          <w:rFonts w:eastAsia="Times New Roman"/>
          <w:lang w:val="cs-CZ" w:eastAsia="cs-CZ"/>
        </w:rPr>
        <w:t xml:space="preserve">Urbanistická struktura je tvořena také </w:t>
      </w:r>
      <w:proofErr w:type="spellStart"/>
      <w:r w:rsidRPr="00BB5B74">
        <w:rPr>
          <w:rFonts w:eastAsia="Times New Roman"/>
          <w:lang w:val="cs-CZ" w:eastAsia="cs-CZ"/>
        </w:rPr>
        <w:t>krajinně</w:t>
      </w:r>
      <w:proofErr w:type="spellEnd"/>
      <w:r w:rsidRPr="00BB5B74">
        <w:rPr>
          <w:rFonts w:eastAsia="Times New Roman"/>
          <w:lang w:val="cs-CZ" w:eastAsia="cs-CZ"/>
        </w:rPr>
        <w:t xml:space="preserve">-ekologickou strukturou, tj. vzrostlou sídlištní zelení. </w:t>
      </w:r>
      <w:r w:rsidR="00D46658" w:rsidRPr="00BB5B74">
        <w:rPr>
          <w:rFonts w:eastAsia="Times New Roman"/>
          <w:lang w:val="cs-CZ" w:eastAsia="cs-CZ"/>
        </w:rPr>
        <w:t xml:space="preserve">Sídliště Lužiny bylo postaveno tak, aby zastavitelnost ploch bytovými domy byla cca 30 % a zbytek tvořily volné klidové plochy určené pro odpočinek, hry a sportovní vyžití obyvatel. </w:t>
      </w:r>
      <w:r w:rsidR="00EA1243" w:rsidRPr="00BB5B74">
        <w:rPr>
          <w:rFonts w:eastAsia="Times New Roman"/>
          <w:lang w:val="cs-CZ" w:eastAsia="cs-CZ"/>
        </w:rPr>
        <w:t xml:space="preserve">U výstupu z metra byly sice historicky plánovány výškové budovy. Jejich realizace však byla opuštěna při zvýšení stávající zástavby tak, aby byl počet bytů zachován. </w:t>
      </w:r>
      <w:r w:rsidR="00D46658" w:rsidRPr="00BB5B74">
        <w:rPr>
          <w:rFonts w:eastAsia="Times New Roman"/>
          <w:lang w:val="cs-CZ" w:eastAsia="cs-CZ"/>
        </w:rPr>
        <w:t>Jednotlivé domy byly postaveny tak, aby nebylo vidět z jednoho bytu do druhého. Systém rondelů zachovával intimitu bytů a zároveň umožnil setkávání obyvatel uvnitř rondelů. Navržené výškové domy tyto podmínky nesplňují, neboť zastavitelnost betonových ploch je až na hranu stavebních parcel, žádné volné plochy kolem domů nejsou navrženy a svojí blízkostí k domům v Brdičkově a Píškově ulici naruší dosavadní soukromí stávajících obyvatel.</w:t>
      </w:r>
      <w:r w:rsidRPr="00BB5B74">
        <w:rPr>
          <w:rFonts w:eastAsia="Times New Roman"/>
          <w:lang w:val="cs-CZ" w:eastAsia="cs-CZ"/>
        </w:rPr>
        <w:t xml:space="preserve"> </w:t>
      </w:r>
      <w:r w:rsidR="00D46658" w:rsidRPr="00BB5B74">
        <w:rPr>
          <w:rFonts w:eastAsia="Times New Roman"/>
          <w:lang w:val="cs-CZ" w:eastAsia="cs-CZ"/>
        </w:rPr>
        <w:t xml:space="preserve">Posuzovaný dům proto urbanistickou strukturu sídliště nerespektuje. </w:t>
      </w:r>
    </w:p>
    <w:p w:rsidR="00D46658" w:rsidRPr="00BB5B74" w:rsidRDefault="00FE6460" w:rsidP="00575EEA">
      <w:pPr>
        <w:pStyle w:val="Vchozstyl"/>
        <w:spacing w:before="100" w:beforeAutospacing="1" w:after="100" w:afterAutospacing="1" w:line="276" w:lineRule="auto"/>
        <w:ind w:firstLine="720"/>
        <w:jc w:val="both"/>
        <w:rPr>
          <w:rFonts w:eastAsia="Times New Roman"/>
          <w:lang w:val="cs-CZ" w:eastAsia="cs-CZ"/>
        </w:rPr>
      </w:pPr>
      <w:r w:rsidRPr="00BB5B74">
        <w:rPr>
          <w:rFonts w:eastAsia="Times New Roman"/>
          <w:lang w:val="cs-CZ" w:eastAsia="cs-CZ"/>
        </w:rPr>
        <w:t>S</w:t>
      </w:r>
      <w:r w:rsidR="00D46658" w:rsidRPr="00BB5B74">
        <w:rPr>
          <w:rFonts w:eastAsia="Times New Roman"/>
          <w:lang w:val="cs-CZ" w:eastAsia="cs-CZ"/>
        </w:rPr>
        <w:t xml:space="preserve">myslem definice stabilizovaného území není a nemůže být </w:t>
      </w:r>
      <w:r w:rsidR="00A95BAB" w:rsidRPr="00BB5B74">
        <w:rPr>
          <w:rFonts w:eastAsia="Times New Roman"/>
          <w:lang w:val="cs-CZ" w:eastAsia="cs-CZ"/>
        </w:rPr>
        <w:t>zvýšení míry</w:t>
      </w:r>
      <w:r w:rsidR="00D46658" w:rsidRPr="00BB5B74">
        <w:rPr>
          <w:rFonts w:eastAsia="Times New Roman"/>
          <w:lang w:val="cs-CZ" w:eastAsia="cs-CZ"/>
        </w:rPr>
        <w:t xml:space="preserve"> využití území, která je charakteristickým rysem ploch přestavby, kde dochází ke změně urbanistické koncepce. Pokud obec považuje zvýšení míry využití konkrétního území za žádoucí, může takové rozhodnutí v územním plánu učinit právě tím, že území označí za plochu přestavby, a vymezí pro ni míru využití vyšší než je míra využití dosavadní. K tomu však nedošlo.</w:t>
      </w:r>
    </w:p>
    <w:p w:rsidR="00652661" w:rsidRPr="00BB5B74" w:rsidRDefault="00FE6460" w:rsidP="00575EEA">
      <w:pPr>
        <w:pStyle w:val="Vchozstyl"/>
        <w:spacing w:before="100" w:beforeAutospacing="1" w:after="100" w:afterAutospacing="1" w:line="276" w:lineRule="auto"/>
        <w:ind w:firstLine="720"/>
        <w:jc w:val="both"/>
        <w:rPr>
          <w:rFonts w:eastAsia="Times New Roman"/>
          <w:lang w:val="cs-CZ" w:eastAsia="cs-CZ"/>
        </w:rPr>
      </w:pPr>
      <w:r w:rsidRPr="00BB5B74">
        <w:rPr>
          <w:rFonts w:eastAsia="Times New Roman"/>
          <w:lang w:val="cs-CZ" w:eastAsia="cs-CZ"/>
        </w:rPr>
        <w:t>S</w:t>
      </w:r>
      <w:r w:rsidR="00D46658" w:rsidRPr="00BB5B74">
        <w:rPr>
          <w:rFonts w:eastAsia="Times New Roman"/>
          <w:lang w:val="cs-CZ" w:eastAsia="cs-CZ"/>
        </w:rPr>
        <w:t xml:space="preserve">myslem definice stabilizovaného území není a nemůže být </w:t>
      </w:r>
      <w:r w:rsidRPr="00BB5B74">
        <w:rPr>
          <w:rFonts w:eastAsia="Times New Roman"/>
          <w:lang w:val="cs-CZ" w:eastAsia="cs-CZ"/>
        </w:rPr>
        <w:t xml:space="preserve">ani </w:t>
      </w:r>
      <w:r w:rsidR="00D46658" w:rsidRPr="00BB5B74">
        <w:rPr>
          <w:rFonts w:eastAsia="Times New Roman"/>
          <w:lang w:val="cs-CZ" w:eastAsia="cs-CZ"/>
        </w:rPr>
        <w:t xml:space="preserve">umožnění </w:t>
      </w:r>
      <w:r w:rsidR="00D46658" w:rsidRPr="00BB5B74">
        <w:rPr>
          <w:rFonts w:eastAsia="Times New Roman"/>
          <w:lang w:val="cs-CZ" w:eastAsia="cs-CZ"/>
        </w:rPr>
        <w:lastRenderedPageBreak/>
        <w:t>intenzivnější výstavby, než je možné na nově vymezovaných zastavitelný</w:t>
      </w:r>
      <w:r w:rsidRPr="00BB5B74">
        <w:rPr>
          <w:rFonts w:eastAsia="Times New Roman"/>
          <w:lang w:val="cs-CZ" w:eastAsia="cs-CZ"/>
        </w:rPr>
        <w:t>ch územích. R</w:t>
      </w:r>
      <w:r w:rsidR="00D46658" w:rsidRPr="00BB5B74">
        <w:rPr>
          <w:rFonts w:eastAsia="Times New Roman"/>
          <w:lang w:val="cs-CZ" w:eastAsia="cs-CZ"/>
        </w:rPr>
        <w:t>ozsáhlou stavebn</w:t>
      </w:r>
      <w:r w:rsidRPr="00BB5B74">
        <w:rPr>
          <w:rFonts w:eastAsia="Times New Roman"/>
          <w:lang w:val="cs-CZ" w:eastAsia="cs-CZ"/>
        </w:rPr>
        <w:t>í činností je proto i jednotlivé stavby</w:t>
      </w:r>
      <w:r w:rsidR="00D46658" w:rsidRPr="00BB5B74">
        <w:rPr>
          <w:rFonts w:eastAsia="Times New Roman"/>
          <w:lang w:val="cs-CZ" w:eastAsia="cs-CZ"/>
        </w:rPr>
        <w:t>, a to obzvláště</w:t>
      </w:r>
      <w:r w:rsidRPr="00BB5B74">
        <w:rPr>
          <w:rFonts w:eastAsia="Times New Roman"/>
          <w:lang w:val="cs-CZ" w:eastAsia="cs-CZ"/>
        </w:rPr>
        <w:t xml:space="preserve"> vícepatrové, které</w:t>
      </w:r>
      <w:r w:rsidR="00D46658" w:rsidRPr="00BB5B74">
        <w:rPr>
          <w:rFonts w:eastAsia="Times New Roman"/>
          <w:lang w:val="cs-CZ" w:eastAsia="cs-CZ"/>
        </w:rPr>
        <w:t xml:space="preserve"> </w:t>
      </w:r>
      <w:r w:rsidRPr="00BB5B74">
        <w:rPr>
          <w:rFonts w:eastAsia="Times New Roman"/>
          <w:lang w:val="cs-CZ" w:eastAsia="cs-CZ"/>
        </w:rPr>
        <w:t>svými rozměry významně přesahují</w:t>
      </w:r>
      <w:r w:rsidR="00D46658" w:rsidRPr="00BB5B74">
        <w:rPr>
          <w:rFonts w:eastAsia="Times New Roman"/>
          <w:lang w:val="cs-CZ" w:eastAsia="cs-CZ"/>
        </w:rPr>
        <w:t xml:space="preserve"> stávající strukturu území.</w:t>
      </w:r>
      <w:r w:rsidRPr="00BB5B74">
        <w:rPr>
          <w:rFonts w:eastAsia="Times New Roman"/>
          <w:lang w:val="cs-CZ" w:eastAsia="cs-CZ"/>
        </w:rPr>
        <w:t xml:space="preserve"> U</w:t>
      </w:r>
      <w:r w:rsidR="00D46658" w:rsidRPr="00BB5B74">
        <w:rPr>
          <w:rFonts w:eastAsia="Times New Roman"/>
          <w:lang w:val="cs-CZ" w:eastAsia="cs-CZ"/>
        </w:rPr>
        <w:t xml:space="preserve">mísťovaná stavba nerespektuje koeficient zeleně obvyklý v dotčeném území, umísťované stavba dále nerespektuje ani velikost hrubé podlažní plochy a zastavěnosti </w:t>
      </w:r>
      <w:r w:rsidR="00EA1243" w:rsidRPr="00BB5B74">
        <w:rPr>
          <w:rFonts w:eastAsia="Times New Roman"/>
          <w:lang w:val="cs-CZ" w:eastAsia="cs-CZ"/>
        </w:rPr>
        <w:t xml:space="preserve">(100%!) </w:t>
      </w:r>
      <w:r w:rsidR="00D46658" w:rsidRPr="00BB5B74">
        <w:rPr>
          <w:rFonts w:eastAsia="Times New Roman"/>
          <w:lang w:val="cs-CZ" w:eastAsia="cs-CZ"/>
        </w:rPr>
        <w:t xml:space="preserve">vzhledem k dotčenému pozemku. </w:t>
      </w:r>
      <w:r w:rsidR="00EA1243" w:rsidRPr="00BB5B74">
        <w:rPr>
          <w:rFonts w:eastAsia="Times New Roman"/>
          <w:lang w:val="cs-CZ" w:eastAsia="cs-CZ"/>
        </w:rPr>
        <w:t>N</w:t>
      </w:r>
      <w:r w:rsidR="00D46658" w:rsidRPr="00BB5B74">
        <w:rPr>
          <w:rFonts w:eastAsia="Times New Roman"/>
          <w:lang w:val="cs-CZ" w:eastAsia="cs-CZ"/>
        </w:rPr>
        <w:t>avrhovaná stavba je rozsáhlejší než je v dotčeném území obvyklé a je dokonce rozsáhlejší než by bylo možné umístit v území určeném pro novou zástavbu (vzhledem k velikosti pozemku investora).</w:t>
      </w:r>
      <w:r w:rsidR="00EA1243" w:rsidRPr="00BB5B74">
        <w:rPr>
          <w:rFonts w:eastAsia="Times New Roman"/>
          <w:lang w:val="cs-CZ" w:eastAsia="cs-CZ"/>
        </w:rPr>
        <w:t xml:space="preserve"> Jedná se proto o</w:t>
      </w:r>
      <w:r w:rsidR="00D46658" w:rsidRPr="00BB5B74">
        <w:rPr>
          <w:rFonts w:eastAsia="Times New Roman"/>
          <w:lang w:val="cs-CZ" w:eastAsia="cs-CZ"/>
        </w:rPr>
        <w:t xml:space="preserve"> rozsáhlou stavební činnost, která navíc nerespektuje stávající urbanistic</w:t>
      </w:r>
      <w:r w:rsidR="00732F95" w:rsidRPr="00BB5B74">
        <w:rPr>
          <w:rFonts w:eastAsia="Times New Roman"/>
          <w:lang w:val="cs-CZ" w:eastAsia="cs-CZ"/>
        </w:rPr>
        <w:t>kou strukturu. Záměr</w:t>
      </w:r>
      <w:r w:rsidR="00D46658" w:rsidRPr="00BB5B74">
        <w:rPr>
          <w:rFonts w:eastAsia="Times New Roman"/>
          <w:lang w:val="cs-CZ" w:eastAsia="cs-CZ"/>
        </w:rPr>
        <w:t xml:space="preserve"> navíc stávající urbanistickou strukturu nedotváří ani nerehabilituje, ale naopak ji trvale poškozuje</w:t>
      </w:r>
      <w:r w:rsidR="00EA1243" w:rsidRPr="00BB5B74">
        <w:rPr>
          <w:rFonts w:eastAsia="Times New Roman"/>
          <w:lang w:val="cs-CZ" w:eastAsia="cs-CZ"/>
        </w:rPr>
        <w:t xml:space="preserve">. </w:t>
      </w:r>
    </w:p>
    <w:p w:rsidR="00652661" w:rsidRPr="00BB5B74" w:rsidRDefault="00652661" w:rsidP="00575EEA">
      <w:pPr>
        <w:pStyle w:val="Vchozstyl"/>
        <w:spacing w:before="100" w:beforeAutospacing="1" w:after="100" w:afterAutospacing="1" w:line="276" w:lineRule="auto"/>
        <w:ind w:firstLine="720"/>
        <w:jc w:val="both"/>
        <w:rPr>
          <w:rFonts w:eastAsia="Times New Roman"/>
          <w:lang w:val="cs-CZ" w:eastAsia="cs-CZ"/>
        </w:rPr>
      </w:pPr>
      <w:r w:rsidRPr="00BB5B74">
        <w:rPr>
          <w:rFonts w:eastAsia="Times New Roman"/>
          <w:lang w:val="cs-CZ" w:eastAsia="cs-CZ"/>
        </w:rPr>
        <w:t xml:space="preserve">Dokumentace pro územní řízení – A. Průvodní zpráva se naplněním požadavků územního plánu pro stabilizované území vůbec nezabývá. Pouze konstatuje, že ve stabilizovaném území není regulace stanovena a pouze odkazuje ke stávající zástavbě. </w:t>
      </w:r>
    </w:p>
    <w:p w:rsidR="00D20EFC" w:rsidRPr="00BB5B74" w:rsidRDefault="0038491A" w:rsidP="00575EEA">
      <w:pPr>
        <w:pStyle w:val="Vchozstyl"/>
        <w:spacing w:before="100" w:beforeAutospacing="1" w:after="100" w:afterAutospacing="1" w:line="276" w:lineRule="auto"/>
        <w:ind w:firstLine="720"/>
        <w:jc w:val="both"/>
        <w:rPr>
          <w:rFonts w:eastAsia="Times New Roman"/>
          <w:lang w:val="cs-CZ" w:eastAsia="cs-CZ"/>
        </w:rPr>
      </w:pPr>
      <w:r w:rsidRPr="00BB5B74">
        <w:rPr>
          <w:rFonts w:eastAsia="Times New Roman"/>
          <w:lang w:val="cs-CZ" w:eastAsia="cs-CZ"/>
        </w:rPr>
        <w:t>Dokumentace pro územní řízení – A. Průvodní zpráva a B. Souhrnná technická zpráva opakovaně uvádí, že stávající stavba má nedostatky – zahloubené zásobovací dvory, zaslepené fasády a že umísťovaná stavba tyto nedostatky odstraňuje a rehabilituje tak území. Tvrdím, že uvedené problémy lze řešit i jinými způsoby, které jsou architektonicky a urbanisticky vhodnější než kompletním zastavěním zcela naddimenzovanou zástavbou.</w:t>
      </w:r>
      <w:r w:rsidR="00D20EFC" w:rsidRPr="00BB5B74">
        <w:rPr>
          <w:rFonts w:eastAsia="Times New Roman"/>
          <w:lang w:val="cs-CZ" w:eastAsia="cs-CZ"/>
        </w:rPr>
        <w:t xml:space="preserve"> </w:t>
      </w:r>
    </w:p>
    <w:p w:rsidR="0038491A" w:rsidRPr="00BB5B74" w:rsidRDefault="00D20EFC" w:rsidP="00575EEA">
      <w:pPr>
        <w:pStyle w:val="Vchozstyl"/>
        <w:spacing w:before="100" w:beforeAutospacing="1" w:after="100" w:afterAutospacing="1" w:line="276" w:lineRule="auto"/>
        <w:ind w:firstLine="720"/>
        <w:jc w:val="both"/>
        <w:rPr>
          <w:rFonts w:eastAsia="Times New Roman"/>
          <w:lang w:val="cs-CZ" w:eastAsia="cs-CZ"/>
        </w:rPr>
      </w:pPr>
      <w:r w:rsidRPr="00BB5B74">
        <w:rPr>
          <w:rFonts w:eastAsia="Times New Roman"/>
          <w:lang w:val="cs-CZ" w:eastAsia="cs-CZ"/>
        </w:rPr>
        <w:t xml:space="preserve">Dokumentace dále popisuje území jako nevyužívané, protože takto rozsáhlé zásobovací dvory nejsou v současné době zapotřebí. S tímto označením nelze souhlasit, protože plochy zásobovacích dvorů jsou používány k parkovaní. Je přitom obecně známou skutečností, že sídliště vzhledem k době jejich výstavby trpí výrazným nedostatkem parkovacích míst. </w:t>
      </w:r>
    </w:p>
    <w:p w:rsidR="00D46658" w:rsidRPr="00BB5B74" w:rsidRDefault="00EA1243" w:rsidP="00575EEA">
      <w:pPr>
        <w:pStyle w:val="Vchozstyl"/>
        <w:spacing w:before="100" w:beforeAutospacing="1" w:after="100" w:afterAutospacing="1" w:line="276" w:lineRule="auto"/>
        <w:ind w:firstLine="720"/>
        <w:jc w:val="both"/>
        <w:rPr>
          <w:rFonts w:eastAsia="Times New Roman"/>
          <w:lang w:val="cs-CZ" w:eastAsia="cs-CZ"/>
        </w:rPr>
      </w:pPr>
      <w:r w:rsidRPr="00BB5B74">
        <w:rPr>
          <w:rFonts w:eastAsia="Times New Roman"/>
          <w:lang w:val="cs-CZ" w:eastAsia="cs-CZ"/>
        </w:rPr>
        <w:t xml:space="preserve">Záměr tak </w:t>
      </w:r>
      <w:r w:rsidR="00D46658" w:rsidRPr="00BB5B74">
        <w:rPr>
          <w:rFonts w:eastAsia="Times New Roman"/>
          <w:lang w:val="cs-CZ" w:eastAsia="cs-CZ"/>
        </w:rPr>
        <w:t>nelze d</w:t>
      </w:r>
      <w:r w:rsidR="00732F95" w:rsidRPr="00BB5B74">
        <w:rPr>
          <w:rFonts w:eastAsia="Times New Roman"/>
          <w:lang w:val="cs-CZ" w:eastAsia="cs-CZ"/>
        </w:rPr>
        <w:t xml:space="preserve">o stabilizovaného území </w:t>
      </w:r>
      <w:r w:rsidR="00A95BAB" w:rsidRPr="00BB5B74">
        <w:rPr>
          <w:rFonts w:eastAsia="Times New Roman"/>
          <w:lang w:val="cs-CZ" w:eastAsia="cs-CZ"/>
        </w:rPr>
        <w:t xml:space="preserve">v souladu s územním plánem </w:t>
      </w:r>
      <w:r w:rsidR="00732F95" w:rsidRPr="00BB5B74">
        <w:rPr>
          <w:rFonts w:eastAsia="Times New Roman"/>
          <w:lang w:val="cs-CZ" w:eastAsia="cs-CZ"/>
        </w:rPr>
        <w:t>umístit.</w:t>
      </w:r>
    </w:p>
    <w:p w:rsidR="004E6386" w:rsidRPr="00BB5B74" w:rsidRDefault="004E6386" w:rsidP="004E6386">
      <w:pPr>
        <w:pStyle w:val="Nadpis2"/>
        <w:numPr>
          <w:ilvl w:val="0"/>
          <w:numId w:val="2"/>
        </w:numPr>
        <w:spacing w:before="100" w:beforeAutospacing="1" w:after="100" w:afterAutospacing="1"/>
        <w:ind w:left="1066" w:hanging="357"/>
      </w:pPr>
      <w:r w:rsidRPr="00BB5B74">
        <w:t>Doprava v klidu</w:t>
      </w:r>
    </w:p>
    <w:p w:rsidR="004E6386" w:rsidRPr="00BB5B74" w:rsidRDefault="004E6386" w:rsidP="004E6386">
      <w:pPr>
        <w:pStyle w:val="Vchozstyl"/>
        <w:spacing w:before="100" w:beforeAutospacing="1" w:after="100" w:afterAutospacing="1" w:line="276" w:lineRule="auto"/>
        <w:ind w:firstLine="709"/>
        <w:jc w:val="both"/>
        <w:rPr>
          <w:lang w:val="cs-CZ"/>
        </w:rPr>
      </w:pPr>
      <w:r w:rsidRPr="00BB5B74">
        <w:rPr>
          <w:lang w:val="cs-CZ"/>
        </w:rPr>
        <w:t>Na sídlišti Lužiny je v současné době nedostatek parkovacích míst, kdy večer již není možné zaparkovat. Osobní auta parkují podél všech ulic. Nedostatek parkovacích míst na Lužinách se zhoršil v důsledku celodenního parkovaní dojíždějících obyvatel ze Středočeského kraje a výstavby nových bytových domů (viz Prokopský vrch a navrhované výškové domy). Záměr přitom tuto situaci ještě zkomplikuje, neboť počítá pouze s 1,12 auty na byt. V současné době však průměrná pražská domácnost vlastní skoro dva automobily.</w:t>
      </w:r>
    </w:p>
    <w:p w:rsidR="004E6386" w:rsidRPr="00BB5B74" w:rsidRDefault="004E6386" w:rsidP="004E6386">
      <w:pPr>
        <w:pStyle w:val="Vchozstyl"/>
        <w:spacing w:before="100" w:beforeAutospacing="1" w:after="100" w:afterAutospacing="1" w:line="276" w:lineRule="auto"/>
        <w:ind w:firstLine="709"/>
        <w:jc w:val="both"/>
        <w:rPr>
          <w:lang w:val="cs-CZ"/>
        </w:rPr>
      </w:pPr>
      <w:r w:rsidRPr="00BB5B74">
        <w:rPr>
          <w:lang w:val="cs-CZ"/>
        </w:rPr>
        <w:t xml:space="preserve">Parkování podél ulic má přitom své bezprostřední následky, například na ulici Archeologické, která se stává nebezpečnou a pro chodce obtížně překročitelnou. Křižovatka ulic Archeologická a Zázvorkova, která se zároveň kříží s výjezdem z Píškovy ulice a s výjezdem z parkoviště na severní straně OC se stala natolik nepřehlednou a nebezpečnou, že je neúnosné ji ještě zatěžovat příjezdem do navrhované výškové budovy na východní straně OC. </w:t>
      </w:r>
    </w:p>
    <w:p w:rsidR="004E6386" w:rsidRPr="00220D5B" w:rsidRDefault="004E6386" w:rsidP="004E6386">
      <w:pPr>
        <w:pStyle w:val="Vchozstyl"/>
        <w:spacing w:before="100" w:beforeAutospacing="1" w:after="100" w:afterAutospacing="1" w:line="276" w:lineRule="auto"/>
        <w:ind w:firstLine="709"/>
        <w:jc w:val="both"/>
        <w:rPr>
          <w:highlight w:val="lightGray"/>
          <w:lang w:val="cs-CZ"/>
        </w:rPr>
      </w:pPr>
      <w:r w:rsidRPr="00BB5B74">
        <w:rPr>
          <w:lang w:val="cs-CZ"/>
        </w:rPr>
        <w:lastRenderedPageBreak/>
        <w:t xml:space="preserve">Dokumentace – B. Souhrnná zpráva na str. 66 uvádí: </w:t>
      </w:r>
      <w:r w:rsidRPr="00BB5B74">
        <w:rPr>
          <w:i/>
          <w:lang w:val="cs-CZ"/>
        </w:rPr>
        <w:t>„8 parkovacích stání bude umístěno na pozemku investora č. 2131/654 (Lužiny beta s.r.o.), který slouží jako parkoviště a je v docházkové vzdálenosti.“</w:t>
      </w:r>
      <w:r w:rsidRPr="00BB5B74">
        <w:rPr>
          <w:lang w:val="cs-CZ"/>
        </w:rPr>
        <w:t xml:space="preserve"> Žadatel je povinen nahradit 108 stání (98 za rušená parkovací stání pro OC a 10 za rušená stání na východě na parkovištích u Bety). </w:t>
      </w:r>
      <w:r w:rsidRPr="005B1959">
        <w:rPr>
          <w:highlight w:val="yellow"/>
          <w:lang w:val="cs-CZ"/>
        </w:rPr>
        <w:t xml:space="preserve">Žadatel navrhuje umístit část z nich přímo v umísťovaných budovách a zbylých 8 míst na uváděném pozemku. Tento pozemek však slouží jako veřejně přístupné parkoviště již nyní. Není tedy zřejmé, jak dojde k navýšení počtu parkovacích míst tak, aby byla nahrazena všechna požadovaná parkovací stání. Tvrdím proto, že </w:t>
      </w:r>
      <w:r>
        <w:rPr>
          <w:highlight w:val="yellow"/>
          <w:lang w:val="cs-CZ"/>
        </w:rPr>
        <w:t xml:space="preserve">žadatel nevytvoří potřebný počet parkovacích míst a </w:t>
      </w:r>
      <w:r w:rsidRPr="005B1959">
        <w:rPr>
          <w:highlight w:val="yellow"/>
          <w:lang w:val="cs-CZ"/>
        </w:rPr>
        <w:t>není dodržen požadavek na dopravu v klidu.</w:t>
      </w:r>
    </w:p>
    <w:p w:rsidR="004E6386" w:rsidRPr="005F7300" w:rsidRDefault="004E6386" w:rsidP="004E6386">
      <w:pPr>
        <w:pStyle w:val="Vchozstyl"/>
        <w:spacing w:before="100" w:beforeAutospacing="1" w:after="100" w:afterAutospacing="1" w:line="276" w:lineRule="auto"/>
        <w:ind w:firstLine="709"/>
        <w:jc w:val="both"/>
        <w:rPr>
          <w:highlight w:val="yellow"/>
          <w:lang w:val="cs-CZ"/>
        </w:rPr>
      </w:pPr>
      <w:r w:rsidRPr="005F7300">
        <w:rPr>
          <w:highlight w:val="yellow"/>
          <w:lang w:val="cs-CZ"/>
        </w:rPr>
        <w:t xml:space="preserve">V době stavebních prací (cca 3 roky) navíc bude zcela nemožné parkovat na přilehlém parkovišti, dokumentace upravuje parkování po dobu výstavby v příloze </w:t>
      </w:r>
      <w:commentRangeStart w:id="4"/>
      <w:r w:rsidRPr="005F7300">
        <w:rPr>
          <w:highlight w:val="yellow"/>
          <w:lang w:val="cs-CZ"/>
        </w:rPr>
        <w:t>č</w:t>
      </w:r>
      <w:commentRangeEnd w:id="4"/>
      <w:r>
        <w:rPr>
          <w:rStyle w:val="Odkaznakoment"/>
        </w:rPr>
        <w:commentReference w:id="4"/>
      </w:r>
      <w:r w:rsidRPr="005F7300">
        <w:rPr>
          <w:highlight w:val="yellow"/>
          <w:lang w:val="cs-CZ"/>
        </w:rPr>
        <w:t>. B.p.1.2 ZOV)</w:t>
      </w:r>
    </w:p>
    <w:p w:rsidR="004E6386" w:rsidRPr="00BB5B74" w:rsidRDefault="004E6386" w:rsidP="00BB5B74">
      <w:pPr>
        <w:pStyle w:val="Nadpis2"/>
        <w:numPr>
          <w:ilvl w:val="0"/>
          <w:numId w:val="2"/>
        </w:numPr>
        <w:spacing w:before="100" w:beforeAutospacing="1" w:after="100" w:afterAutospacing="1"/>
        <w:ind w:left="1066" w:hanging="357"/>
        <w:rPr>
          <w:lang w:eastAsia="ar-SA"/>
        </w:rPr>
      </w:pPr>
      <w:bookmarkStart w:id="5" w:name="_Toc364336594"/>
      <w:bookmarkStart w:id="6" w:name="_GoBack"/>
      <w:bookmarkEnd w:id="5"/>
      <w:r w:rsidRPr="00BB5B74">
        <w:t>Neaktuální závazná stanoviska a rozhodnutí</w:t>
      </w:r>
    </w:p>
    <w:bookmarkEnd w:id="6"/>
    <w:p w:rsidR="004E6386" w:rsidRPr="00BB5B74" w:rsidRDefault="004E6386" w:rsidP="004E6386">
      <w:pPr>
        <w:spacing w:before="100" w:beforeAutospacing="1" w:after="100" w:afterAutospacing="1"/>
        <w:ind w:firstLine="709"/>
        <w:jc w:val="both"/>
        <w:rPr>
          <w:rFonts w:ascii="Times New Roman" w:hAnsi="Times New Roman"/>
          <w:i/>
          <w:sz w:val="24"/>
          <w:szCs w:val="24"/>
        </w:rPr>
      </w:pPr>
      <w:r w:rsidRPr="00BB5B74">
        <w:rPr>
          <w:rFonts w:ascii="Times New Roman" w:hAnsi="Times New Roman"/>
          <w:sz w:val="24"/>
          <w:szCs w:val="24"/>
        </w:rPr>
        <w:t xml:space="preserve">Dle ustanovení § 86 odst. 2 stavebního zákona: </w:t>
      </w:r>
      <w:r w:rsidRPr="00BB5B74">
        <w:rPr>
          <w:rFonts w:ascii="Times New Roman" w:hAnsi="Times New Roman"/>
          <w:i/>
          <w:sz w:val="24"/>
          <w:szCs w:val="24"/>
        </w:rPr>
        <w:t>„K žádosti o vydání územního rozhodnutí žadatel připojí</w:t>
      </w:r>
    </w:p>
    <w:p w:rsidR="004E6386" w:rsidRPr="00BB5B74" w:rsidRDefault="004E6386" w:rsidP="004E6386">
      <w:pPr>
        <w:spacing w:after="0"/>
        <w:ind w:firstLine="709"/>
        <w:jc w:val="both"/>
        <w:rPr>
          <w:rFonts w:ascii="Times New Roman" w:hAnsi="Times New Roman"/>
          <w:i/>
          <w:sz w:val="24"/>
          <w:szCs w:val="24"/>
        </w:rPr>
      </w:pPr>
      <w:r w:rsidRPr="00BB5B74">
        <w:rPr>
          <w:rFonts w:ascii="Times New Roman" w:hAnsi="Times New Roman"/>
          <w:i/>
          <w:sz w:val="24"/>
          <w:szCs w:val="24"/>
        </w:rPr>
        <w:t>b) závazná stanoviska, popřípadě rozhodnutí dotčených orgánů nebo jiné doklady podle zvláštních právních předpisů, nevydává-li se koordinované závazné stanovisko podle § 4 odst. 7 nebo o závazné stanovisko vydávané správním orgánem, který je příslušný vydat územní rozhodnutí,</w:t>
      </w:r>
    </w:p>
    <w:p w:rsidR="004E6386" w:rsidRPr="00BB5B74" w:rsidRDefault="004E6386" w:rsidP="004E6386">
      <w:pPr>
        <w:spacing w:after="0"/>
        <w:ind w:firstLine="709"/>
        <w:jc w:val="both"/>
        <w:rPr>
          <w:rFonts w:ascii="Times New Roman" w:hAnsi="Times New Roman"/>
          <w:sz w:val="24"/>
          <w:szCs w:val="24"/>
        </w:rPr>
      </w:pPr>
      <w:r w:rsidRPr="00BB5B74">
        <w:rPr>
          <w:rFonts w:ascii="Times New Roman" w:hAnsi="Times New Roman"/>
          <w:i/>
          <w:sz w:val="24"/>
          <w:szCs w:val="24"/>
        </w:rPr>
        <w:t>c) stanoviska vlastníků veřejné dopravní a technické infrastruktury k možnosti a způsobu napojení nebo k podmínkám dotčených ochranných a bezpečnostních pásem,“</w:t>
      </w:r>
      <w:r w:rsidRPr="00BB5B74">
        <w:rPr>
          <w:rFonts w:ascii="Times New Roman" w:hAnsi="Times New Roman"/>
          <w:sz w:val="24"/>
          <w:szCs w:val="24"/>
        </w:rPr>
        <w:t>.</w:t>
      </w:r>
    </w:p>
    <w:p w:rsidR="004E6386" w:rsidRPr="00BB5B74" w:rsidRDefault="004E6386" w:rsidP="004E6386">
      <w:pPr>
        <w:pStyle w:val="go"/>
        <w:shd w:val="clear" w:color="auto" w:fill="FFFFFF"/>
        <w:ind w:firstLine="709"/>
        <w:jc w:val="both"/>
      </w:pPr>
      <w:r w:rsidRPr="00BB5B74">
        <w:t xml:space="preserve">Závazné stanovisko Úřadu městské části Praha 13, odboru stavebního jako vodoprávního úřadu ze dne 10. 10. 2017, č.j. P13-50391/2017 uvádí: </w:t>
      </w:r>
      <w:r w:rsidRPr="00BB5B74">
        <w:rPr>
          <w:i/>
        </w:rPr>
        <w:t>„Žadatelé předložili dokumentaci pro územní řízení (DUR), kterou vypracovali …. v červnu 2016.“</w:t>
      </w:r>
      <w:r w:rsidRPr="00BB5B74">
        <w:t xml:space="preserve"> Toto závazné stanovisko se tedy nevztahuje k aktuálně povolovanému záměru, který byl v roce 2017 změněn a byla k němu přepracována i projektová dokumentace (viz průvodní zpráva – aktualizace dle závěrů z projednání EIA: červen 2017). </w:t>
      </w:r>
    </w:p>
    <w:p w:rsidR="0087441A" w:rsidRPr="00BB5B74" w:rsidRDefault="0087441A" w:rsidP="004E6386">
      <w:pPr>
        <w:pStyle w:val="go"/>
        <w:shd w:val="clear" w:color="auto" w:fill="FFFFFF"/>
        <w:ind w:firstLine="709"/>
        <w:jc w:val="both"/>
      </w:pPr>
      <w:r w:rsidRPr="00BB5B74">
        <w:t xml:space="preserve">Stanovisko Úřadu městské části Praha 13, odboru stavebního ze dne 17. 8. 2016, č.j. P13-41847/2016 se obdobně vztahuje ke staré verzi záměru (viz </w:t>
      </w:r>
      <w:proofErr w:type="spellStart"/>
      <w:r w:rsidRPr="00BB5B74">
        <w:t>neakutální</w:t>
      </w:r>
      <w:proofErr w:type="spellEnd"/>
      <w:r w:rsidRPr="00BB5B74">
        <w:t xml:space="preserve"> popis stavby na první straně stanoviska).</w:t>
      </w:r>
    </w:p>
    <w:p w:rsidR="004E6386" w:rsidRPr="00BB5B74" w:rsidRDefault="004E6386" w:rsidP="004E6386">
      <w:pPr>
        <w:pStyle w:val="go"/>
        <w:shd w:val="clear" w:color="auto" w:fill="FFFFFF"/>
        <w:ind w:firstLine="709"/>
        <w:jc w:val="both"/>
      </w:pPr>
      <w:r w:rsidRPr="00BB5B74">
        <w:t xml:space="preserve">Koordinované závazné stanovisko Hasičského záchranného sboru hl. m. Prahy ze dne 4. 5. 2017, č.j. HSAA-4556-3/2017 sice obsahuje stručné odůvodnění, ale toto odůvodnění nesplňuje požadavky ustanovení § 68 odst. 3 správního řádu na řádné odůvodnění rozhodnutí a závazného stanoviska. Odůvodnění obsahuje bez dalšího pouze </w:t>
      </w:r>
      <w:r w:rsidR="00822ABF" w:rsidRPr="00BB5B74">
        <w:t xml:space="preserve">odkazy na zákonné požadavky a konstatování, že projektová dokumentace i projekt tyto požadavky splňují. </w:t>
      </w:r>
    </w:p>
    <w:p w:rsidR="00BB5B74" w:rsidRPr="00BB5B74" w:rsidRDefault="00BB5B74" w:rsidP="004E6386">
      <w:pPr>
        <w:pStyle w:val="go"/>
        <w:shd w:val="clear" w:color="auto" w:fill="FFFFFF"/>
        <w:ind w:firstLine="709"/>
        <w:jc w:val="both"/>
      </w:pPr>
      <w:r w:rsidRPr="00BB5B74">
        <w:t xml:space="preserve">Závazné stanovisko Ministerstva obrany ČR, sekce ekonomické a majetkové, odboru ochrany územích zájmů Praha ze dne 3. 5. 2017, č.j. 93873/2017-8201-OÚZ-PHA sice obsahuje stručné odůvodnění, ale toto odůvodnění nesplňuje požadavky ustanovení § 68 odst. 3 správního řádu na řádné odůvodnění rozhodnutí a závazného stanoviska. Odůvodnění </w:t>
      </w:r>
      <w:r w:rsidRPr="00BB5B74">
        <w:lastRenderedPageBreak/>
        <w:t>obsahuje bez dalšího pouze odkazy na zákonné požadavky a konstatování, že projekt tyto požadavky splňuje.</w:t>
      </w:r>
    </w:p>
    <w:p w:rsidR="00822ABF" w:rsidRPr="00BB5B74" w:rsidRDefault="00822ABF" w:rsidP="004E6386">
      <w:pPr>
        <w:pStyle w:val="go"/>
        <w:shd w:val="clear" w:color="auto" w:fill="FFFFFF"/>
        <w:ind w:firstLine="709"/>
        <w:jc w:val="both"/>
      </w:pPr>
      <w:r w:rsidRPr="00BB5B74">
        <w:t>Vyjádření Odboru územního rozvoje Magistrátu hl. m. Prahy ze dne 4. 5. 2017, č.j. MHMP 704962/2017 k souladu záměru s územním plánem je pouze nezávazným vyjádření. Soulad umísťované stavby s územně plánovací dokumentací je povinen posuzovat stavební úřad a nikoliv pořizovatel územního plánu.</w:t>
      </w:r>
    </w:p>
    <w:p w:rsidR="0087441A" w:rsidRPr="00BB5B74" w:rsidRDefault="0087441A" w:rsidP="004E6386">
      <w:pPr>
        <w:pStyle w:val="go"/>
        <w:shd w:val="clear" w:color="auto" w:fill="FFFFFF"/>
        <w:ind w:firstLine="709"/>
        <w:jc w:val="both"/>
      </w:pPr>
      <w:r w:rsidRPr="00BB5B74">
        <w:t xml:space="preserve">Vyjádření Institutu plánování a rozvoje, hl. m. Prahy ze dne 5. 8. 2016, č.j. 6736/16 </w:t>
      </w:r>
      <w:r w:rsidR="00BB5B74" w:rsidRPr="00BB5B74">
        <w:t>k souladu záměru s územním plánem je pouze nezávazným vyjádření. Soulad umísťované stavby s územně plánovací dokumentací je povinen posuzovat stavební úřad a nikoliv pořizovatel územního plánu.</w:t>
      </w:r>
    </w:p>
    <w:p w:rsidR="00AB5B7A" w:rsidRPr="00BB5B74" w:rsidRDefault="00AB5B7A" w:rsidP="00575EEA">
      <w:pPr>
        <w:pStyle w:val="Nadpis2"/>
        <w:numPr>
          <w:ilvl w:val="0"/>
          <w:numId w:val="2"/>
        </w:numPr>
        <w:spacing w:before="100" w:beforeAutospacing="1" w:after="100" w:afterAutospacing="1"/>
        <w:ind w:left="1066" w:hanging="357"/>
      </w:pPr>
      <w:r w:rsidRPr="00BB5B74">
        <w:t xml:space="preserve">Věcně </w:t>
      </w:r>
      <w:r w:rsidRPr="00BB5B74">
        <w:rPr>
          <w:bCs w:val="0"/>
        </w:rPr>
        <w:t>nesprávné</w:t>
      </w:r>
      <w:r w:rsidRPr="00BB5B74">
        <w:t xml:space="preserve"> posouzení zatížení území </w:t>
      </w:r>
    </w:p>
    <w:p w:rsidR="00240C87" w:rsidRPr="00BB5B74" w:rsidRDefault="00240C87" w:rsidP="00575EEA">
      <w:pPr>
        <w:spacing w:before="100" w:beforeAutospacing="1" w:after="100" w:afterAutospacing="1"/>
        <w:ind w:firstLine="709"/>
        <w:jc w:val="both"/>
        <w:rPr>
          <w:rFonts w:ascii="Times New Roman" w:hAnsi="Times New Roman" w:cs="Times New Roman"/>
          <w:sz w:val="24"/>
          <w:szCs w:val="24"/>
        </w:rPr>
      </w:pPr>
      <w:r w:rsidRPr="00BB5B74">
        <w:rPr>
          <w:rFonts w:ascii="Times New Roman" w:hAnsi="Times New Roman" w:cs="Times New Roman"/>
          <w:sz w:val="24"/>
          <w:szCs w:val="24"/>
        </w:rPr>
        <w:t>V lokalitě nesmí být překročeno únosné zatížení území a do nadlimitně zatíženého území nelze novou bytovou funkci bez dalších kompenzačních opatření vů</w:t>
      </w:r>
      <w:r w:rsidR="00FE37CE" w:rsidRPr="00BB5B74">
        <w:rPr>
          <w:rFonts w:ascii="Times New Roman" w:hAnsi="Times New Roman" w:cs="Times New Roman"/>
          <w:sz w:val="24"/>
          <w:szCs w:val="24"/>
        </w:rPr>
        <w:t>bec umisťovat. Stavební úřad má</w:t>
      </w:r>
      <w:r w:rsidRPr="00BB5B74">
        <w:rPr>
          <w:rFonts w:ascii="Times New Roman" w:hAnsi="Times New Roman" w:cs="Times New Roman"/>
          <w:sz w:val="24"/>
          <w:szCs w:val="24"/>
        </w:rPr>
        <w:t xml:space="preserve"> povinnost zabývat se otázkou dodržení či překročení nejvyšších přípustných hodnot znečištění ovzduší nebo hlukové zátěže a to s ohledem na stávající imisní a hlukové zatížení předmětné oblasti a nepochybné zvýšení zátěže z realizace záměru. Je obecně známou skutečností, že znečištěné ovzduší (zejména částicemi jemného polétavého prachu, na které se navazují další látky jako rakovinotvorný arsen a </w:t>
      </w:r>
      <w:proofErr w:type="spellStart"/>
      <w:r w:rsidRPr="00BB5B74">
        <w:rPr>
          <w:rFonts w:ascii="Times New Roman" w:hAnsi="Times New Roman" w:cs="Times New Roman"/>
          <w:sz w:val="24"/>
          <w:szCs w:val="24"/>
        </w:rPr>
        <w:t>benzo</w:t>
      </w:r>
      <w:proofErr w:type="spellEnd"/>
      <w:r w:rsidRPr="00BB5B74">
        <w:rPr>
          <w:rFonts w:ascii="Times New Roman" w:hAnsi="Times New Roman" w:cs="Times New Roman"/>
          <w:sz w:val="24"/>
          <w:szCs w:val="24"/>
        </w:rPr>
        <w:t>(a)pyren) a nadlimitní hluková zátěž mají významný negativní vliv na lidské zdraví.</w:t>
      </w:r>
    </w:p>
    <w:p w:rsidR="00240C87" w:rsidRPr="00BB5B74" w:rsidRDefault="00240C87" w:rsidP="00575EEA">
      <w:pPr>
        <w:spacing w:before="100" w:beforeAutospacing="1" w:after="100" w:afterAutospacing="1"/>
        <w:ind w:firstLine="709"/>
        <w:jc w:val="both"/>
        <w:rPr>
          <w:rFonts w:ascii="Times New Roman" w:hAnsi="Times New Roman" w:cs="Times New Roman"/>
          <w:sz w:val="24"/>
          <w:szCs w:val="24"/>
        </w:rPr>
      </w:pPr>
      <w:r w:rsidRPr="00BB5B74">
        <w:rPr>
          <w:rFonts w:ascii="Times New Roman" w:hAnsi="Times New Roman" w:cs="Times New Roman"/>
          <w:sz w:val="24"/>
          <w:szCs w:val="24"/>
        </w:rPr>
        <w:t xml:space="preserve">U nových záměrů je nutno zcela nekompromisně trvat na dodržení a nepřekračování imisních limitů a hlukové zátěže, případně dalšího působení na okolí nad míru stanovenou právními předpisy, a to v kontextu již existujícího pozadí antropogenního původu. V českém právním řádu není právní opora pro to, aby byl odsouhlasen, umístěn a povolen záměr, u něhož je již od počátku spolehlivě dokumentováno, že spolu s již existujícím antropogenním zátěžovým pozadím v lokalitě překročí závazné limity nebo jejich již existující překračování dále zvýší, a to byť minimálně. </w:t>
      </w:r>
    </w:p>
    <w:p w:rsidR="00240C87" w:rsidRPr="00BB5B74" w:rsidRDefault="00240C87" w:rsidP="00575EEA">
      <w:pPr>
        <w:spacing w:before="100" w:beforeAutospacing="1" w:after="100" w:afterAutospacing="1"/>
        <w:ind w:firstLine="709"/>
        <w:jc w:val="both"/>
        <w:rPr>
          <w:rFonts w:ascii="Times New Roman" w:hAnsi="Times New Roman" w:cs="Times New Roman"/>
          <w:sz w:val="24"/>
          <w:szCs w:val="24"/>
        </w:rPr>
      </w:pPr>
      <w:r w:rsidRPr="00BB5B74">
        <w:rPr>
          <w:rFonts w:ascii="Times New Roman" w:hAnsi="Times New Roman" w:cs="Times New Roman"/>
          <w:sz w:val="24"/>
          <w:szCs w:val="24"/>
        </w:rPr>
        <w:t>Veškeré navrhované zásahy v území musí být provázeny přesvědčivým důkazem toho, že jejich uskutečněním nedojde k překročení přípustné míry zatěžování a znečišťování prostředí, tedy k nadlimitní zátěži území. Pokud již objektivně v důsledku lidské činnosti existuje v daném území nadlimitní zátěž, tedy protiprávní stav, pak je nutno u navrhovaného zásahu přesvědčivě prokázat, že provedením záměru nedojde ani v minimální míře k přitížení nadlimitní zátěže nebo bude zajištěn pokles zátěže pod předepsané mezní hodnoty - limity. Bez takového důkazu je odsouhlasení, umístění nebo povolení záměru nezákonné, ba protiústavní a příslušné dotčené orgány i stavební úřady, jež mají hájit vymezené veřejné zájmy, závažným způsobem porušují zákon a jednají hrubě chybně (viz rozhodnutí Nejvyššího správního soudu č.j.:1As 135/2011 - 246 ze dne 30.1. 2012 a č.j. 9 As 28/2012 - 135 ze dne 1.2. 2013).</w:t>
      </w:r>
    </w:p>
    <w:p w:rsidR="00FE37CE" w:rsidRPr="00BB5B74" w:rsidRDefault="00EC6B19" w:rsidP="00FE37CE">
      <w:pPr>
        <w:spacing w:before="100" w:beforeAutospacing="1" w:after="100" w:afterAutospacing="1"/>
        <w:ind w:firstLine="709"/>
        <w:jc w:val="both"/>
        <w:rPr>
          <w:rFonts w:ascii="Times New Roman" w:hAnsi="Times New Roman" w:cs="Times New Roman"/>
          <w:i/>
          <w:sz w:val="24"/>
          <w:szCs w:val="24"/>
        </w:rPr>
      </w:pPr>
      <w:r w:rsidRPr="00BB5B74">
        <w:rPr>
          <w:rFonts w:ascii="Times New Roman" w:hAnsi="Times New Roman" w:cs="Times New Roman"/>
          <w:sz w:val="24"/>
          <w:szCs w:val="24"/>
        </w:rPr>
        <w:t xml:space="preserve">Stanovisko </w:t>
      </w:r>
      <w:r w:rsidR="00FE37CE" w:rsidRPr="00BB5B74">
        <w:rPr>
          <w:rFonts w:ascii="Times New Roman" w:hAnsi="Times New Roman" w:cs="Times New Roman"/>
          <w:sz w:val="24"/>
          <w:szCs w:val="24"/>
        </w:rPr>
        <w:t xml:space="preserve">EIA </w:t>
      </w:r>
      <w:r w:rsidRPr="00BB5B74">
        <w:rPr>
          <w:rFonts w:ascii="Times New Roman" w:hAnsi="Times New Roman" w:cs="Times New Roman"/>
          <w:sz w:val="24"/>
          <w:szCs w:val="24"/>
        </w:rPr>
        <w:t xml:space="preserve">na str. 13 uvádí: </w:t>
      </w:r>
      <w:r w:rsidRPr="00BB5B74">
        <w:rPr>
          <w:rFonts w:ascii="Times New Roman" w:hAnsi="Times New Roman" w:cs="Times New Roman"/>
          <w:i/>
          <w:sz w:val="24"/>
          <w:szCs w:val="24"/>
        </w:rPr>
        <w:t xml:space="preserve">„Imisní limit pro roční průměrné koncentrace </w:t>
      </w:r>
      <w:proofErr w:type="spellStart"/>
      <w:r w:rsidRPr="00BB5B74">
        <w:rPr>
          <w:rFonts w:ascii="Times New Roman" w:hAnsi="Times New Roman" w:cs="Times New Roman"/>
          <w:i/>
          <w:sz w:val="24"/>
          <w:szCs w:val="24"/>
        </w:rPr>
        <w:t>benzo</w:t>
      </w:r>
      <w:proofErr w:type="spellEnd"/>
      <w:r w:rsidRPr="00BB5B74">
        <w:rPr>
          <w:rFonts w:ascii="Times New Roman" w:hAnsi="Times New Roman" w:cs="Times New Roman"/>
          <w:i/>
          <w:sz w:val="24"/>
          <w:szCs w:val="24"/>
        </w:rPr>
        <w:t xml:space="preserve">(a)pyrenu v suspendovaných částicích frakce PM10, k jehož imisní situaci se podle </w:t>
      </w:r>
      <w:r w:rsidRPr="00BB5B74">
        <w:rPr>
          <w:rFonts w:ascii="Times New Roman" w:hAnsi="Times New Roman" w:cs="Times New Roman"/>
          <w:i/>
          <w:sz w:val="24"/>
          <w:szCs w:val="24"/>
        </w:rPr>
        <w:lastRenderedPageBreak/>
        <w:t>zákona č. 201/2012 Sb., o ochraně ovzduší, pouze přihlíží, je podle výše uvedených hodnot v průměru z let  2010–2014 v lokalitě překročen až o 43 %.“</w:t>
      </w:r>
      <w:r w:rsidR="00FE37CE" w:rsidRPr="00BB5B74">
        <w:rPr>
          <w:rFonts w:ascii="Times New Roman" w:hAnsi="Times New Roman" w:cs="Times New Roman"/>
          <w:i/>
          <w:sz w:val="24"/>
          <w:szCs w:val="24"/>
        </w:rPr>
        <w:t xml:space="preserve"> </w:t>
      </w:r>
      <w:r w:rsidR="00FE37CE" w:rsidRPr="00BB5B74">
        <w:rPr>
          <w:rFonts w:ascii="Times New Roman" w:eastAsia="Times New Roman" w:hAnsi="Times New Roman" w:cs="Times New Roman"/>
          <w:color w:val="00000A"/>
          <w:sz w:val="24"/>
          <w:szCs w:val="24"/>
          <w:lang w:bidi="fa-IR"/>
        </w:rPr>
        <w:t xml:space="preserve">V místě umísťované stavby je tedy překračován zákonný limit pro koncentraci </w:t>
      </w:r>
      <w:proofErr w:type="spellStart"/>
      <w:r w:rsidR="00FE37CE" w:rsidRPr="00BB5B74">
        <w:rPr>
          <w:rFonts w:ascii="Times New Roman" w:eastAsia="Times New Roman" w:hAnsi="Times New Roman" w:cs="Times New Roman"/>
          <w:color w:val="00000A"/>
          <w:sz w:val="24"/>
          <w:szCs w:val="24"/>
          <w:lang w:bidi="fa-IR"/>
        </w:rPr>
        <w:t>benzo</w:t>
      </w:r>
      <w:proofErr w:type="spellEnd"/>
      <w:r w:rsidR="00FE37CE" w:rsidRPr="00BB5B74">
        <w:rPr>
          <w:rFonts w:ascii="Times New Roman" w:eastAsia="Times New Roman" w:hAnsi="Times New Roman" w:cs="Times New Roman"/>
          <w:color w:val="00000A"/>
          <w:sz w:val="24"/>
          <w:szCs w:val="24"/>
          <w:lang w:bidi="fa-IR"/>
        </w:rPr>
        <w:t xml:space="preserve">[a]pyrenu, tato koncentrace je dále zvýšená v zimním období (zhruba Říjen až Březen). Tvrdím však, že zdrojem tohoto znečištění je především automobilová doprava, která bude realizací záměru dále intenzivnější. I podle ČHMÚ je </w:t>
      </w:r>
      <w:r w:rsidR="00FE37CE" w:rsidRPr="00BB5B74">
        <w:rPr>
          <w:rFonts w:ascii="Times New Roman" w:eastAsia="Times New Roman" w:hAnsi="Times New Roman" w:cs="Times New Roman"/>
          <w:i/>
          <w:color w:val="00000A"/>
          <w:sz w:val="24"/>
          <w:szCs w:val="24"/>
          <w:lang w:bidi="fa-IR"/>
        </w:rPr>
        <w:t>“významným zdrojem emisí PAH je i doprava, u které v zimním období dochází navíc k navýšení emisí PAH v důsledku studených startů. Dále jsou zvýšené koncentrace způsobeny zhoršenými rozptylovými podmínkami v zimním období, jednodušší konverzí plyn-částice při nízkých teplotách a nižším fotochemickým rozkladem PAH.”</w:t>
      </w:r>
      <w:r w:rsidR="00FE37CE" w:rsidRPr="00BB5B74">
        <w:rPr>
          <w:rFonts w:ascii="Times New Roman" w:eastAsia="Times New Roman" w:hAnsi="Times New Roman" w:cs="Times New Roman"/>
          <w:color w:val="00000A"/>
          <w:sz w:val="24"/>
          <w:szCs w:val="24"/>
          <w:lang w:bidi="fa-IR"/>
        </w:rPr>
        <w:t xml:space="preserve"> (viz též  </w:t>
      </w:r>
      <w:hyperlink r:id="rId14" w:history="1">
        <w:r w:rsidR="00FE37CE" w:rsidRPr="00BB5B74">
          <w:rPr>
            <w:rFonts w:ascii="Times New Roman" w:eastAsia="Times New Roman" w:hAnsi="Times New Roman" w:cs="Times New Roman"/>
            <w:color w:val="00000A"/>
            <w:sz w:val="24"/>
            <w:szCs w:val="24"/>
            <w:lang w:bidi="fa-IR"/>
          </w:rPr>
          <w:t>http://portal.chmi.cz/files/portal/docs/uoco/isko/grafroc/15groc/gr15cz/IV2_BaP_CZ.html</w:t>
        </w:r>
      </w:hyperlink>
      <w:r w:rsidR="00FE37CE" w:rsidRPr="00BB5B74">
        <w:rPr>
          <w:rFonts w:ascii="Times New Roman" w:eastAsia="Times New Roman" w:hAnsi="Times New Roman" w:cs="Times New Roman"/>
          <w:color w:val="00000A"/>
          <w:sz w:val="24"/>
          <w:szCs w:val="24"/>
          <w:lang w:bidi="fa-IR"/>
        </w:rPr>
        <w:t>).</w:t>
      </w:r>
    </w:p>
    <w:p w:rsidR="00FE37CE" w:rsidRPr="00BB5B74" w:rsidRDefault="00FE37CE" w:rsidP="00FE37CE">
      <w:pPr>
        <w:pStyle w:val="Vchozstyl"/>
        <w:spacing w:before="100" w:beforeAutospacing="1" w:after="100" w:afterAutospacing="1" w:line="276" w:lineRule="auto"/>
        <w:ind w:firstLine="720"/>
        <w:jc w:val="both"/>
        <w:rPr>
          <w:rFonts w:eastAsia="Times New Roman"/>
          <w:lang w:val="cs-CZ" w:eastAsia="cs-CZ"/>
        </w:rPr>
      </w:pPr>
      <w:r w:rsidRPr="00BB5B74">
        <w:rPr>
          <w:rFonts w:eastAsia="Times New Roman"/>
          <w:lang w:val="cs-CZ" w:eastAsia="cs-CZ"/>
        </w:rPr>
        <w:t xml:space="preserve">Uvedené zimní zvýšení koncentrací je v důsledku opadávání listí stromů a sníženého Slunečního svitu na ostatní zeleň. Je všeobecně známo, že listnaté stromy v zimním období nemají listy, tedy nemohou plnit svoji kompenzační funkci. Je také všeobecně známo, že biologickou podstatou fungování rostlin je fotosyntéza a že Sluneční svit se v průběhu roku výrazně liší. V Praze je to zhruba v poměru 1:4 (viz např. </w:t>
      </w:r>
      <w:hyperlink r:id="rId15">
        <w:r w:rsidRPr="00BB5B74">
          <w:rPr>
            <w:rFonts w:eastAsia="Times New Roman"/>
            <w:lang w:val="cs-CZ" w:eastAsia="cs-CZ"/>
          </w:rPr>
          <w:t>http://www.tzb-info.cz/tabulky-a-vypocty/99-prumerne-mesicni-doby-slunecniho-svitu-ve-vybranych-lokalitach-cr</w:t>
        </w:r>
      </w:hyperlink>
      <w:r w:rsidRPr="00BB5B74">
        <w:rPr>
          <w:rFonts w:eastAsia="Times New Roman"/>
          <w:lang w:val="cs-CZ" w:eastAsia="cs-CZ"/>
        </w:rPr>
        <w:t xml:space="preserve"> ). </w:t>
      </w:r>
    </w:p>
    <w:p w:rsidR="000324A3" w:rsidRPr="00BB5B74" w:rsidRDefault="000324A3" w:rsidP="000324A3">
      <w:pPr>
        <w:pStyle w:val="Vchozstyl"/>
        <w:spacing w:before="100" w:beforeAutospacing="1" w:after="100" w:afterAutospacing="1" w:line="276" w:lineRule="auto"/>
        <w:ind w:firstLine="720"/>
        <w:jc w:val="both"/>
        <w:rPr>
          <w:rFonts w:eastAsia="Times New Roman"/>
          <w:lang w:val="cs-CZ" w:eastAsia="cs-CZ"/>
        </w:rPr>
      </w:pPr>
      <w:r w:rsidRPr="00BB5B74">
        <w:rPr>
          <w:rFonts w:eastAsia="Times New Roman"/>
          <w:lang w:val="cs-CZ" w:eastAsia="cs-CZ"/>
        </w:rPr>
        <w:t xml:space="preserve">Dokumentace také nezohledňuje vlivy vytápění záměru. Zdrojem tepla i TUV bude výměníková stanice, napojená na teplovodní systém CZT Pražské teplárenské a.s. Na Prahu 13 žádný teplovod dosud nevede. Záměr tedy bude muset být vytápěn místní již existující kotelnou, což způsobí její vyšší celkový výkon a tím i emise do ovzduší (především </w:t>
      </w:r>
      <w:proofErr w:type="spellStart"/>
      <w:r w:rsidRPr="00BB5B74">
        <w:rPr>
          <w:rFonts w:eastAsia="Times New Roman"/>
          <w:lang w:val="cs-CZ" w:eastAsia="cs-CZ"/>
        </w:rPr>
        <w:t>benzo</w:t>
      </w:r>
      <w:proofErr w:type="spellEnd"/>
      <w:r w:rsidRPr="00BB5B74">
        <w:rPr>
          <w:rFonts w:eastAsia="Times New Roman"/>
          <w:lang w:val="cs-CZ" w:eastAsia="cs-CZ"/>
        </w:rPr>
        <w:t xml:space="preserve">(a)pyrenu). Vlivy tohoto vytápění nebyly řádně posouzeny. </w:t>
      </w:r>
    </w:p>
    <w:p w:rsidR="00745365" w:rsidRPr="00BB5B74" w:rsidRDefault="00134B55" w:rsidP="00575EEA">
      <w:pPr>
        <w:spacing w:before="100" w:beforeAutospacing="1" w:after="100" w:afterAutospacing="1"/>
        <w:ind w:firstLine="709"/>
        <w:jc w:val="both"/>
        <w:rPr>
          <w:rFonts w:ascii="Times New Roman" w:hAnsi="Times New Roman" w:cs="Times New Roman"/>
          <w:sz w:val="24"/>
          <w:szCs w:val="24"/>
        </w:rPr>
      </w:pPr>
      <w:r w:rsidRPr="00BB5B74">
        <w:rPr>
          <w:rFonts w:ascii="Times New Roman" w:hAnsi="Times New Roman" w:cs="Times New Roman"/>
          <w:sz w:val="24"/>
          <w:szCs w:val="24"/>
        </w:rPr>
        <w:t xml:space="preserve">Dle přílohy č. 1 k zákonu č. 201/2012 Sb. je pro Částice PM10 povoleno nejvýše 35 překročení limitu ročně. Zpracovatel posudku "MODELOVÉ HODNOCENÍ KVALITY OVZDUŠÍ" použil data za období 2010-2014. V nich se naměřené hodnoty pro 36. denní průměr pohybovaly v průměru na 96% limitu. Tato hodnota je natolik blízko limitu, že z důvodu vzdálenosti mezi měřící stanicí a </w:t>
      </w:r>
      <w:r w:rsidR="0004107F" w:rsidRPr="00BB5B74">
        <w:rPr>
          <w:rFonts w:ascii="Times New Roman" w:hAnsi="Times New Roman" w:cs="Times New Roman"/>
          <w:sz w:val="24"/>
          <w:szCs w:val="24"/>
        </w:rPr>
        <w:t>lokalitou záměru nelze potvrdit,</w:t>
      </w:r>
      <w:r w:rsidRPr="00BB5B74">
        <w:rPr>
          <w:rFonts w:ascii="Times New Roman" w:hAnsi="Times New Roman" w:cs="Times New Roman"/>
          <w:sz w:val="24"/>
          <w:szCs w:val="24"/>
        </w:rPr>
        <w:t xml:space="preserve"> že za období 2010-2014 nedošlo k překročení státem stanoveného limitu v bezprostředním okolí OC Lužiny, ani ve výpočetní oblasti zvolené v rozptylové studii</w:t>
      </w:r>
      <w:r w:rsidR="000B3E1A" w:rsidRPr="00BB5B74">
        <w:rPr>
          <w:rFonts w:ascii="Times New Roman" w:hAnsi="Times New Roman" w:cs="Times New Roman"/>
          <w:sz w:val="24"/>
          <w:szCs w:val="24"/>
        </w:rPr>
        <w:t xml:space="preserve"> </w:t>
      </w:r>
      <w:r w:rsidR="0004107F" w:rsidRPr="00BB5B74">
        <w:rPr>
          <w:rFonts w:ascii="Times New Roman" w:hAnsi="Times New Roman" w:cs="Times New Roman"/>
          <w:sz w:val="24"/>
          <w:szCs w:val="24"/>
        </w:rPr>
        <w:t>nebo</w:t>
      </w:r>
      <w:r w:rsidRPr="00BB5B74">
        <w:rPr>
          <w:rFonts w:ascii="Times New Roman" w:hAnsi="Times New Roman" w:cs="Times New Roman"/>
          <w:sz w:val="24"/>
          <w:szCs w:val="24"/>
        </w:rPr>
        <w:t xml:space="preserve"> zda se bude hladina PM10 v roce 2016, či 2020 bez realizace záměru pohybovat pod imisním limitem, na jeho hranici, či nad limitem. Dle tabulky 6. rozptylové studie dojde ke změně emisí znečišťujících látek z automobilové dopravy vyvolané zprovozněním záměru v případě PM10 o +7,3 kg/rok, což je více než 7,5%. Dalších +7,1 kg/rok je pak nutno připočíst v důsledku znečištění z garáží. Rozptylová studie nebere v úvahu další navýšení emisí v důsledku snížení plynulosti dopravy. </w:t>
      </w:r>
    </w:p>
    <w:p w:rsidR="00240C87" w:rsidRPr="00BB5B74" w:rsidRDefault="00134B55" w:rsidP="00575EEA">
      <w:pPr>
        <w:spacing w:before="100" w:beforeAutospacing="1" w:after="100" w:afterAutospacing="1"/>
        <w:ind w:firstLine="709"/>
        <w:jc w:val="both"/>
        <w:rPr>
          <w:rFonts w:ascii="Times New Roman" w:hAnsi="Times New Roman" w:cs="Times New Roman"/>
          <w:sz w:val="24"/>
          <w:szCs w:val="24"/>
        </w:rPr>
      </w:pPr>
      <w:r w:rsidRPr="00BB5B74">
        <w:rPr>
          <w:rFonts w:ascii="Times New Roman" w:hAnsi="Times New Roman" w:cs="Times New Roman"/>
          <w:sz w:val="24"/>
          <w:szCs w:val="24"/>
        </w:rPr>
        <w:t xml:space="preserve">Podle dokumentu "MODELOVÉ HODNOCENÍ KVALITY OVZDUŠÍ" je v některých místech odhadovaný příspěvek až 1.15 </w:t>
      </w:r>
      <w:proofErr w:type="spellStart"/>
      <w:r w:rsidRPr="00BB5B74">
        <w:rPr>
          <w:rFonts w:ascii="Times New Roman" w:hAnsi="Times New Roman" w:cs="Times New Roman"/>
          <w:sz w:val="24"/>
          <w:szCs w:val="24"/>
        </w:rPr>
        <w:t>μg</w:t>
      </w:r>
      <w:proofErr w:type="spellEnd"/>
      <w:r w:rsidRPr="00BB5B74">
        <w:rPr>
          <w:rFonts w:ascii="Times New Roman" w:hAnsi="Times New Roman" w:cs="Times New Roman"/>
          <w:sz w:val="24"/>
          <w:szCs w:val="24"/>
        </w:rPr>
        <w:t>/m3. Již tento příspěvek imisím může sám o sobě posunout hladinu 36. nejvyšší naměřené hodnoty přes limit. V případě, že rozptylová studie podceňuje</w:t>
      </w:r>
      <w:r w:rsidR="0004107F" w:rsidRPr="00BB5B74">
        <w:rPr>
          <w:rFonts w:ascii="Times New Roman" w:hAnsi="Times New Roman" w:cs="Times New Roman"/>
          <w:sz w:val="24"/>
          <w:szCs w:val="24"/>
        </w:rPr>
        <w:t>,</w:t>
      </w:r>
      <w:r w:rsidRPr="00BB5B74">
        <w:rPr>
          <w:rFonts w:ascii="Times New Roman" w:hAnsi="Times New Roman" w:cs="Times New Roman"/>
          <w:sz w:val="24"/>
          <w:szCs w:val="24"/>
        </w:rPr>
        <w:t xml:space="preserve"> ať už původní hladinu znečištění nebo příspěvek z dodatečně vyvolané dopravy, je velmi pravděpodobné, že v letech po zprovoznění záměru bude docházet k překročení limitních hodnot</w:t>
      </w:r>
      <w:r w:rsidR="00745365" w:rsidRPr="00BB5B74">
        <w:rPr>
          <w:rFonts w:ascii="Times New Roman" w:hAnsi="Times New Roman" w:cs="Times New Roman"/>
          <w:sz w:val="24"/>
          <w:szCs w:val="24"/>
        </w:rPr>
        <w:t>,</w:t>
      </w:r>
      <w:r w:rsidRPr="00BB5B74">
        <w:rPr>
          <w:rFonts w:ascii="Times New Roman" w:hAnsi="Times New Roman" w:cs="Times New Roman"/>
          <w:sz w:val="24"/>
          <w:szCs w:val="24"/>
        </w:rPr>
        <w:t xml:space="preserve"> a to také z důvodu dodatečných imisí způsobených záměrem. </w:t>
      </w:r>
    </w:p>
    <w:p w:rsidR="00510473" w:rsidRPr="00BB5B74" w:rsidRDefault="00510473" w:rsidP="00575EEA">
      <w:pPr>
        <w:spacing w:before="100" w:beforeAutospacing="1" w:after="100" w:afterAutospacing="1"/>
        <w:ind w:firstLine="709"/>
        <w:jc w:val="both"/>
        <w:rPr>
          <w:rFonts w:ascii="Times New Roman" w:hAnsi="Times New Roman" w:cs="Times New Roman"/>
          <w:sz w:val="24"/>
          <w:szCs w:val="24"/>
        </w:rPr>
      </w:pPr>
      <w:r w:rsidRPr="00BB5B74">
        <w:rPr>
          <w:rFonts w:ascii="Times New Roman" w:hAnsi="Times New Roman" w:cs="Times New Roman"/>
          <w:sz w:val="24"/>
          <w:szCs w:val="24"/>
        </w:rPr>
        <w:lastRenderedPageBreak/>
        <w:t>Stanovisko</w:t>
      </w:r>
      <w:r w:rsidR="00FE37CE" w:rsidRPr="00BB5B74">
        <w:rPr>
          <w:rFonts w:ascii="Times New Roman" w:hAnsi="Times New Roman" w:cs="Times New Roman"/>
          <w:sz w:val="24"/>
          <w:szCs w:val="24"/>
        </w:rPr>
        <w:t xml:space="preserve"> EIA dále</w:t>
      </w:r>
      <w:r w:rsidRPr="00BB5B74">
        <w:rPr>
          <w:rFonts w:ascii="Times New Roman" w:hAnsi="Times New Roman" w:cs="Times New Roman"/>
          <w:sz w:val="24"/>
          <w:szCs w:val="24"/>
        </w:rPr>
        <w:t xml:space="preserve"> uvádí: </w:t>
      </w:r>
      <w:r w:rsidRPr="00BB5B74">
        <w:rPr>
          <w:rFonts w:ascii="Times New Roman" w:hAnsi="Times New Roman" w:cs="Times New Roman"/>
          <w:i/>
          <w:sz w:val="24"/>
          <w:szCs w:val="24"/>
        </w:rPr>
        <w:t xml:space="preserve">„Vypočtené hodnoty hluku </w:t>
      </w:r>
      <w:r w:rsidR="0004107F" w:rsidRPr="00BB5B74">
        <w:rPr>
          <w:rFonts w:ascii="Times New Roman" w:hAnsi="Times New Roman" w:cs="Times New Roman"/>
          <w:i/>
          <w:sz w:val="24"/>
          <w:szCs w:val="24"/>
        </w:rPr>
        <w:t>(počáteční akustická situace) z provozu silniční dopravy</w:t>
      </w:r>
      <w:r w:rsidRPr="00BB5B74">
        <w:rPr>
          <w:rFonts w:ascii="Times New Roman" w:hAnsi="Times New Roman" w:cs="Times New Roman"/>
          <w:i/>
          <w:sz w:val="24"/>
          <w:szCs w:val="24"/>
        </w:rPr>
        <w:t xml:space="preserve"> na komunikacích III. třídy a účelových komunikacích v zájmovém území záměru a v jeho okolí se pohybují v denní době v rozmezí od LAeq,16h = 40,8 dB  do LAeq,16h = 56,5 dB  a  v noční době  od LAeq,8h = 31,3 dB do LAeq,8h = 46,9 dB. Ve všech ko</w:t>
      </w:r>
      <w:r w:rsidR="0004107F" w:rsidRPr="00BB5B74">
        <w:rPr>
          <w:rFonts w:ascii="Times New Roman" w:hAnsi="Times New Roman" w:cs="Times New Roman"/>
          <w:i/>
          <w:sz w:val="24"/>
          <w:szCs w:val="24"/>
        </w:rPr>
        <w:t>ntrolních výpočtových bodech je</w:t>
      </w:r>
      <w:r w:rsidR="00FE37CE" w:rsidRPr="00BB5B74">
        <w:rPr>
          <w:rFonts w:ascii="Times New Roman" w:hAnsi="Times New Roman" w:cs="Times New Roman"/>
          <w:i/>
          <w:sz w:val="24"/>
          <w:szCs w:val="24"/>
        </w:rPr>
        <w:t xml:space="preserve"> splněn</w:t>
      </w:r>
      <w:r w:rsidRPr="00BB5B74">
        <w:rPr>
          <w:rFonts w:ascii="Times New Roman" w:hAnsi="Times New Roman" w:cs="Times New Roman"/>
          <w:i/>
          <w:sz w:val="24"/>
          <w:szCs w:val="24"/>
        </w:rPr>
        <w:t xml:space="preserve"> hygienický limit s korekcí na starou hlukovou zátěž. Ve výpočtových bodech M2, V07 a V18 je překročen hygienický limit 55/45 dB</w:t>
      </w:r>
      <w:r w:rsidR="00FE37CE" w:rsidRPr="00BB5B74">
        <w:rPr>
          <w:rFonts w:ascii="Times New Roman" w:hAnsi="Times New Roman" w:cs="Times New Roman"/>
          <w:i/>
          <w:sz w:val="24"/>
          <w:szCs w:val="24"/>
        </w:rPr>
        <w:t xml:space="preserve"> (den/noc) pro hluk</w:t>
      </w:r>
      <w:r w:rsidR="0004107F" w:rsidRPr="00BB5B74">
        <w:rPr>
          <w:rFonts w:ascii="Times New Roman" w:hAnsi="Times New Roman" w:cs="Times New Roman"/>
          <w:i/>
          <w:sz w:val="24"/>
          <w:szCs w:val="24"/>
        </w:rPr>
        <w:t xml:space="preserve"> z provozu </w:t>
      </w:r>
      <w:r w:rsidRPr="00BB5B74">
        <w:rPr>
          <w:rFonts w:ascii="Times New Roman" w:hAnsi="Times New Roman" w:cs="Times New Roman"/>
          <w:i/>
          <w:sz w:val="24"/>
          <w:szCs w:val="24"/>
        </w:rPr>
        <w:t>dopravy na  komunikacích  III. třídy  a  účelových komunikacích.“</w:t>
      </w:r>
      <w:r w:rsidRPr="00BB5B74">
        <w:rPr>
          <w:rFonts w:ascii="Times New Roman" w:hAnsi="Times New Roman" w:cs="Times New Roman"/>
          <w:sz w:val="24"/>
          <w:szCs w:val="24"/>
        </w:rPr>
        <w:t xml:space="preserve"> Stanovisko tak sice započítává korektiv pro starou hlukovou zátěž, ale blíže nezdůvodňuje splnění podmínek pro jeho použití dle ustanovení § 12 odst. 3-5 nařízení vlády č. 272/2011 Sb.</w:t>
      </w:r>
      <w:r w:rsidR="00FE37CE" w:rsidRPr="00BB5B74">
        <w:rPr>
          <w:rFonts w:ascii="Times New Roman" w:hAnsi="Times New Roman" w:cs="Times New Roman"/>
          <w:sz w:val="24"/>
          <w:szCs w:val="24"/>
        </w:rPr>
        <w:t xml:space="preserve"> Definice staré hlukové zátěže totiž vychází z předpokladu, že tento institut může být použit pro stanovení (vyššího) hlukového limitu pro hluk z dopravy, resp. z provozu na pozemních komunikacích, pouze v takovém případě, kdy bylo jednoznačně prokazatelné, že takovýto hluk v určitém území existoval ke dni 1. 1. 2001 (resp. vznikl do 31. 12. 2000). Tvrdím, že tato skutečnost musí být prokázána v souladu se zásadou „materiální pravdy.“ Konkrétně se uplatní ustanovení § 3 platného správního řádu, podle něhož je správní orgán povinen postupovat </w:t>
      </w:r>
      <w:r w:rsidR="00FE37CE" w:rsidRPr="00BB5B74">
        <w:rPr>
          <w:rFonts w:ascii="Times New Roman" w:hAnsi="Times New Roman" w:cs="Times New Roman"/>
          <w:i/>
          <w:sz w:val="24"/>
          <w:szCs w:val="24"/>
        </w:rPr>
        <w:t>„tak, aby byl zjištěn stav věci, o němž nejsou důvodné pochybnosti, a to v rozsahu, který je nezbytný pro soulad jeho úkonu s požadavky uvedenými v § 2.“</w:t>
      </w:r>
      <w:r w:rsidR="00FE37CE" w:rsidRPr="00BB5B74">
        <w:rPr>
          <w:rFonts w:ascii="Times New Roman" w:hAnsi="Times New Roman" w:cs="Times New Roman"/>
          <w:sz w:val="24"/>
          <w:szCs w:val="24"/>
        </w:rPr>
        <w:t xml:space="preserve">, tedy zejména pro soulad rozhodnutí s právními předpisy, s požadavkem souladu přijatého řešení s veřejným zájmem a s ochranou práv a oprávněných zájmů dotčených osob. Takovýmto důkazem, který by vyhovoval výše citovaným požadavkům, by přitom mohlo být výhradně akustické měření, provedené oprávněnou (akreditovanou) osobou či institucí. </w:t>
      </w:r>
    </w:p>
    <w:p w:rsidR="000324A3" w:rsidRPr="00BB5B74" w:rsidRDefault="000324A3" w:rsidP="00575EEA">
      <w:pPr>
        <w:spacing w:before="100" w:beforeAutospacing="1" w:after="100" w:afterAutospacing="1"/>
        <w:ind w:firstLine="709"/>
        <w:jc w:val="both"/>
        <w:rPr>
          <w:rFonts w:ascii="Times New Roman" w:hAnsi="Times New Roman" w:cs="Times New Roman"/>
          <w:sz w:val="24"/>
          <w:szCs w:val="24"/>
        </w:rPr>
      </w:pPr>
      <w:r w:rsidRPr="00BB5B74">
        <w:rPr>
          <w:rFonts w:ascii="Times New Roman" w:hAnsi="Times New Roman" w:cs="Times New Roman"/>
          <w:sz w:val="24"/>
          <w:szCs w:val="24"/>
        </w:rPr>
        <w:t>Hluková studie nezohledňuje ani klimatizace, které budou velmi pravděpodobně dodatečně nainstalovány alespoň části majitelů nových bytů a povedou k dalšímu navýšení hlukové zátěže v dotčené lokalitě.</w:t>
      </w:r>
    </w:p>
    <w:p w:rsidR="004553C0" w:rsidRPr="00BB5B74" w:rsidRDefault="0004107F" w:rsidP="00575EEA">
      <w:pPr>
        <w:spacing w:before="100" w:beforeAutospacing="1" w:after="100" w:afterAutospacing="1"/>
        <w:ind w:firstLine="709"/>
        <w:jc w:val="both"/>
        <w:rPr>
          <w:rFonts w:ascii="Times New Roman" w:hAnsi="Times New Roman" w:cs="Times New Roman"/>
          <w:sz w:val="24"/>
          <w:szCs w:val="24"/>
        </w:rPr>
      </w:pPr>
      <w:r w:rsidRPr="00BB5B74">
        <w:rPr>
          <w:rFonts w:ascii="Times New Roman" w:hAnsi="Times New Roman" w:cs="Times New Roman"/>
          <w:sz w:val="24"/>
          <w:szCs w:val="24"/>
        </w:rPr>
        <w:t>Navíc j</w:t>
      </w:r>
      <w:r w:rsidR="004553C0" w:rsidRPr="00BB5B74">
        <w:rPr>
          <w:rFonts w:ascii="Times New Roman" w:hAnsi="Times New Roman" w:cs="Times New Roman"/>
          <w:sz w:val="24"/>
          <w:szCs w:val="24"/>
        </w:rPr>
        <w:t>e třeba odhlédnout od prostých hygienických limitů a brát v potaz negativní vliv zejména nárazových zvuků stavební mechanizace ve spojitosti se skutečností, že</w:t>
      </w:r>
      <w:r w:rsidR="00EC6B19" w:rsidRPr="00BB5B74">
        <w:rPr>
          <w:rFonts w:ascii="Times New Roman" w:hAnsi="Times New Roman" w:cs="Times New Roman"/>
          <w:sz w:val="24"/>
          <w:szCs w:val="24"/>
        </w:rPr>
        <w:t xml:space="preserve"> v bezprostřední blízkosti stavby se nachází mateřské a základní školy.</w:t>
      </w:r>
    </w:p>
    <w:p w:rsidR="000324A3" w:rsidRPr="00BB5B74" w:rsidRDefault="000324A3" w:rsidP="00575EEA">
      <w:pPr>
        <w:spacing w:before="100" w:beforeAutospacing="1" w:after="100" w:afterAutospacing="1"/>
        <w:ind w:firstLine="709"/>
        <w:jc w:val="both"/>
        <w:rPr>
          <w:rFonts w:ascii="Times New Roman" w:hAnsi="Times New Roman" w:cs="Times New Roman"/>
          <w:sz w:val="24"/>
          <w:szCs w:val="24"/>
        </w:rPr>
      </w:pPr>
      <w:r w:rsidRPr="00BB5B74">
        <w:rPr>
          <w:rFonts w:ascii="Times New Roman" w:hAnsi="Times New Roman" w:cs="Times New Roman"/>
          <w:sz w:val="24"/>
          <w:szCs w:val="24"/>
        </w:rPr>
        <w:t>Dokumentace nezohledňuje rušení obyvatelé vyšších pater bytových jednotek červenými pozičními světly výškových budov Alfa a Beta (z důvodů letecké dopravy).</w:t>
      </w:r>
    </w:p>
    <w:p w:rsidR="00240C87" w:rsidRPr="00BB5B74" w:rsidRDefault="00240C87" w:rsidP="00575EEA">
      <w:pPr>
        <w:spacing w:before="100" w:beforeAutospacing="1" w:after="100" w:afterAutospacing="1"/>
        <w:ind w:firstLine="709"/>
        <w:jc w:val="both"/>
        <w:rPr>
          <w:rFonts w:ascii="Times New Roman" w:hAnsi="Times New Roman" w:cs="Times New Roman"/>
          <w:sz w:val="24"/>
          <w:szCs w:val="24"/>
        </w:rPr>
      </w:pPr>
      <w:r w:rsidRPr="00BB5B74">
        <w:rPr>
          <w:rFonts w:ascii="Times New Roman" w:hAnsi="Times New Roman" w:cs="Times New Roman"/>
          <w:sz w:val="24"/>
          <w:szCs w:val="24"/>
        </w:rPr>
        <w:t>Z výše uvedeného je zřejmé, že posuzované území je již v současné do</w:t>
      </w:r>
      <w:r w:rsidR="00745365" w:rsidRPr="00BB5B74">
        <w:rPr>
          <w:rFonts w:ascii="Times New Roman" w:hAnsi="Times New Roman" w:cs="Times New Roman"/>
          <w:sz w:val="24"/>
          <w:szCs w:val="24"/>
        </w:rPr>
        <w:t>bě nadlimitně zatíženo</w:t>
      </w:r>
      <w:r w:rsidRPr="00BB5B74">
        <w:rPr>
          <w:rFonts w:ascii="Times New Roman" w:hAnsi="Times New Roman" w:cs="Times New Roman"/>
          <w:sz w:val="24"/>
          <w:szCs w:val="24"/>
        </w:rPr>
        <w:t xml:space="preserve"> z hlediska hygienických limitů pro </w:t>
      </w:r>
      <w:r w:rsidR="00745365" w:rsidRPr="00BB5B74">
        <w:rPr>
          <w:rFonts w:ascii="Times New Roman" w:hAnsi="Times New Roman" w:cs="Times New Roman"/>
          <w:sz w:val="24"/>
          <w:szCs w:val="24"/>
        </w:rPr>
        <w:t xml:space="preserve">hluk i </w:t>
      </w:r>
      <w:r w:rsidRPr="00BB5B74">
        <w:rPr>
          <w:rFonts w:ascii="Times New Roman" w:hAnsi="Times New Roman" w:cs="Times New Roman"/>
          <w:sz w:val="24"/>
          <w:szCs w:val="24"/>
        </w:rPr>
        <w:t>znečištění ovzduší a není vhodné pro novou bytovou zástavbu.</w:t>
      </w:r>
    </w:p>
    <w:p w:rsidR="00240C87" w:rsidRPr="00BB5B74" w:rsidRDefault="00745365" w:rsidP="00575EEA">
      <w:pPr>
        <w:spacing w:before="100" w:beforeAutospacing="1" w:after="100" w:afterAutospacing="1"/>
        <w:ind w:firstLine="709"/>
        <w:jc w:val="both"/>
        <w:rPr>
          <w:rFonts w:ascii="Times New Roman" w:hAnsi="Times New Roman" w:cs="Times New Roman"/>
          <w:sz w:val="24"/>
          <w:szCs w:val="24"/>
        </w:rPr>
      </w:pPr>
      <w:r w:rsidRPr="00BB5B74">
        <w:rPr>
          <w:rFonts w:ascii="Times New Roman" w:hAnsi="Times New Roman" w:cs="Times New Roman"/>
          <w:sz w:val="24"/>
          <w:szCs w:val="24"/>
        </w:rPr>
        <w:t>V průběhu posouzení vlivů</w:t>
      </w:r>
      <w:r w:rsidR="00240C87" w:rsidRPr="00BB5B74">
        <w:rPr>
          <w:rFonts w:ascii="Times New Roman" w:hAnsi="Times New Roman" w:cs="Times New Roman"/>
          <w:sz w:val="24"/>
          <w:szCs w:val="24"/>
        </w:rPr>
        <w:t xml:space="preserve"> nebylo prokázáno, že předmětná stavba (ne)může negativním způsobem ovlivnit kvalitu ovzduší a hlukovou zátěž v dotčeném území, resp. zhoršení životního prostředí stávajících obyvatel – a to zejména v souvislosti se zhoršením dopravní situace v lokalitě. </w:t>
      </w:r>
    </w:p>
    <w:p w:rsidR="00380BC7" w:rsidRPr="00BB5B74" w:rsidRDefault="00380BC7" w:rsidP="00380BC7">
      <w:pPr>
        <w:pStyle w:val="Nadpis2"/>
        <w:numPr>
          <w:ilvl w:val="0"/>
          <w:numId w:val="2"/>
        </w:numPr>
        <w:spacing w:before="100" w:beforeAutospacing="1" w:after="100" w:afterAutospacing="1"/>
        <w:ind w:left="1066" w:hanging="357"/>
      </w:pPr>
      <w:r w:rsidRPr="00BB5B74">
        <w:lastRenderedPageBreak/>
        <w:t>Území se zvýšenou ochranou zeleně</w:t>
      </w:r>
    </w:p>
    <w:p w:rsidR="00380BC7" w:rsidRPr="00BB5B74" w:rsidRDefault="00380BC7" w:rsidP="00380BC7">
      <w:pPr>
        <w:pStyle w:val="Vchozstyl"/>
        <w:spacing w:before="100" w:beforeAutospacing="1" w:after="100" w:afterAutospacing="1" w:line="276" w:lineRule="auto"/>
        <w:ind w:firstLine="720"/>
        <w:jc w:val="both"/>
        <w:rPr>
          <w:rFonts w:eastAsia="Times New Roman"/>
          <w:lang w:val="cs-CZ" w:eastAsia="cs-CZ"/>
        </w:rPr>
      </w:pPr>
      <w:r w:rsidRPr="00BB5B74">
        <w:rPr>
          <w:rFonts w:eastAsia="Times New Roman"/>
          <w:lang w:val="cs-CZ" w:eastAsia="cs-CZ"/>
        </w:rPr>
        <w:t xml:space="preserve">Podle územního plánu se záměr nachází v území se zvýšenou ochranou zeleně, tj. územní plán zjevně požaduje, aby zeleň v tomto území byla nadstandardně chráněna. Rozdíl mezi rozsahem, uspořádáním, kvalitou, rozmanitostí a tím i mnohostrannou funkčností zeleně v území zvýšené ochrany zeleně oproti zeleni pouhé doplňkové estetické funkce ve zmíněném území bez zvýšené ochrany zeleně, je na první pohled zřejmý. Dřeviny mají společenské funkce, jejich význam je nezastupitelný pro kvalitu a udržitelnost života ve městech, a to jako komplexní soubor funkcí hygienických, mikroklimatických, </w:t>
      </w:r>
      <w:proofErr w:type="spellStart"/>
      <w:r w:rsidRPr="00BB5B74">
        <w:rPr>
          <w:rFonts w:eastAsia="Times New Roman"/>
          <w:lang w:val="cs-CZ" w:eastAsia="cs-CZ"/>
        </w:rPr>
        <w:t>půdoochranných</w:t>
      </w:r>
      <w:proofErr w:type="spellEnd"/>
      <w:r w:rsidRPr="00BB5B74">
        <w:rPr>
          <w:rFonts w:eastAsia="Times New Roman"/>
          <w:lang w:val="cs-CZ" w:eastAsia="cs-CZ"/>
        </w:rPr>
        <w:t xml:space="preserve">, retenčních, </w:t>
      </w:r>
      <w:proofErr w:type="spellStart"/>
      <w:r w:rsidRPr="00BB5B74">
        <w:rPr>
          <w:rFonts w:eastAsia="Times New Roman"/>
          <w:lang w:val="cs-CZ" w:eastAsia="cs-CZ"/>
        </w:rPr>
        <w:t>antierozních</w:t>
      </w:r>
      <w:proofErr w:type="spellEnd"/>
      <w:r w:rsidRPr="00BB5B74">
        <w:rPr>
          <w:rFonts w:eastAsia="Times New Roman"/>
          <w:lang w:val="cs-CZ" w:eastAsia="cs-CZ"/>
        </w:rPr>
        <w:t>, biologických a estetických v jejich vzájemné vazbě.</w:t>
      </w:r>
    </w:p>
    <w:p w:rsidR="00380BC7" w:rsidRPr="00BB5B74" w:rsidRDefault="00380BC7" w:rsidP="00380BC7">
      <w:pPr>
        <w:pStyle w:val="Vchozstyl"/>
        <w:spacing w:before="100" w:beforeAutospacing="1" w:after="100" w:afterAutospacing="1" w:line="276" w:lineRule="auto"/>
        <w:ind w:firstLine="720"/>
        <w:jc w:val="both"/>
        <w:rPr>
          <w:rFonts w:eastAsia="Times New Roman"/>
          <w:lang w:val="cs-CZ" w:eastAsia="cs-CZ"/>
        </w:rPr>
      </w:pPr>
      <w:r w:rsidRPr="00BB5B74">
        <w:rPr>
          <w:rFonts w:eastAsia="Times New Roman"/>
          <w:lang w:val="cs-CZ" w:eastAsia="cs-CZ"/>
        </w:rPr>
        <w:t>Tvrdím, že záměr tedy nelze do území v souladu s územním plánem umístit.</w:t>
      </w:r>
    </w:p>
    <w:p w:rsidR="00D65BED" w:rsidRPr="00BB5B74" w:rsidRDefault="0004107F" w:rsidP="00575EEA">
      <w:pPr>
        <w:pStyle w:val="Nadpis2"/>
        <w:numPr>
          <w:ilvl w:val="0"/>
          <w:numId w:val="2"/>
        </w:numPr>
        <w:spacing w:before="100" w:beforeAutospacing="1" w:after="100" w:afterAutospacing="1"/>
        <w:ind w:left="1066" w:hanging="357"/>
      </w:pPr>
      <w:r w:rsidRPr="00BB5B74">
        <w:t>Nedostatečné posouzení vlivů na z</w:t>
      </w:r>
      <w:r w:rsidR="00D65BED" w:rsidRPr="00BB5B74">
        <w:t>eleň</w:t>
      </w:r>
      <w:r w:rsidRPr="00BB5B74">
        <w:t>, nedostatečná náhradní výsadba</w:t>
      </w:r>
    </w:p>
    <w:p w:rsidR="0020376A" w:rsidRPr="00BB5B74" w:rsidRDefault="0020376A" w:rsidP="00575EEA">
      <w:pPr>
        <w:spacing w:before="100" w:beforeAutospacing="1" w:after="100" w:afterAutospacing="1"/>
        <w:ind w:firstLine="709"/>
        <w:jc w:val="both"/>
        <w:rPr>
          <w:rFonts w:ascii="Times New Roman" w:hAnsi="Times New Roman" w:cs="Times New Roman"/>
          <w:sz w:val="24"/>
          <w:szCs w:val="24"/>
        </w:rPr>
      </w:pPr>
      <w:r w:rsidRPr="00BB5B74">
        <w:rPr>
          <w:rFonts w:ascii="Times New Roman" w:hAnsi="Times New Roman" w:cs="Times New Roman"/>
          <w:sz w:val="24"/>
          <w:szCs w:val="24"/>
        </w:rPr>
        <w:t xml:space="preserve">Veškerá navrhovaná zeleň </w:t>
      </w:r>
      <w:r w:rsidR="00146D7F" w:rsidRPr="00BB5B74">
        <w:rPr>
          <w:rFonts w:ascii="Times New Roman" w:hAnsi="Times New Roman" w:cs="Times New Roman"/>
          <w:sz w:val="24"/>
          <w:szCs w:val="24"/>
        </w:rPr>
        <w:t xml:space="preserve">na rostlém terénu </w:t>
      </w:r>
      <w:r w:rsidRPr="00BB5B74">
        <w:rPr>
          <w:rFonts w:ascii="Times New Roman" w:hAnsi="Times New Roman" w:cs="Times New Roman"/>
          <w:sz w:val="24"/>
          <w:szCs w:val="24"/>
        </w:rPr>
        <w:t xml:space="preserve">bude vysázena na pozemky města nikoliv </w:t>
      </w:r>
      <w:r w:rsidR="00FC5DE2" w:rsidRPr="00BB5B74">
        <w:rPr>
          <w:rFonts w:ascii="Times New Roman" w:hAnsi="Times New Roman" w:cs="Times New Roman"/>
          <w:sz w:val="24"/>
          <w:szCs w:val="24"/>
        </w:rPr>
        <w:t>žadatele</w:t>
      </w:r>
      <w:r w:rsidRPr="00BB5B74">
        <w:rPr>
          <w:rFonts w:ascii="Times New Roman" w:hAnsi="Times New Roman" w:cs="Times New Roman"/>
          <w:sz w:val="24"/>
          <w:szCs w:val="24"/>
        </w:rPr>
        <w:t>. Souhlas s vysázením stromů na pozemku, který je ve vlastnictví města, či městské části nelze v okolí OC Lužiny považovat za kompenzaci, protože místo použité ke "kompenzaci" již nebude možné použít pro výsadbu nových stromů, která by stejně byla potřebná pro snížení imisí překračujících limitní hodnoty, přičemž rozšiřování zeleně na pozemcích hlavního města i městské části je dlouhodobě jejich prioritou.</w:t>
      </w:r>
    </w:p>
    <w:p w:rsidR="0020376A" w:rsidRPr="00BB5B74" w:rsidRDefault="0020376A" w:rsidP="00575EEA">
      <w:pPr>
        <w:spacing w:before="100" w:beforeAutospacing="1" w:after="100" w:afterAutospacing="1"/>
        <w:ind w:firstLine="709"/>
        <w:jc w:val="both"/>
        <w:rPr>
          <w:rFonts w:ascii="Times New Roman" w:hAnsi="Times New Roman" w:cs="Times New Roman"/>
          <w:sz w:val="24"/>
          <w:szCs w:val="24"/>
        </w:rPr>
      </w:pPr>
      <w:r w:rsidRPr="00BB5B74">
        <w:rPr>
          <w:rFonts w:ascii="Times New Roman" w:hAnsi="Times New Roman" w:cs="Times New Roman"/>
          <w:sz w:val="24"/>
          <w:szCs w:val="24"/>
        </w:rPr>
        <w:t xml:space="preserve">Koruny sedmi vzrostlých stromů mohou v současnosti přesahovat nad hospodářské dvory. To v budoucnosti nebude možné. Koruny těchto stromů budou buďto ořezány, nebo tyto stromy pokáceny. Korunám stromů v budoucnu nebude umožněno ani růst na celé výměře pozemku, který není ve vlastnictví oznamovatele. Bude nutno udržet odstup od fasády a oken obchodů a bytů. </w:t>
      </w:r>
    </w:p>
    <w:p w:rsidR="0024026D" w:rsidRPr="00BB5B74" w:rsidRDefault="0024026D" w:rsidP="00575EEA">
      <w:pPr>
        <w:spacing w:before="100" w:beforeAutospacing="1" w:after="100" w:afterAutospacing="1"/>
        <w:ind w:firstLine="709"/>
        <w:jc w:val="both"/>
        <w:rPr>
          <w:rFonts w:ascii="Times New Roman" w:hAnsi="Times New Roman" w:cs="Times New Roman"/>
          <w:sz w:val="24"/>
          <w:szCs w:val="24"/>
        </w:rPr>
      </w:pPr>
      <w:r w:rsidRPr="00BB5B74">
        <w:rPr>
          <w:rFonts w:ascii="Times New Roman" w:hAnsi="Times New Roman" w:cs="Times New Roman"/>
          <w:sz w:val="24"/>
          <w:szCs w:val="24"/>
        </w:rPr>
        <w:t xml:space="preserve">Navrhovaná výsadba nových vzrostlých stromů do </w:t>
      </w:r>
      <w:r w:rsidR="00146D7F" w:rsidRPr="00BB5B74">
        <w:rPr>
          <w:rFonts w:ascii="Times New Roman" w:hAnsi="Times New Roman" w:cs="Times New Roman"/>
          <w:sz w:val="24"/>
          <w:szCs w:val="24"/>
        </w:rPr>
        <w:t>truhlíků na balkonech a střešních zahradách se</w:t>
      </w:r>
      <w:r w:rsidRPr="00BB5B74">
        <w:rPr>
          <w:rFonts w:ascii="Times New Roman" w:hAnsi="Times New Roman" w:cs="Times New Roman"/>
          <w:sz w:val="24"/>
          <w:szCs w:val="24"/>
        </w:rPr>
        <w:t xml:space="preserve"> bude urči</w:t>
      </w:r>
      <w:r w:rsidR="00146D7F" w:rsidRPr="00BB5B74">
        <w:rPr>
          <w:rFonts w:ascii="Times New Roman" w:hAnsi="Times New Roman" w:cs="Times New Roman"/>
          <w:sz w:val="24"/>
          <w:szCs w:val="24"/>
        </w:rPr>
        <w:t xml:space="preserve">tě potýkat s nedostatkem vláhy, promrzáním v zimě, atd. </w:t>
      </w:r>
      <w:r w:rsidRPr="00BB5B74">
        <w:rPr>
          <w:rFonts w:ascii="Times New Roman" w:hAnsi="Times New Roman" w:cs="Times New Roman"/>
          <w:sz w:val="24"/>
          <w:szCs w:val="24"/>
        </w:rPr>
        <w:t>neboť budou velice těsně obklopeny betonovým povrchem</w:t>
      </w:r>
      <w:r w:rsidR="0020376A" w:rsidRPr="00BB5B74">
        <w:rPr>
          <w:rFonts w:ascii="Times New Roman" w:hAnsi="Times New Roman" w:cs="Times New Roman"/>
          <w:sz w:val="24"/>
          <w:szCs w:val="24"/>
        </w:rPr>
        <w:t xml:space="preserve"> (viz </w:t>
      </w:r>
      <w:r w:rsidR="00146D7F" w:rsidRPr="00BB5B74">
        <w:rPr>
          <w:rFonts w:ascii="Times New Roman" w:hAnsi="Times New Roman" w:cs="Times New Roman"/>
          <w:sz w:val="24"/>
          <w:szCs w:val="24"/>
        </w:rPr>
        <w:t>plánované truhlíky mají rozměry 1,1x1,1x 1,1m, tedy nedostatečné pro dlouhodobou prosperitu skutečného stromu). Výsadba těchto stromů navíc porušuje závazné podmínky EIA.</w:t>
      </w:r>
    </w:p>
    <w:p w:rsidR="000B3E1A" w:rsidRPr="00BB5B74" w:rsidRDefault="000B3E1A" w:rsidP="00575EEA">
      <w:pPr>
        <w:spacing w:before="100" w:beforeAutospacing="1" w:after="100" w:afterAutospacing="1"/>
        <w:ind w:firstLine="709"/>
        <w:jc w:val="both"/>
        <w:rPr>
          <w:rFonts w:ascii="Times New Roman" w:hAnsi="Times New Roman" w:cs="Times New Roman"/>
          <w:sz w:val="24"/>
          <w:szCs w:val="24"/>
        </w:rPr>
      </w:pPr>
      <w:r w:rsidRPr="00BB5B74">
        <w:rPr>
          <w:rFonts w:ascii="Times New Roman" w:hAnsi="Times New Roman" w:cs="Times New Roman"/>
          <w:sz w:val="24"/>
          <w:szCs w:val="24"/>
        </w:rPr>
        <w:t xml:space="preserve">Vykácením vzrostlého stromu a vysázením nového nedojde k plné kompenzaci, neboť ten nový dosáhne rozměrů toho původního až po mnoha letech, jenže v tu dobu </w:t>
      </w:r>
      <w:r w:rsidR="00380BC7" w:rsidRPr="00BB5B74">
        <w:rPr>
          <w:rFonts w:ascii="Times New Roman" w:hAnsi="Times New Roman" w:cs="Times New Roman"/>
          <w:sz w:val="24"/>
          <w:szCs w:val="24"/>
        </w:rPr>
        <w:t xml:space="preserve">by </w:t>
      </w:r>
      <w:r w:rsidRPr="00BB5B74">
        <w:rPr>
          <w:rFonts w:ascii="Times New Roman" w:hAnsi="Times New Roman" w:cs="Times New Roman"/>
          <w:sz w:val="24"/>
          <w:szCs w:val="24"/>
        </w:rPr>
        <w:t>byl strom původní zase větší.</w:t>
      </w:r>
      <w:r w:rsidR="0020376A" w:rsidRPr="00BB5B74">
        <w:rPr>
          <w:rFonts w:ascii="Times New Roman" w:hAnsi="Times New Roman" w:cs="Times New Roman"/>
          <w:sz w:val="24"/>
          <w:szCs w:val="24"/>
        </w:rPr>
        <w:t xml:space="preserve"> </w:t>
      </w:r>
    </w:p>
    <w:p w:rsidR="00D65BED" w:rsidRPr="00BB5B74" w:rsidRDefault="00D65BED" w:rsidP="00575EEA">
      <w:pPr>
        <w:pStyle w:val="Nadpis2"/>
        <w:numPr>
          <w:ilvl w:val="0"/>
          <w:numId w:val="2"/>
        </w:numPr>
        <w:spacing w:before="100" w:beforeAutospacing="1" w:after="100" w:afterAutospacing="1"/>
        <w:ind w:left="1066" w:hanging="357"/>
      </w:pPr>
      <w:r w:rsidRPr="00BB5B74">
        <w:t xml:space="preserve">Nedostatečná kapacita jeslí, školek a škol </w:t>
      </w:r>
    </w:p>
    <w:p w:rsidR="00A23793" w:rsidRPr="00BB5B74" w:rsidRDefault="000F4F0B" w:rsidP="00575EEA">
      <w:pPr>
        <w:autoSpaceDE w:val="0"/>
        <w:autoSpaceDN w:val="0"/>
        <w:adjustRightInd w:val="0"/>
        <w:spacing w:before="100" w:beforeAutospacing="1" w:after="100" w:afterAutospacing="1"/>
        <w:ind w:firstLine="709"/>
        <w:jc w:val="both"/>
        <w:rPr>
          <w:rFonts w:ascii="Times New Roman" w:hAnsi="Times New Roman" w:cs="Times New Roman"/>
          <w:sz w:val="24"/>
          <w:szCs w:val="24"/>
        </w:rPr>
      </w:pPr>
      <w:r w:rsidRPr="00BB5B74">
        <w:rPr>
          <w:rFonts w:ascii="Times New Roman" w:hAnsi="Times New Roman" w:cs="Times New Roman"/>
          <w:sz w:val="24"/>
          <w:szCs w:val="24"/>
        </w:rPr>
        <w:t xml:space="preserve">Záměr tak přináší do dotčeného území několik stovek obyvatel, u kterých lze předpokládat, že se bude z velké části jednat o rodiny s dětmi, bez toho, aby pro ně zajistil kapacity v jeslích, školkách a školách. Obdobné platí i pro dostupnou lékařskou péči. </w:t>
      </w:r>
    </w:p>
    <w:p w:rsidR="00D65BED" w:rsidRPr="00BB5B74" w:rsidRDefault="00D65BED" w:rsidP="00575EEA">
      <w:pPr>
        <w:pStyle w:val="Nadpis2"/>
        <w:numPr>
          <w:ilvl w:val="0"/>
          <w:numId w:val="2"/>
        </w:numPr>
        <w:spacing w:before="100" w:beforeAutospacing="1" w:after="100" w:afterAutospacing="1"/>
        <w:ind w:left="1066" w:hanging="357"/>
      </w:pPr>
      <w:r w:rsidRPr="00BB5B74">
        <w:lastRenderedPageBreak/>
        <w:t>Nedostatečná kapacita metra</w:t>
      </w:r>
    </w:p>
    <w:p w:rsidR="007C2B51" w:rsidRPr="00BB5B74" w:rsidRDefault="007C2B51" w:rsidP="00575EEA">
      <w:pPr>
        <w:pStyle w:val="Vchozstyl"/>
        <w:spacing w:before="100" w:beforeAutospacing="1" w:after="100" w:afterAutospacing="1" w:line="276" w:lineRule="auto"/>
        <w:ind w:firstLine="709"/>
        <w:jc w:val="both"/>
        <w:rPr>
          <w:rFonts w:eastAsia="Times New Roman"/>
          <w:bCs/>
          <w:lang w:val="cs-CZ" w:eastAsia="cs-CZ"/>
        </w:rPr>
      </w:pPr>
      <w:r w:rsidRPr="00BB5B74">
        <w:rPr>
          <w:rFonts w:eastAsia="Times New Roman"/>
          <w:bCs/>
          <w:lang w:val="cs-CZ" w:eastAsia="cs-CZ"/>
        </w:rPr>
        <w:t>Stanice L</w:t>
      </w:r>
      <w:r w:rsidR="00C00483">
        <w:rPr>
          <w:rFonts w:eastAsia="Times New Roman"/>
          <w:bCs/>
          <w:lang w:val="cs-CZ" w:eastAsia="cs-CZ"/>
        </w:rPr>
        <w:t>užiny je</w:t>
      </w:r>
      <w:r w:rsidRPr="00BB5B74">
        <w:rPr>
          <w:rFonts w:eastAsia="Times New Roman"/>
          <w:bCs/>
          <w:lang w:val="cs-CZ" w:eastAsia="cs-CZ"/>
        </w:rPr>
        <w:t xml:space="preserve"> poměrně malá, a přestože využití kapacity metra mimo špičku je průměrné, ve špičce je stanice kapacitně dostatečně využívaná. Metro B je podle DPP přetížené, a proto se připravuje zkracování intervalů zejména ve špičce.</w:t>
      </w:r>
    </w:p>
    <w:p w:rsidR="007C2B51" w:rsidRPr="00BB5B74" w:rsidRDefault="004D4129" w:rsidP="00575EEA">
      <w:pPr>
        <w:pStyle w:val="Vchozstyl"/>
        <w:spacing w:before="100" w:beforeAutospacing="1" w:after="100" w:afterAutospacing="1" w:line="276" w:lineRule="auto"/>
        <w:ind w:firstLine="709"/>
        <w:jc w:val="both"/>
        <w:rPr>
          <w:rFonts w:eastAsia="Times New Roman"/>
          <w:bCs/>
          <w:lang w:val="cs-CZ" w:eastAsia="cs-CZ"/>
        </w:rPr>
      </w:pPr>
      <w:r w:rsidRPr="00BB5B74">
        <w:rPr>
          <w:rFonts w:eastAsia="Times New Roman"/>
          <w:bCs/>
          <w:lang w:val="cs-CZ" w:eastAsia="cs-CZ"/>
        </w:rPr>
        <w:t>Opět se také</w:t>
      </w:r>
      <w:r w:rsidR="007C2B51" w:rsidRPr="00BB5B74">
        <w:rPr>
          <w:rFonts w:eastAsia="Times New Roman"/>
          <w:bCs/>
          <w:lang w:val="cs-CZ" w:eastAsia="cs-CZ"/>
        </w:rPr>
        <w:t xml:space="preserve"> nepočítá s kumulací nárůstu z důvodů nových staveb dokončených v letech 2015 a 2016 v blízkém okolí, nebo další možnou okolní výstavbou (domy Alfa, Beta, </w:t>
      </w:r>
      <w:proofErr w:type="spellStart"/>
      <w:r w:rsidR="007C2B51" w:rsidRPr="00BB5B74">
        <w:rPr>
          <w:rFonts w:eastAsia="Times New Roman"/>
          <w:bCs/>
          <w:lang w:val="cs-CZ" w:eastAsia="cs-CZ"/>
        </w:rPr>
        <w:t>Gamma</w:t>
      </w:r>
      <w:proofErr w:type="spellEnd"/>
      <w:r w:rsidR="007C2B51" w:rsidRPr="00BB5B74">
        <w:rPr>
          <w:rFonts w:eastAsia="Times New Roman"/>
          <w:bCs/>
          <w:lang w:val="cs-CZ" w:eastAsia="cs-CZ"/>
        </w:rPr>
        <w:t xml:space="preserve"> - Dům </w:t>
      </w:r>
      <w:proofErr w:type="spellStart"/>
      <w:r w:rsidR="007C2B51" w:rsidRPr="00BB5B74">
        <w:rPr>
          <w:rFonts w:eastAsia="Times New Roman"/>
          <w:bCs/>
          <w:lang w:val="cs-CZ" w:eastAsia="cs-CZ"/>
        </w:rPr>
        <w:t>Trávničkova</w:t>
      </w:r>
      <w:proofErr w:type="spellEnd"/>
      <w:r w:rsidR="007C2B51" w:rsidRPr="00BB5B74">
        <w:rPr>
          <w:rFonts w:eastAsia="Times New Roman"/>
          <w:bCs/>
          <w:lang w:val="cs-CZ" w:eastAsia="cs-CZ"/>
        </w:rPr>
        <w:t xml:space="preserve">, sociální byty </w:t>
      </w:r>
      <w:proofErr w:type="spellStart"/>
      <w:r w:rsidR="007C2B51" w:rsidRPr="00BB5B74">
        <w:rPr>
          <w:rFonts w:eastAsia="Times New Roman"/>
          <w:bCs/>
          <w:lang w:val="cs-CZ" w:eastAsia="cs-CZ"/>
        </w:rPr>
        <w:t>Oistrachova</w:t>
      </w:r>
      <w:proofErr w:type="spellEnd"/>
      <w:r w:rsidR="007C2B51" w:rsidRPr="00BB5B74">
        <w:rPr>
          <w:rFonts w:eastAsia="Times New Roman"/>
          <w:bCs/>
          <w:lang w:val="cs-CZ" w:eastAsia="cs-CZ"/>
        </w:rPr>
        <w:t xml:space="preserve">, výstavba Západního města atd.). </w:t>
      </w:r>
    </w:p>
    <w:p w:rsidR="00362EE5" w:rsidRPr="00BB5B74" w:rsidRDefault="0020376A" w:rsidP="00575EEA">
      <w:pPr>
        <w:pStyle w:val="Nadpis2"/>
        <w:numPr>
          <w:ilvl w:val="0"/>
          <w:numId w:val="2"/>
        </w:numPr>
        <w:spacing w:before="100" w:beforeAutospacing="1" w:after="100" w:afterAutospacing="1"/>
        <w:ind w:left="1066" w:hanging="357"/>
      </w:pPr>
      <w:r w:rsidRPr="00BB5B74">
        <w:t xml:space="preserve">Nedostatečné </w:t>
      </w:r>
      <w:r w:rsidR="00106AF1" w:rsidRPr="00BB5B74">
        <w:t>posouzení vlivů metra</w:t>
      </w:r>
    </w:p>
    <w:p w:rsidR="00CD4FB4" w:rsidRPr="00BB5B74" w:rsidRDefault="00106AF1" w:rsidP="00575EEA">
      <w:pPr>
        <w:pStyle w:val="Vchozstyl"/>
        <w:spacing w:before="100" w:beforeAutospacing="1" w:after="100" w:afterAutospacing="1" w:line="276" w:lineRule="auto"/>
        <w:ind w:firstLine="709"/>
        <w:jc w:val="both"/>
        <w:rPr>
          <w:i/>
          <w:lang w:val="cs-CZ"/>
        </w:rPr>
      </w:pPr>
      <w:r w:rsidRPr="00BB5B74">
        <w:rPr>
          <w:lang w:val="cs-CZ"/>
        </w:rPr>
        <w:t xml:space="preserve">Projektová dokumentace – B. Souhrnná technická zpráva na str. 48 uvádí: </w:t>
      </w:r>
      <w:r w:rsidRPr="00BB5B74">
        <w:rPr>
          <w:i/>
          <w:lang w:val="cs-CZ"/>
        </w:rPr>
        <w:t>„Severní části budov zasahují do ochranného pásma metra. V dalším stupni budou provedeny měření a průzkumy (vibrace, hluk, bludné proudy, atd.), pokud naměřené hodnoty budou vyšší, než jaké jsou hygienické limity, budou navržena opatření, aby bytové domy byly dostatečně ochráněny před těmito nepříznivými vlivy. … S ohledem na skutečnost, že v bezprostřední blízkosti objektu se nachází těsně pod povrchem trasa metra B, je možno předpokládat určitý vliv a určitý stupeň agresivity. Předpoklad: vysoce agresivní – IV. stupeň korozní agresivity. Podrobná měření a korozní průzkum a návrh opatření bude proveden v dalším stupni projektové dokumentace.“</w:t>
      </w:r>
    </w:p>
    <w:p w:rsidR="00106AF1" w:rsidRPr="00BB5B74" w:rsidRDefault="00106AF1" w:rsidP="00106AF1">
      <w:pPr>
        <w:spacing w:before="100" w:beforeAutospacing="1" w:after="100" w:afterAutospacing="1"/>
        <w:ind w:firstLine="709"/>
        <w:jc w:val="both"/>
        <w:rPr>
          <w:rFonts w:ascii="Times New Roman" w:hAnsi="Times New Roman" w:cs="Times New Roman"/>
          <w:sz w:val="24"/>
          <w:szCs w:val="24"/>
        </w:rPr>
      </w:pPr>
      <w:r w:rsidRPr="00BB5B74">
        <w:rPr>
          <w:rFonts w:ascii="Times New Roman" w:hAnsi="Times New Roman" w:cs="Times New Roman"/>
          <w:sz w:val="24"/>
          <w:szCs w:val="24"/>
        </w:rPr>
        <w:t>Zcela chybí odborn</w:t>
      </w:r>
      <w:r w:rsidR="00D20EFC" w:rsidRPr="00BB5B74">
        <w:rPr>
          <w:rFonts w:ascii="Times New Roman" w:hAnsi="Times New Roman" w:cs="Times New Roman"/>
          <w:sz w:val="24"/>
          <w:szCs w:val="24"/>
        </w:rPr>
        <w:t xml:space="preserve">é </w:t>
      </w:r>
      <w:r w:rsidRPr="00BB5B74">
        <w:rPr>
          <w:rFonts w:ascii="Times New Roman" w:hAnsi="Times New Roman" w:cs="Times New Roman"/>
          <w:sz w:val="24"/>
          <w:szCs w:val="24"/>
        </w:rPr>
        <w:t xml:space="preserve">posouzení budoucí stavby v tomto území před možnými </w:t>
      </w:r>
      <w:r w:rsidR="00D20EFC" w:rsidRPr="00BB5B74">
        <w:rPr>
          <w:rFonts w:ascii="Times New Roman" w:hAnsi="Times New Roman" w:cs="Times New Roman"/>
          <w:sz w:val="24"/>
          <w:szCs w:val="24"/>
        </w:rPr>
        <w:t xml:space="preserve">negativními vlivy metra. </w:t>
      </w:r>
      <w:r w:rsidRPr="00BB5B74">
        <w:rPr>
          <w:rFonts w:ascii="Times New Roman" w:hAnsi="Times New Roman" w:cs="Times New Roman"/>
          <w:sz w:val="24"/>
          <w:szCs w:val="24"/>
        </w:rPr>
        <w:t>Nedostatečné posouzení nedává dostatečnou odpověď na otázku, zda je vůbec možné bez nepřiměřeného zásahu stavbu umístit. Tato otázka musí být přirozeně vyřešena již v územním řízení, neboť ve stavebním řízení je již jen realizována umístěná stavba.</w:t>
      </w:r>
    </w:p>
    <w:p w:rsidR="007A6587" w:rsidRPr="00BB5B74" w:rsidRDefault="00053D00" w:rsidP="00575EEA">
      <w:pPr>
        <w:pStyle w:val="Nadpis2"/>
        <w:numPr>
          <w:ilvl w:val="0"/>
          <w:numId w:val="2"/>
        </w:numPr>
        <w:spacing w:before="100" w:beforeAutospacing="1" w:after="100" w:afterAutospacing="1"/>
        <w:ind w:left="1066" w:hanging="357"/>
      </w:pPr>
      <w:r w:rsidRPr="00BB5B74">
        <w:t>Nedostatečné posouzení hydrogeologických poměrů</w:t>
      </w:r>
    </w:p>
    <w:p w:rsidR="00053D00" w:rsidRPr="00BB5B74" w:rsidRDefault="00106AF1" w:rsidP="00C40441">
      <w:pPr>
        <w:pStyle w:val="Vchozstyl"/>
        <w:spacing w:before="100" w:beforeAutospacing="1" w:after="100" w:afterAutospacing="1" w:line="276" w:lineRule="auto"/>
        <w:ind w:firstLine="709"/>
        <w:jc w:val="both"/>
        <w:rPr>
          <w:i/>
          <w:lang w:val="cs-CZ"/>
        </w:rPr>
      </w:pPr>
      <w:r w:rsidRPr="00BB5B74">
        <w:rPr>
          <w:lang w:val="cs-CZ"/>
        </w:rPr>
        <w:t xml:space="preserve">Stavba polyfunkčních domů je situována na mírném svahu a spodní voda může ovlivnit jejich statiku. Již v současné době totiž spodní voda soustavně podemílá sekci </w:t>
      </w:r>
      <w:r w:rsidRPr="00BB5B74">
        <w:rPr>
          <w:rFonts w:eastAsia="Times New Roman"/>
          <w:bCs/>
          <w:lang w:val="cs-CZ" w:eastAsia="cs-CZ"/>
        </w:rPr>
        <w:t>dvanáctipodlažních panelových domů</w:t>
      </w:r>
      <w:r w:rsidRPr="00BB5B74">
        <w:rPr>
          <w:lang w:val="cs-CZ"/>
        </w:rPr>
        <w:t xml:space="preserve"> Brdičkova 1910 – 1915. </w:t>
      </w:r>
      <w:r w:rsidR="00C40441" w:rsidRPr="00BB5B74">
        <w:rPr>
          <w:lang w:val="cs-CZ"/>
        </w:rPr>
        <w:t xml:space="preserve">Projektová dokumentace – B. Souhrnná technická zpráva na str. 4 uvádí: </w:t>
      </w:r>
      <w:r w:rsidR="00C40441" w:rsidRPr="00BB5B74">
        <w:rPr>
          <w:i/>
          <w:lang w:val="cs-CZ"/>
        </w:rPr>
        <w:t xml:space="preserve">„V archivních sondách byla hladina podzemní vody zastižena v nepravidelné hloubce cca 2 až 5 metrů pod povrchem s mírně napjatou a napjatou hladinou. … </w:t>
      </w:r>
      <w:r w:rsidR="00053D00" w:rsidRPr="00BB5B74">
        <w:rPr>
          <w:i/>
          <w:lang w:val="cs-CZ"/>
        </w:rPr>
        <w:t xml:space="preserve">Rešerše hodnotí na základě archivních sond základové poměry v místě objektu jako poměrně složité. Hladina podzemní vody se vyskytuje relativně mělce pod povrchem terénu a zeminy kvartérního pokryvu představují pro posuzované objekty zcela nevhodnou základovou půdu. Navrhované objekty bude nutné založit hlubině na vrtaných patrně </w:t>
      </w:r>
      <w:proofErr w:type="spellStart"/>
      <w:r w:rsidR="00053D00" w:rsidRPr="00BB5B74">
        <w:rPr>
          <w:i/>
          <w:lang w:val="cs-CZ"/>
        </w:rPr>
        <w:t>velkoprůměrových</w:t>
      </w:r>
      <w:proofErr w:type="spellEnd"/>
      <w:r w:rsidR="00053D00" w:rsidRPr="00BB5B74">
        <w:rPr>
          <w:i/>
          <w:lang w:val="cs-CZ"/>
        </w:rPr>
        <w:t xml:space="preserve"> pilotách. Pro zpracování PD k územnímu řízení bude vhodné zpracovat dostupnou archivní geologickou dokumentaci do geotechnických profilů s vyznačením osazení novostavby do stávajícího terénu.“</w:t>
      </w:r>
    </w:p>
    <w:p w:rsidR="00053D00" w:rsidRPr="00BB5B74" w:rsidRDefault="00053D00" w:rsidP="00474887">
      <w:pPr>
        <w:spacing w:before="100" w:beforeAutospacing="1" w:after="100" w:afterAutospacing="1"/>
        <w:ind w:firstLine="709"/>
        <w:jc w:val="both"/>
        <w:rPr>
          <w:rFonts w:ascii="Times New Roman" w:hAnsi="Times New Roman" w:cs="Times New Roman"/>
          <w:sz w:val="24"/>
          <w:szCs w:val="24"/>
        </w:rPr>
      </w:pPr>
      <w:r w:rsidRPr="00BB5B74">
        <w:rPr>
          <w:rFonts w:ascii="Times New Roman" w:hAnsi="Times New Roman" w:cs="Times New Roman"/>
          <w:sz w:val="24"/>
          <w:szCs w:val="24"/>
        </w:rPr>
        <w:lastRenderedPageBreak/>
        <w:t xml:space="preserve">Bez odborné inženýrsko-geologické studie vlivu výstavby a existence dvou výškových staveb na základové poměry okolních budov a na všechny druhy dopravy v místě není možné stavbu umístit. Umísťovaná stavba přitom zasahuje do ochranného pásma metra (bez uvedení </w:t>
      </w:r>
      <w:r w:rsidR="00474887" w:rsidRPr="00BB5B74">
        <w:rPr>
          <w:rFonts w:ascii="Times New Roman" w:hAnsi="Times New Roman" w:cs="Times New Roman"/>
          <w:sz w:val="24"/>
          <w:szCs w:val="24"/>
        </w:rPr>
        <w:t>konkrétní vzdálenosti od tubusu metra). V</w:t>
      </w:r>
      <w:r w:rsidRPr="00BB5B74">
        <w:rPr>
          <w:rFonts w:ascii="Times New Roman" w:hAnsi="Times New Roman" w:cs="Times New Roman"/>
          <w:sz w:val="24"/>
          <w:szCs w:val="24"/>
        </w:rPr>
        <w:t xml:space="preserve"> tomto území lze navíc očekávat výskyt podzemní vody. Proti poklesu její hladiny, která může opět negativně ovlivnit blízkou stavbu metra, bude nutné trvale zajistit v místě navrhované stavby její bezproblémové </w:t>
      </w:r>
      <w:proofErr w:type="spellStart"/>
      <w:r w:rsidRPr="00BB5B74">
        <w:rPr>
          <w:rFonts w:ascii="Times New Roman" w:hAnsi="Times New Roman" w:cs="Times New Roman"/>
          <w:sz w:val="24"/>
          <w:szCs w:val="24"/>
        </w:rPr>
        <w:t>oddrenažování</w:t>
      </w:r>
      <w:proofErr w:type="spellEnd"/>
      <w:r w:rsidRPr="00BB5B74">
        <w:rPr>
          <w:rFonts w:ascii="Times New Roman" w:hAnsi="Times New Roman" w:cs="Times New Roman"/>
          <w:sz w:val="24"/>
          <w:szCs w:val="24"/>
        </w:rPr>
        <w:t xml:space="preserve">, což přinese opět možný nebezpečný vliv na tubus metra. </w:t>
      </w:r>
    </w:p>
    <w:p w:rsidR="00053D00" w:rsidRPr="00BB5B74" w:rsidRDefault="00053D00" w:rsidP="00474887">
      <w:pPr>
        <w:pStyle w:val="Vchozstyl"/>
        <w:spacing w:before="100" w:beforeAutospacing="1" w:after="100" w:afterAutospacing="1" w:line="276" w:lineRule="auto"/>
        <w:ind w:firstLine="709"/>
        <w:jc w:val="both"/>
        <w:rPr>
          <w:lang w:val="cs-CZ" w:eastAsia="cs-CZ"/>
        </w:rPr>
      </w:pPr>
      <w:r w:rsidRPr="00BB5B74">
        <w:rPr>
          <w:lang w:eastAsia="cs-CZ"/>
        </w:rPr>
        <w:t>J</w:t>
      </w:r>
      <w:r w:rsidR="00474887" w:rsidRPr="00BB5B74">
        <w:t>e</w:t>
      </w:r>
      <w:r w:rsidRPr="00BB5B74">
        <w:rPr>
          <w:lang w:eastAsia="cs-CZ"/>
        </w:rPr>
        <w:t xml:space="preserve"> pravděpodobné, že zejména při provádění vrtů dojde ke svahovým pohybům v okolí stavby, které mohou nebezpečně narušit stabilitu </w:t>
      </w:r>
      <w:r w:rsidR="00474887" w:rsidRPr="00BB5B74">
        <w:t>okolních staveb</w:t>
      </w:r>
      <w:r w:rsidRPr="00BB5B74">
        <w:rPr>
          <w:lang w:eastAsia="cs-CZ"/>
        </w:rPr>
        <w:t>.</w:t>
      </w:r>
      <w:r w:rsidR="00474887" w:rsidRPr="00BB5B74">
        <w:t xml:space="preserve"> </w:t>
      </w:r>
      <w:r w:rsidRPr="00BB5B74">
        <w:rPr>
          <w:lang w:eastAsia="cs-CZ"/>
        </w:rPr>
        <w:t>Při odtěžení zemin a hornin ze stavební jámy nepochybně dojde k zásadní změně napětí a k objemovým změnám hornin vlivem odlehčení. Obdobně lze očekávat reakci zeminy a hornin na změnu hladiny podzemní vody.</w:t>
      </w:r>
      <w:r w:rsidR="00474887" w:rsidRPr="00BB5B74">
        <w:t xml:space="preserve"> </w:t>
      </w:r>
      <w:r w:rsidRPr="00BB5B74">
        <w:rPr>
          <w:lang w:eastAsia="cs-CZ"/>
        </w:rPr>
        <w:t>Dokumentace pro územní řízení</w:t>
      </w:r>
      <w:r w:rsidR="00474887" w:rsidRPr="00BB5B74">
        <w:t xml:space="preserve"> se </w:t>
      </w:r>
      <w:proofErr w:type="spellStart"/>
      <w:r w:rsidR="00474887" w:rsidRPr="00BB5B74">
        <w:t>těmito</w:t>
      </w:r>
      <w:proofErr w:type="spellEnd"/>
      <w:r w:rsidR="00474887" w:rsidRPr="00BB5B74">
        <w:t xml:space="preserve"> </w:t>
      </w:r>
      <w:proofErr w:type="spellStart"/>
      <w:r w:rsidR="00474887" w:rsidRPr="00BB5B74">
        <w:t>aspekty</w:t>
      </w:r>
      <w:proofErr w:type="spellEnd"/>
      <w:r w:rsidR="00474887" w:rsidRPr="00BB5B74">
        <w:t xml:space="preserve"> </w:t>
      </w:r>
      <w:proofErr w:type="spellStart"/>
      <w:r w:rsidR="00474887" w:rsidRPr="00BB5B74">
        <w:t>vůbec</w:t>
      </w:r>
      <w:proofErr w:type="spellEnd"/>
      <w:r w:rsidR="00474887" w:rsidRPr="00BB5B74">
        <w:t xml:space="preserve"> </w:t>
      </w:r>
      <w:proofErr w:type="spellStart"/>
      <w:r w:rsidR="00474887" w:rsidRPr="00BB5B74">
        <w:t>nezabývá</w:t>
      </w:r>
      <w:proofErr w:type="spellEnd"/>
      <w:r w:rsidR="00474887" w:rsidRPr="00BB5B74">
        <w:t>.</w:t>
      </w:r>
      <w:r w:rsidR="00474887" w:rsidRPr="00BB5B74">
        <w:rPr>
          <w:lang w:val="cs-CZ"/>
        </w:rPr>
        <w:t xml:space="preserve"> Není z ní proto zřejmé, zda záměr nenaruší statiku budov stojících nad uvažovaným místem výstavby (Brdičkova) nebo podzemními vodami nebude narušen záměr sám – relativně úzká výšková budova.</w:t>
      </w:r>
    </w:p>
    <w:p w:rsidR="00053D00" w:rsidRPr="00BB5B74" w:rsidRDefault="00474887" w:rsidP="00053D00">
      <w:pPr>
        <w:spacing w:before="100" w:beforeAutospacing="1" w:after="100" w:afterAutospacing="1"/>
        <w:ind w:firstLine="709"/>
        <w:jc w:val="both"/>
        <w:rPr>
          <w:rFonts w:ascii="Times New Roman" w:hAnsi="Times New Roman" w:cs="Times New Roman"/>
          <w:sz w:val="24"/>
          <w:szCs w:val="24"/>
        </w:rPr>
      </w:pPr>
      <w:r w:rsidRPr="00BB5B74">
        <w:rPr>
          <w:rFonts w:ascii="Times New Roman" w:hAnsi="Times New Roman" w:cs="Times New Roman"/>
          <w:sz w:val="24"/>
          <w:szCs w:val="24"/>
        </w:rPr>
        <w:t xml:space="preserve">Zcela chybí </w:t>
      </w:r>
      <w:r w:rsidR="00053D00" w:rsidRPr="00BB5B74">
        <w:rPr>
          <w:rFonts w:ascii="Times New Roman" w:hAnsi="Times New Roman" w:cs="Times New Roman"/>
          <w:sz w:val="24"/>
          <w:szCs w:val="24"/>
        </w:rPr>
        <w:t xml:space="preserve">odborná inženýrsko-geologická posouzení prokazující dostatečné zabezpečení nejen stavební jámy, ale i budoucí stavby v tomto </w:t>
      </w:r>
      <w:proofErr w:type="spellStart"/>
      <w:r w:rsidR="00053D00" w:rsidRPr="00BB5B74">
        <w:rPr>
          <w:rFonts w:ascii="Times New Roman" w:hAnsi="Times New Roman" w:cs="Times New Roman"/>
          <w:sz w:val="24"/>
          <w:szCs w:val="24"/>
        </w:rPr>
        <w:t>hydrogeologicko</w:t>
      </w:r>
      <w:proofErr w:type="spellEnd"/>
      <w:r w:rsidR="00053D00" w:rsidRPr="00BB5B74">
        <w:rPr>
          <w:rFonts w:ascii="Times New Roman" w:hAnsi="Times New Roman" w:cs="Times New Roman"/>
          <w:sz w:val="24"/>
          <w:szCs w:val="24"/>
        </w:rPr>
        <w:t xml:space="preserve"> problematickém území před možnými svahovými pohyby, které mohou způsobit mnohamilionové až miliardové škody jak na stavbách ve vlastnictví HMP, tak na stavbách a nemovitostech jejich vlastníků v rozsáhlém okolí navrhované stavby. Nedostatečné posouzení hydrogeologických poměrů nedává dostatečnou odpověď na otázku, zda je vůbec možné bez nepřiměřeného zásahu stavbu umístit. Tato otázka musí být přirozeně vyřešena již v územním řízení, neboť ve stavebním řízení je již jen realizována umístěná stavba.</w:t>
      </w:r>
    </w:p>
    <w:p w:rsidR="00362EE5" w:rsidRPr="00BB5B74" w:rsidRDefault="00362EE5" w:rsidP="00575EEA">
      <w:pPr>
        <w:pStyle w:val="Nadpis2"/>
        <w:numPr>
          <w:ilvl w:val="0"/>
          <w:numId w:val="2"/>
        </w:numPr>
        <w:spacing w:before="100" w:beforeAutospacing="1" w:after="100" w:afterAutospacing="1"/>
        <w:ind w:left="1066" w:hanging="357"/>
      </w:pPr>
      <w:r w:rsidRPr="00BB5B74">
        <w:t>Oslunění a osvit</w:t>
      </w:r>
    </w:p>
    <w:p w:rsidR="00E638DF" w:rsidRPr="00BB5B74" w:rsidRDefault="00F43DC1" w:rsidP="00575EEA">
      <w:pPr>
        <w:pStyle w:val="Vchozstyl"/>
        <w:spacing w:before="100" w:beforeAutospacing="1" w:after="100" w:afterAutospacing="1" w:line="276" w:lineRule="auto"/>
        <w:ind w:firstLine="709"/>
        <w:jc w:val="both"/>
        <w:rPr>
          <w:rFonts w:eastAsia="Times New Roman"/>
          <w:bCs/>
          <w:lang w:val="cs-CZ" w:eastAsia="cs-CZ"/>
        </w:rPr>
      </w:pPr>
      <w:r w:rsidRPr="00BB5B74">
        <w:rPr>
          <w:lang w:val="cs-CZ"/>
        </w:rPr>
        <w:t>Umísťovaná stavba p</w:t>
      </w:r>
      <w:r w:rsidR="00E638DF" w:rsidRPr="00BB5B74">
        <w:rPr>
          <w:lang w:val="cs-CZ"/>
        </w:rPr>
        <w:t xml:space="preserve">řesahuje po celé délce OC na západní straně u Brdičkovy ulice o několik pater výšku </w:t>
      </w:r>
      <w:r w:rsidRPr="00BB5B74">
        <w:rPr>
          <w:lang w:val="cs-CZ"/>
        </w:rPr>
        <w:t>stávajícího obchodního centra.</w:t>
      </w:r>
      <w:r w:rsidR="0020376A" w:rsidRPr="00BB5B74">
        <w:rPr>
          <w:lang w:val="cs-CZ"/>
        </w:rPr>
        <w:t xml:space="preserve"> </w:t>
      </w:r>
      <w:r w:rsidR="00E638DF" w:rsidRPr="00BB5B74">
        <w:rPr>
          <w:lang w:val="cs-CZ"/>
        </w:rPr>
        <w:t>Znamená to, že zastíní ze západní a severozápadní strany všechna okna v Píškově ulici, která směřují na západ, tzn. domy č. 1950, 1951, 1952 a 1953, t.j. 80 bytů, ve kterých se zhorší světelné podmínky. Navržený výškový dům na východní straně OC zastíní ze severu domy v Píškově ulici č. 1954 a 1955, tj. 40 bytů.</w:t>
      </w:r>
      <w:r w:rsidR="0020376A" w:rsidRPr="00BB5B74">
        <w:rPr>
          <w:lang w:val="cs-CZ"/>
        </w:rPr>
        <w:t xml:space="preserve"> V  nejnižších patrech okolních panelových domů dojde k úbytku oslunění pod hodnoty stanovené normou.</w:t>
      </w:r>
    </w:p>
    <w:p w:rsidR="00924C74" w:rsidRPr="00BB5B74" w:rsidRDefault="00924C74" w:rsidP="00575EEA">
      <w:pPr>
        <w:pStyle w:val="Nadpis2"/>
        <w:numPr>
          <w:ilvl w:val="0"/>
          <w:numId w:val="2"/>
        </w:numPr>
        <w:spacing w:before="100" w:beforeAutospacing="1" w:after="100" w:afterAutospacing="1"/>
        <w:ind w:left="1066" w:hanging="357"/>
      </w:pPr>
      <w:r w:rsidRPr="00BB5B74">
        <w:t>Pohoda bydlení</w:t>
      </w:r>
    </w:p>
    <w:p w:rsidR="00575EEA" w:rsidRPr="00BB5B74" w:rsidRDefault="00575EEA" w:rsidP="00575EEA">
      <w:pPr>
        <w:pStyle w:val="Vchozstyl"/>
        <w:spacing w:before="100" w:beforeAutospacing="1" w:after="100" w:afterAutospacing="1" w:line="276" w:lineRule="auto"/>
        <w:ind w:firstLine="709"/>
        <w:jc w:val="both"/>
        <w:rPr>
          <w:lang w:val="cs-CZ"/>
        </w:rPr>
      </w:pPr>
      <w:r w:rsidRPr="00BB5B74">
        <w:rPr>
          <w:lang w:val="cs-CZ"/>
        </w:rPr>
        <w:t xml:space="preserve">Nejvyšší správní soud ve svém rozsudku ze dne 1. 11. 2012, č. j. 8 As 27/2012-113 (2776/ 2013 Sb. NSS) dospěl k závěru, že mezi jednotlivé činitele ovlivňující pohodu bydlení (kvalitu prostředí) náleží také podstatné snížení </w:t>
      </w:r>
      <w:proofErr w:type="spellStart"/>
      <w:r w:rsidRPr="00BB5B74">
        <w:rPr>
          <w:lang w:val="cs-CZ"/>
        </w:rPr>
        <w:t>odstupové</w:t>
      </w:r>
      <w:proofErr w:type="spellEnd"/>
      <w:r w:rsidRPr="00BB5B74">
        <w:rPr>
          <w:lang w:val="cs-CZ"/>
        </w:rPr>
        <w:t xml:space="preserve"> vzdálenosti mezi budovami, úbytek oblohové složky, omezení výhledu, a tedy i míra oslunění a osvětlení bytu, a narušení soukromí, protože i tyto složky se na pohodě bydlení podílejí. Podle NSS musí správní orgán při posuzování, zda mohlo dojít k narušení pohody bydlení, přihlížet i ke konkrétním </w:t>
      </w:r>
      <w:r w:rsidRPr="00BB5B74">
        <w:rPr>
          <w:lang w:val="cs-CZ"/>
        </w:rPr>
        <w:lastRenderedPageBreak/>
        <w:t>zvláštnostem lokality. V lokalitě s vysokou úrovní státní, příp. i mezinárodní památkové ochrany stavební úřady vybírají pouze mírnější a citlivější varianty zásahů do jejího vzhledu. Podmínkou narušení pohody bydlení není překročení stanovených technických podmínek výstavby a provozu. V rozsudku ze 4. 3. 2009, č. j. 6 As 38/2008-123, k tomu NSS uvedl, že pokud účastník územního řízení poukáže na konkrétní skutečnosti, které zpochybňují splnění požadavku na pohodu bydlení, musí se stavební úřad těmito tvrzeními důkladně zabývat, i když stanoviska dotčených orgánů státní správy konstatovala dodržení předepsaných limitů zatížení.</w:t>
      </w:r>
    </w:p>
    <w:p w:rsidR="004F280F" w:rsidRPr="00BB5B74" w:rsidRDefault="004F280F" w:rsidP="00575EEA">
      <w:pPr>
        <w:pStyle w:val="Vchozstyl"/>
        <w:spacing w:before="100" w:beforeAutospacing="1" w:after="100" w:afterAutospacing="1" w:line="276" w:lineRule="auto"/>
        <w:ind w:firstLine="709"/>
        <w:jc w:val="both"/>
        <w:rPr>
          <w:lang w:val="cs-CZ"/>
        </w:rPr>
      </w:pPr>
      <w:r w:rsidRPr="00BB5B74">
        <w:rPr>
          <w:lang w:val="cs-CZ"/>
        </w:rPr>
        <w:t>Tvrdím, že dojde k</w:t>
      </w:r>
      <w:r w:rsidR="00575EEA" w:rsidRPr="00BB5B74">
        <w:rPr>
          <w:lang w:val="cs-CZ"/>
        </w:rPr>
        <w:t xml:space="preserve"> narušení pohody bydlení ve smyslu výše uvedeného rozsudku.</w:t>
      </w:r>
      <w:r w:rsidRPr="00BB5B74">
        <w:rPr>
          <w:lang w:val="cs-CZ"/>
        </w:rPr>
        <w:t xml:space="preserve"> Celé sídliště vytváří jednu ze zdařilých urbanistických koncepcí v Praze. </w:t>
      </w:r>
      <w:r w:rsidR="00924C74" w:rsidRPr="00BB5B74">
        <w:rPr>
          <w:lang w:val="cs-CZ"/>
        </w:rPr>
        <w:t>Stavba domů bude bránit volnému výhledu a bude vytvářet stísněný pocit s hrubým porušením soukromí v bytech, neboť stavba bude umístěna příliš blízko stávající zástavbě.</w:t>
      </w:r>
      <w:r w:rsidRPr="00BB5B74">
        <w:rPr>
          <w:lang w:val="cs-CZ"/>
        </w:rPr>
        <w:t xml:space="preserve"> </w:t>
      </w:r>
      <w:r w:rsidR="00F70874" w:rsidRPr="00BB5B74">
        <w:rPr>
          <w:lang w:val="cs-CZ"/>
        </w:rPr>
        <w:t>Obyvatelné ulice Brdičkova budou nuceni se dívat do oken betonového věžáku a tamní obyvatelné budou vidět do jejich ložnic, všechny čeká jen pocit stísněnosti a uvěznění v betonovém světě.</w:t>
      </w:r>
    </w:p>
    <w:p w:rsidR="00924C74" w:rsidRPr="00BB5B74" w:rsidRDefault="004F280F" w:rsidP="00575EEA">
      <w:pPr>
        <w:pStyle w:val="Vchozstyl"/>
        <w:spacing w:before="100" w:beforeAutospacing="1" w:after="100" w:afterAutospacing="1" w:line="276" w:lineRule="auto"/>
        <w:ind w:firstLine="709"/>
        <w:jc w:val="both"/>
        <w:rPr>
          <w:lang w:val="cs-CZ"/>
        </w:rPr>
      </w:pPr>
      <w:r w:rsidRPr="00BB5B74">
        <w:rPr>
          <w:lang w:val="cs-CZ"/>
        </w:rPr>
        <w:t xml:space="preserve">Při cestě z Brdičkovy ulice k metru budou vpravo vysoké domy ukončené věžákem, vlevo zeď oddělující zvýšený terén ke společným garážím. Člověk bude mít pocit, že prochází tunelem, tj. brzy šero a tma, absolutní absence slunečního svitu, a i problematická bezpečnost pro chodce. </w:t>
      </w:r>
    </w:p>
    <w:p w:rsidR="00F70874" w:rsidRPr="00BB5B74" w:rsidRDefault="00BE13AB" w:rsidP="00575EEA">
      <w:pPr>
        <w:pStyle w:val="Vchozstyl"/>
        <w:spacing w:before="100" w:beforeAutospacing="1" w:after="100" w:afterAutospacing="1" w:line="276" w:lineRule="auto"/>
        <w:ind w:firstLine="709"/>
        <w:jc w:val="both"/>
        <w:rPr>
          <w:lang w:val="cs-CZ"/>
        </w:rPr>
      </w:pPr>
      <w:r w:rsidRPr="00BB5B74">
        <w:rPr>
          <w:lang w:val="cs-CZ"/>
        </w:rPr>
        <w:t>Záměr mimo uliční výsadby nepřináší novým ani stávajícím obyvatelům</w:t>
      </w:r>
      <w:r w:rsidR="00F70874" w:rsidRPr="00BB5B74">
        <w:rPr>
          <w:lang w:val="cs-CZ"/>
        </w:rPr>
        <w:t xml:space="preserve"> žádnou zeleň, žádný parkový</w:t>
      </w:r>
      <w:r w:rsidRPr="00BB5B74">
        <w:rPr>
          <w:lang w:val="cs-CZ"/>
        </w:rPr>
        <w:t xml:space="preserve"> prostor pro trávení volného času, žádná</w:t>
      </w:r>
      <w:r w:rsidR="00F70874" w:rsidRPr="00BB5B74">
        <w:rPr>
          <w:lang w:val="cs-CZ"/>
        </w:rPr>
        <w:t xml:space="preserve"> hřiště, lavičky. Neúměrně se tak zvýší tlak v nákupním středisku, kde už dnes bývají v prodejně Billa v odpoledních hodinách nepříjemné fronty, obdob</w:t>
      </w:r>
      <w:r w:rsidR="004D4129" w:rsidRPr="00BB5B74">
        <w:rPr>
          <w:lang w:val="cs-CZ"/>
        </w:rPr>
        <w:t xml:space="preserve">né platí pro poštu, lékaře, </w:t>
      </w:r>
      <w:r w:rsidR="00F70874" w:rsidRPr="00BB5B74">
        <w:rPr>
          <w:lang w:val="cs-CZ"/>
        </w:rPr>
        <w:t xml:space="preserve">nedostatek míst ve školách a školkách. </w:t>
      </w:r>
      <w:r w:rsidR="0060604F" w:rsidRPr="00BB5B74">
        <w:rPr>
          <w:lang w:val="cs-CZ"/>
        </w:rPr>
        <w:t xml:space="preserve">Zahustí se počet obyvatel v lokalitě i doprava. </w:t>
      </w:r>
      <w:r w:rsidR="00F70874" w:rsidRPr="00BB5B74">
        <w:rPr>
          <w:lang w:val="cs-CZ"/>
        </w:rPr>
        <w:t xml:space="preserve">Vše výše uvedené povede k poklesu cen sousedních nemovitostí. </w:t>
      </w:r>
    </w:p>
    <w:p w:rsidR="0060604F" w:rsidRPr="00BB5B74" w:rsidRDefault="007A6587" w:rsidP="00575EEA">
      <w:pPr>
        <w:pStyle w:val="Vchozstyl"/>
        <w:spacing w:before="100" w:beforeAutospacing="1" w:after="100" w:afterAutospacing="1" w:line="276" w:lineRule="auto"/>
        <w:ind w:firstLine="709"/>
        <w:jc w:val="both"/>
        <w:rPr>
          <w:lang w:val="cs-CZ"/>
        </w:rPr>
      </w:pPr>
      <w:r w:rsidRPr="00BB5B74">
        <w:rPr>
          <w:lang w:val="cs-CZ"/>
        </w:rPr>
        <w:t>Negativní vliv</w:t>
      </w:r>
      <w:r w:rsidR="00074DF3" w:rsidRPr="00BB5B74">
        <w:rPr>
          <w:lang w:val="cs-CZ"/>
        </w:rPr>
        <w:t xml:space="preserve"> na pohodu bydlení sousedících obyvatel</w:t>
      </w:r>
      <w:r w:rsidRPr="00BB5B74">
        <w:rPr>
          <w:lang w:val="cs-CZ"/>
        </w:rPr>
        <w:t xml:space="preserve"> bude mít i samotná výstavba</w:t>
      </w:r>
      <w:r w:rsidR="00074DF3" w:rsidRPr="00BB5B74">
        <w:rPr>
          <w:lang w:val="cs-CZ"/>
        </w:rPr>
        <w:t xml:space="preserve">. </w:t>
      </w:r>
      <w:r w:rsidR="0060604F" w:rsidRPr="00BB5B74">
        <w:rPr>
          <w:lang w:val="cs-CZ"/>
        </w:rPr>
        <w:t>Jedná se přitom o výstavbu mimořádně rozsáhlého záměru v srdci lidnatého sídliště, která bude trvat nejméně 3 roky. Během doby výstavby b</w:t>
      </w:r>
      <w:r w:rsidRPr="00BB5B74">
        <w:rPr>
          <w:lang w:val="cs-CZ"/>
        </w:rPr>
        <w:t xml:space="preserve">udou obyvatelé vystaveni hluku </w:t>
      </w:r>
      <w:r w:rsidR="0060604F" w:rsidRPr="00BB5B74">
        <w:rPr>
          <w:lang w:val="cs-CZ"/>
        </w:rPr>
        <w:t xml:space="preserve">a zvýšenému imisnímu pozadí, které může za zhoršených rozptylových podmínek vést k riziku zvýšené respirační nemocnosti u exponovaných obyvatel. </w:t>
      </w:r>
      <w:r w:rsidRPr="00BB5B74">
        <w:rPr>
          <w:lang w:val="cs-CZ"/>
        </w:rPr>
        <w:t xml:space="preserve">Po dobu výstavby bude pravděpodobně i omezen </w:t>
      </w:r>
      <w:r w:rsidR="00D13A37" w:rsidRPr="00BB5B74">
        <w:rPr>
          <w:lang w:val="cs-CZ"/>
        </w:rPr>
        <w:t>provoz</w:t>
      </w:r>
      <w:r w:rsidR="00074DF3" w:rsidRPr="00BB5B74">
        <w:rPr>
          <w:lang w:val="cs-CZ"/>
        </w:rPr>
        <w:t xml:space="preserve"> </w:t>
      </w:r>
      <w:r w:rsidR="00D13A37" w:rsidRPr="00BB5B74">
        <w:rPr>
          <w:lang w:val="cs-CZ"/>
        </w:rPr>
        <w:t>zrekonstruovaného OC Lužiny</w:t>
      </w:r>
      <w:r w:rsidRPr="00BB5B74">
        <w:rPr>
          <w:lang w:val="cs-CZ"/>
        </w:rPr>
        <w:t xml:space="preserve">. </w:t>
      </w:r>
      <w:r w:rsidR="00D13A37" w:rsidRPr="00BB5B74">
        <w:rPr>
          <w:lang w:val="cs-CZ"/>
        </w:rPr>
        <w:t> V obchodním centru je řada nyní hojně využívaných obchodů a služeb, které</w:t>
      </w:r>
      <w:r w:rsidR="0060604F" w:rsidRPr="00BB5B74">
        <w:rPr>
          <w:lang w:val="cs-CZ"/>
        </w:rPr>
        <w:t xml:space="preserve"> </w:t>
      </w:r>
      <w:r w:rsidR="00D13A37" w:rsidRPr="00BB5B74">
        <w:rPr>
          <w:lang w:val="cs-CZ"/>
        </w:rPr>
        <w:t>by se tímto vlastně staly součástí staveniště, což s sebou nepochybně</w:t>
      </w:r>
      <w:r w:rsidR="0060604F" w:rsidRPr="00BB5B74">
        <w:rPr>
          <w:lang w:val="cs-CZ"/>
        </w:rPr>
        <w:t xml:space="preserve"> </w:t>
      </w:r>
      <w:r w:rsidR="00D13A37" w:rsidRPr="00BB5B74">
        <w:rPr>
          <w:lang w:val="cs-CZ"/>
        </w:rPr>
        <w:t>přinese mj. zvýšenou hlučnost a prašnost, které značně zatíží jak</w:t>
      </w:r>
      <w:r w:rsidR="0060604F" w:rsidRPr="00BB5B74">
        <w:rPr>
          <w:lang w:val="cs-CZ"/>
        </w:rPr>
        <w:t xml:space="preserve"> </w:t>
      </w:r>
      <w:r w:rsidR="00D13A37" w:rsidRPr="00BB5B74">
        <w:rPr>
          <w:lang w:val="cs-CZ"/>
        </w:rPr>
        <w:t>zaměstnance, tak návštěvníky OC. Je tedy pravděpodobné, že řada</w:t>
      </w:r>
      <w:r w:rsidR="0060604F" w:rsidRPr="00BB5B74">
        <w:rPr>
          <w:lang w:val="cs-CZ"/>
        </w:rPr>
        <w:t xml:space="preserve"> </w:t>
      </w:r>
      <w:r w:rsidR="00D13A37" w:rsidRPr="00BB5B74">
        <w:rPr>
          <w:lang w:val="cs-CZ"/>
        </w:rPr>
        <w:t>současných nájemců si najde jiné působiště</w:t>
      </w:r>
      <w:r w:rsidR="0060604F" w:rsidRPr="00BB5B74">
        <w:rPr>
          <w:lang w:val="cs-CZ"/>
        </w:rPr>
        <w:t xml:space="preserve">. OC tak nebude fungovat a obyvatelé budou nuceni nakupovat ve větší vzdálenosti od svého bydliště. </w:t>
      </w:r>
    </w:p>
    <w:p w:rsidR="001261F6" w:rsidRPr="00BB5B74" w:rsidRDefault="001261F6" w:rsidP="00575EEA">
      <w:pPr>
        <w:pStyle w:val="Vchozstyl"/>
        <w:spacing w:before="100" w:beforeAutospacing="1" w:after="100" w:afterAutospacing="1" w:line="276" w:lineRule="auto"/>
        <w:ind w:firstLine="709"/>
        <w:jc w:val="both"/>
        <w:rPr>
          <w:lang w:val="cs-CZ"/>
        </w:rPr>
      </w:pPr>
      <w:r w:rsidRPr="00BB5B74">
        <w:rPr>
          <w:lang w:val="cs-CZ"/>
        </w:rPr>
        <w:t>Snížení kvality bydlení bude mít výrazný vliv na snížení ceny bytů (cca o 15 – 20%).</w:t>
      </w:r>
    </w:p>
    <w:p w:rsidR="00C00483" w:rsidRDefault="00C00483" w:rsidP="00575EEA">
      <w:pPr>
        <w:pStyle w:val="Nadpis2"/>
        <w:numPr>
          <w:ilvl w:val="0"/>
          <w:numId w:val="2"/>
        </w:numPr>
        <w:spacing w:before="100" w:beforeAutospacing="1" w:after="100" w:afterAutospacing="1"/>
        <w:ind w:left="1066" w:hanging="357"/>
      </w:pPr>
      <w:r>
        <w:lastRenderedPageBreak/>
        <w:t>Staveniště</w:t>
      </w:r>
    </w:p>
    <w:p w:rsidR="00C00483" w:rsidRPr="00C00483" w:rsidRDefault="00C00483" w:rsidP="00C00483">
      <w:pPr>
        <w:pStyle w:val="Vchozstyl"/>
        <w:spacing w:before="100" w:beforeAutospacing="1" w:after="100" w:afterAutospacing="1" w:line="276" w:lineRule="auto"/>
        <w:ind w:firstLine="709"/>
        <w:jc w:val="both"/>
        <w:rPr>
          <w:lang w:val="cs-CZ"/>
        </w:rPr>
      </w:pPr>
      <w:r>
        <w:rPr>
          <w:lang w:val="cs-CZ"/>
        </w:rPr>
        <w:t>Nesouhlasím se záměrem žadatele zabrat zatravněné parkoviště po dobu výstavby a připravit tak místní obyvatele o další místa na parkování. Toto parkoviště je sice ko</w:t>
      </w:r>
      <w:r w:rsidRPr="00C00483">
        <w:rPr>
          <w:lang w:val="cs-CZ"/>
        </w:rPr>
        <w:t>laudováno jako parkoviště k obchodnímu centru. Obchodní centrum Lužiny</w:t>
      </w:r>
      <w:r>
        <w:rPr>
          <w:lang w:val="cs-CZ"/>
        </w:rPr>
        <w:t xml:space="preserve"> však</w:t>
      </w:r>
      <w:r w:rsidRPr="00C00483">
        <w:rPr>
          <w:lang w:val="cs-CZ"/>
        </w:rPr>
        <w:t xml:space="preserve"> bylo původně projektováno jako lokální obchodní středisko pro obyvatele sousedních rondelů v docházkové vzdálenosti, stejně jako bylo centrum Luka určeno pro obyvatele v jeho okolí, nešlo tedy o nákupní centrum typu Metropole Zličín nebo Nové Butovice, které počítá se zákazníky dojíždějícími auty. Zatravněné parkoviště od začátku plnilo funkci parkoviště pro obyvatele sousedních domů, kteří nenašli parkovací místo ve své ulici. Dále je využíváno k odstavení vozů v případě pravidelného čistění komunikací. </w:t>
      </w:r>
    </w:p>
    <w:p w:rsidR="00C00483" w:rsidRDefault="00C00483" w:rsidP="00C00483">
      <w:pPr>
        <w:pStyle w:val="Vchozstyl"/>
        <w:spacing w:before="100" w:beforeAutospacing="1" w:after="100" w:afterAutospacing="1" w:line="276" w:lineRule="auto"/>
        <w:ind w:firstLine="709"/>
        <w:jc w:val="both"/>
        <w:rPr>
          <w:lang w:val="cs-CZ"/>
        </w:rPr>
      </w:pPr>
      <w:r w:rsidRPr="00C00483">
        <w:rPr>
          <w:lang w:val="cs-CZ"/>
        </w:rPr>
        <w:t xml:space="preserve">Zatravněné parkoviště zůstalo i po prodeji obchodního centra Lužiny v majetku hl. m. Prahy, proto je absurdní, aby s ním investor nakládal jako s vlastním majetkem a počítal s jeho proměnou ve staveniště. </w:t>
      </w:r>
    </w:p>
    <w:p w:rsidR="00C00483" w:rsidRPr="00C00483" w:rsidRDefault="00C00483" w:rsidP="00C00483">
      <w:pPr>
        <w:pStyle w:val="Vchozstyl"/>
        <w:spacing w:before="100" w:beforeAutospacing="1" w:after="100" w:afterAutospacing="1" w:line="276" w:lineRule="auto"/>
        <w:ind w:firstLine="709"/>
        <w:jc w:val="both"/>
        <w:rPr>
          <w:lang w:val="cs-CZ"/>
        </w:rPr>
      </w:pPr>
      <w:r w:rsidRPr="00C00483">
        <w:rPr>
          <w:lang w:val="cs-CZ"/>
        </w:rPr>
        <w:t>Dále je třeba vzít v úvahu, že  v posledních týdnech došlo k uzavření veřejného parkoviště na střeše garáží mezi ulicemi Archeologická a Brdičkova, ačkoliv územní rozhodnutí pro tyto garáže bylo vydáno s podmínkou zachování veřejného parkování na střeše garáží. Pro obyvatele v okolí OC Lužiny tedy fakticky ubylo dalších 98 parkovacích mí</w:t>
      </w:r>
      <w:r>
        <w:rPr>
          <w:lang w:val="cs-CZ"/>
        </w:rPr>
        <w:t>st, které už nyní citelně chybí.</w:t>
      </w:r>
    </w:p>
    <w:p w:rsidR="00924C74" w:rsidRPr="00BB5B74" w:rsidRDefault="00924C74" w:rsidP="00575EEA">
      <w:pPr>
        <w:pStyle w:val="Nadpis2"/>
        <w:numPr>
          <w:ilvl w:val="0"/>
          <w:numId w:val="2"/>
        </w:numPr>
        <w:spacing w:before="100" w:beforeAutospacing="1" w:after="100" w:afterAutospacing="1"/>
        <w:ind w:left="1066" w:hanging="357"/>
      </w:pPr>
      <w:r w:rsidRPr="00BB5B74">
        <w:t>Dopravní obslužnost</w:t>
      </w:r>
    </w:p>
    <w:p w:rsidR="00F43DC1" w:rsidRPr="00BB5B74" w:rsidRDefault="004553C0" w:rsidP="004D4129">
      <w:pPr>
        <w:pStyle w:val="Vchozstyl"/>
        <w:spacing w:before="100" w:beforeAutospacing="1" w:after="100" w:afterAutospacing="1" w:line="276" w:lineRule="auto"/>
        <w:ind w:firstLine="709"/>
        <w:jc w:val="both"/>
        <w:rPr>
          <w:lang w:val="cs-CZ"/>
        </w:rPr>
      </w:pPr>
      <w:r w:rsidRPr="00BB5B74">
        <w:rPr>
          <w:lang w:val="cs-CZ"/>
        </w:rPr>
        <w:t>Řešeno ani adekvátně posouzeno není přitížení st</w:t>
      </w:r>
      <w:r w:rsidR="004D4129" w:rsidRPr="00BB5B74">
        <w:rPr>
          <w:lang w:val="cs-CZ"/>
        </w:rPr>
        <w:t>ávajících komunikací</w:t>
      </w:r>
      <w:r w:rsidRPr="00BB5B74">
        <w:rPr>
          <w:bCs/>
          <w:lang w:val="cs-CZ"/>
        </w:rPr>
        <w:t>.</w:t>
      </w:r>
      <w:r w:rsidR="004D4129" w:rsidRPr="00BB5B74">
        <w:rPr>
          <w:bCs/>
          <w:lang w:val="cs-CZ"/>
        </w:rPr>
        <w:t xml:space="preserve"> </w:t>
      </w:r>
      <w:r w:rsidR="004D4129" w:rsidRPr="00BB5B74">
        <w:rPr>
          <w:lang w:val="cs-CZ"/>
        </w:rPr>
        <w:t xml:space="preserve">Například křižovatka Archeologická-Podpěrova, již dnes ve špičce obtížně průjezdná. </w:t>
      </w:r>
      <w:r w:rsidR="00F43DC1" w:rsidRPr="00BB5B74">
        <w:rPr>
          <w:lang w:val="cs-CZ"/>
        </w:rPr>
        <w:t xml:space="preserve">Pro lokalitu záměru typickou a posouzením rovněž explicitně neřešenou dopravní specialitou, je až násobné navýšení jízd automobilů v souvislosti s hledáním parkovacího místa. </w:t>
      </w:r>
    </w:p>
    <w:p w:rsidR="00E5458F" w:rsidRPr="00BB5B74" w:rsidRDefault="00E5458F" w:rsidP="004D4129">
      <w:pPr>
        <w:pStyle w:val="Vchozstyl"/>
        <w:spacing w:before="100" w:beforeAutospacing="1" w:after="100" w:afterAutospacing="1" w:line="276" w:lineRule="auto"/>
        <w:ind w:firstLine="709"/>
        <w:jc w:val="both"/>
        <w:rPr>
          <w:lang w:val="cs-CZ"/>
        </w:rPr>
      </w:pPr>
      <w:r w:rsidRPr="00BB5B74">
        <w:rPr>
          <w:lang w:val="cs-CZ"/>
        </w:rPr>
        <w:t xml:space="preserve">S ohledem na bezpečnost a plynulost dopravy je dále nutné upozornit na nevyhovující křižovatku Archeologická x Bronzová, která se nachází ve směrovém a výškovém oblouku. Přes parkující vozidla v prostoru křižovatky nelze zajistit bezpečné míjení protijedoucích vozidel a nejsou zajištěny vhodné rozhledové poměry pro chodce na přechodech přes parkující vozidla. V případě realizace záměru dojde ke zvýšení intenzit vozidel (zásobovací a parkovací vozy) na frekventovaném přechodu pro chodce přes účelovou komunikaci k zásobovacímu vjezdu do OC Lužiny. Tento přechod pro chodce zajišťuje hlavní pěší vazby na metro či do OC Lužiny a naopak. </w:t>
      </w:r>
    </w:p>
    <w:p w:rsidR="00304E7D" w:rsidRPr="00BB5B74" w:rsidRDefault="00304E7D" w:rsidP="00575EEA">
      <w:pPr>
        <w:pStyle w:val="Vchozstyl"/>
        <w:spacing w:line="276" w:lineRule="auto"/>
        <w:ind w:firstLine="709"/>
        <w:jc w:val="both"/>
        <w:rPr>
          <w:lang w:val="cs-CZ"/>
        </w:rPr>
      </w:pPr>
      <w:r w:rsidRPr="00BB5B74">
        <w:rPr>
          <w:lang w:val="cs-CZ"/>
        </w:rPr>
        <w:t xml:space="preserve">Průjezdnost ulic Brdičkovy a Píškovy není v současné době zajištěna ani pro složky záchranného systému, neboť obě ulice jsou úzké a slepé a průjezdné jsou pouze jedním směrem. Průjezdnost Píškovou ulicí často blokují zásobovací auta, která vjíždějí nebo vyjíždějí z betonové plochy u pivovaru Lužiny. Některá zásobovací auta projíždějí až na pěší zónu, která vede z jižní strany od školy do OC a po které chodí děti ze školy v Brdičkově ulici a obyvatelé na Velkou Ohradu. </w:t>
      </w:r>
      <w:r w:rsidR="00D859A2" w:rsidRPr="00BB5B74">
        <w:rPr>
          <w:lang w:val="cs-CZ"/>
        </w:rPr>
        <w:t>Ulicí Brdičkova</w:t>
      </w:r>
      <w:r w:rsidRPr="00BB5B74">
        <w:rPr>
          <w:lang w:val="cs-CZ"/>
        </w:rPr>
        <w:t xml:space="preserve"> bude přes 400 obyvatel přijíždět a vyjíždět </w:t>
      </w:r>
      <w:r w:rsidRPr="00BB5B74">
        <w:rPr>
          <w:lang w:val="cs-CZ"/>
        </w:rPr>
        <w:lastRenderedPageBreak/>
        <w:t>z garáží záměru</w:t>
      </w:r>
      <w:r w:rsidR="00D859A2" w:rsidRPr="00BB5B74">
        <w:rPr>
          <w:lang w:val="cs-CZ"/>
        </w:rPr>
        <w:t>, t</w:t>
      </w:r>
      <w:r w:rsidRPr="00BB5B74">
        <w:rPr>
          <w:lang w:val="cs-CZ"/>
        </w:rPr>
        <w:t>ato ulice přitom vede k základní škole. Již nyní na přechodu přes tuto ulici hlídkuje městská policie, aby umožnila žákům přejít ulici. Není totiž pravda, že většina žáků základní školy přichází přes obchodní centrum, děti přijíždí auty s rodiči, využívají  obě ulice i parkoviště (vyjdou schody).</w:t>
      </w:r>
    </w:p>
    <w:p w:rsidR="00304E7D" w:rsidRPr="00BB5B74" w:rsidRDefault="00304E7D" w:rsidP="00575EEA">
      <w:pPr>
        <w:pStyle w:val="Vchozstyl"/>
        <w:spacing w:line="276" w:lineRule="auto"/>
        <w:ind w:firstLine="709"/>
        <w:jc w:val="both"/>
        <w:rPr>
          <w:lang w:val="cs-CZ"/>
        </w:rPr>
      </w:pPr>
    </w:p>
    <w:p w:rsidR="007F46DC" w:rsidRPr="00BB5B74" w:rsidRDefault="00F43DC1" w:rsidP="00575EEA">
      <w:pPr>
        <w:pStyle w:val="Vchozstyl"/>
        <w:spacing w:line="276" w:lineRule="auto"/>
        <w:ind w:firstLine="709"/>
        <w:jc w:val="both"/>
        <w:rPr>
          <w:lang w:val="cs-CZ"/>
        </w:rPr>
      </w:pPr>
      <w:r w:rsidRPr="00BB5B74">
        <w:rPr>
          <w:lang w:val="cs-CZ"/>
        </w:rPr>
        <w:t>V</w:t>
      </w:r>
      <w:r w:rsidR="0020376A" w:rsidRPr="00BB5B74">
        <w:rPr>
          <w:lang w:val="cs-CZ"/>
        </w:rPr>
        <w:t xml:space="preserve">ýtahy </w:t>
      </w:r>
      <w:r w:rsidRPr="00BB5B74">
        <w:rPr>
          <w:lang w:val="cs-CZ"/>
        </w:rPr>
        <w:t xml:space="preserve">budou </w:t>
      </w:r>
      <w:r w:rsidR="0020376A" w:rsidRPr="00BB5B74">
        <w:rPr>
          <w:lang w:val="cs-CZ"/>
        </w:rPr>
        <w:t>odbavovat automobily přijíždějící a odjíždějící z budovy BETA</w:t>
      </w:r>
      <w:r w:rsidRPr="00BB5B74">
        <w:rPr>
          <w:lang w:val="cs-CZ"/>
        </w:rPr>
        <w:t xml:space="preserve"> v řádu jednotek minut na jeden OA. T</w:t>
      </w:r>
      <w:r w:rsidR="0020376A" w:rsidRPr="00BB5B74">
        <w:rPr>
          <w:lang w:val="cs-CZ"/>
        </w:rPr>
        <w:t xml:space="preserve">oto povede vně budovy k opakovaným: </w:t>
      </w:r>
    </w:p>
    <w:p w:rsidR="007F46DC" w:rsidRPr="00BB5B74" w:rsidRDefault="0020376A" w:rsidP="00575EEA">
      <w:pPr>
        <w:pStyle w:val="Vchozstyl"/>
        <w:spacing w:line="276" w:lineRule="auto"/>
        <w:ind w:firstLine="709"/>
        <w:jc w:val="both"/>
        <w:rPr>
          <w:lang w:val="cs-CZ"/>
        </w:rPr>
      </w:pPr>
      <w:r w:rsidRPr="00BB5B74">
        <w:rPr>
          <w:lang w:val="cs-CZ"/>
        </w:rPr>
        <w:t>- kumulaci aut na parkovišti přiléhajícímu k budově BETA</w:t>
      </w:r>
    </w:p>
    <w:p w:rsidR="007F46DC" w:rsidRPr="00BB5B74" w:rsidRDefault="0020376A" w:rsidP="00575EEA">
      <w:pPr>
        <w:pStyle w:val="Vchozstyl"/>
        <w:spacing w:line="276" w:lineRule="auto"/>
        <w:ind w:firstLine="709"/>
        <w:jc w:val="both"/>
        <w:rPr>
          <w:lang w:val="cs-CZ"/>
        </w:rPr>
      </w:pPr>
      <w:r w:rsidRPr="00BB5B74">
        <w:rPr>
          <w:lang w:val="cs-CZ"/>
        </w:rPr>
        <w:t>- ucpání příjezdové cesty a to až do míst napojení s ulicí Zázvorkova</w:t>
      </w:r>
    </w:p>
    <w:p w:rsidR="007F46DC" w:rsidRPr="00BB5B74" w:rsidRDefault="0020376A" w:rsidP="00575EEA">
      <w:pPr>
        <w:pStyle w:val="Vchozstyl"/>
        <w:spacing w:line="276" w:lineRule="auto"/>
        <w:ind w:firstLine="709"/>
        <w:jc w:val="both"/>
        <w:rPr>
          <w:lang w:val="cs-CZ"/>
        </w:rPr>
      </w:pPr>
      <w:r w:rsidRPr="00BB5B74">
        <w:rPr>
          <w:lang w:val="cs-CZ"/>
        </w:rPr>
        <w:t>- prodlouženému stání se zapnutým motorem, vypínání a opakovanému startování čekajících automobilů</w:t>
      </w:r>
    </w:p>
    <w:p w:rsidR="007F46DC" w:rsidRPr="00BB5B74" w:rsidRDefault="0020376A" w:rsidP="00575EEA">
      <w:pPr>
        <w:pStyle w:val="Vchozstyl"/>
        <w:spacing w:line="276" w:lineRule="auto"/>
        <w:ind w:firstLine="709"/>
        <w:jc w:val="both"/>
        <w:rPr>
          <w:lang w:val="cs-CZ"/>
        </w:rPr>
      </w:pPr>
      <w:r w:rsidRPr="00BB5B74">
        <w:rPr>
          <w:lang w:val="cs-CZ"/>
        </w:rPr>
        <w:t>- troubení a dalšímu zvýšení hlučnosti</w:t>
      </w:r>
      <w:r w:rsidR="007F46DC" w:rsidRPr="00BB5B74">
        <w:rPr>
          <w:lang w:val="cs-CZ"/>
        </w:rPr>
        <w:t xml:space="preserve">. </w:t>
      </w:r>
    </w:p>
    <w:p w:rsidR="007F46DC" w:rsidRPr="00BB5B74" w:rsidRDefault="0020376A" w:rsidP="00575EEA">
      <w:pPr>
        <w:pStyle w:val="Vchozstyl"/>
        <w:spacing w:before="100" w:beforeAutospacing="1" w:after="100" w:afterAutospacing="1" w:line="276" w:lineRule="auto"/>
        <w:ind w:firstLine="709"/>
        <w:jc w:val="both"/>
        <w:rPr>
          <w:lang w:val="cs-CZ"/>
        </w:rPr>
      </w:pPr>
      <w:r w:rsidRPr="00BB5B74">
        <w:rPr>
          <w:lang w:val="cs-CZ"/>
        </w:rPr>
        <w:t>Uvnitř budovy bude docházet k</w:t>
      </w:r>
      <w:r w:rsidR="007F46DC" w:rsidRPr="00BB5B74">
        <w:rPr>
          <w:lang w:val="cs-CZ"/>
        </w:rPr>
        <w:t xml:space="preserve"> </w:t>
      </w:r>
      <w:r w:rsidRPr="00BB5B74">
        <w:rPr>
          <w:lang w:val="cs-CZ"/>
        </w:rPr>
        <w:t>prodlouženému stání se zapnutým motorem, vypínání a opakovanému startování čekajících automobilů</w:t>
      </w:r>
      <w:r w:rsidR="007F46DC" w:rsidRPr="00BB5B74">
        <w:rPr>
          <w:lang w:val="cs-CZ"/>
        </w:rPr>
        <w:t xml:space="preserve">. </w:t>
      </w:r>
    </w:p>
    <w:p w:rsidR="007F46DC" w:rsidRPr="00BB5B74" w:rsidRDefault="0020376A" w:rsidP="00575EEA">
      <w:pPr>
        <w:pStyle w:val="Vchozstyl"/>
        <w:spacing w:line="276" w:lineRule="auto"/>
        <w:ind w:firstLine="709"/>
        <w:jc w:val="both"/>
        <w:rPr>
          <w:lang w:val="cs-CZ"/>
        </w:rPr>
      </w:pPr>
      <w:r w:rsidRPr="00BB5B74">
        <w:rPr>
          <w:lang w:val="cs-CZ"/>
        </w:rPr>
        <w:t>Podélná parkovací místa (2), která jsou umístěna z východní strany objektu BETA nejblíže k vjezdu pro OA</w:t>
      </w:r>
      <w:r w:rsidR="007F46DC" w:rsidRPr="00BB5B74">
        <w:rPr>
          <w:lang w:val="cs-CZ"/>
        </w:rPr>
        <w:t>,</w:t>
      </w:r>
      <w:r w:rsidRPr="00BB5B74">
        <w:rPr>
          <w:lang w:val="cs-CZ"/>
        </w:rPr>
        <w:t xml:space="preserve"> jsou um</w:t>
      </w:r>
      <w:r w:rsidR="007F46DC" w:rsidRPr="00BB5B74">
        <w:rPr>
          <w:lang w:val="cs-CZ"/>
        </w:rPr>
        <w:t>ístěna příliš blízko a</w:t>
      </w:r>
      <w:r w:rsidRPr="00BB5B74">
        <w:rPr>
          <w:lang w:val="cs-CZ"/>
        </w:rPr>
        <w:t xml:space="preserve"> zužují místo</w:t>
      </w:r>
      <w:r w:rsidR="007F46DC" w:rsidRPr="00BB5B74">
        <w:rPr>
          <w:lang w:val="cs-CZ"/>
        </w:rPr>
        <w:t>,</w:t>
      </w:r>
      <w:r w:rsidRPr="00BB5B74">
        <w:rPr>
          <w:lang w:val="cs-CZ"/>
        </w:rPr>
        <w:t xml:space="preserve"> kde se budou navzájem vyhýbat:</w:t>
      </w:r>
    </w:p>
    <w:p w:rsidR="007F46DC" w:rsidRPr="00BB5B74" w:rsidRDefault="0020376A" w:rsidP="00575EEA">
      <w:pPr>
        <w:pStyle w:val="Vchozstyl"/>
        <w:spacing w:line="276" w:lineRule="auto"/>
        <w:ind w:firstLine="709"/>
        <w:jc w:val="both"/>
        <w:rPr>
          <w:lang w:val="cs-CZ"/>
        </w:rPr>
      </w:pPr>
      <w:r w:rsidRPr="00BB5B74">
        <w:rPr>
          <w:lang w:val="cs-CZ"/>
        </w:rPr>
        <w:t>- OA přijíždějící do BETA</w:t>
      </w:r>
    </w:p>
    <w:p w:rsidR="007F46DC" w:rsidRPr="00BB5B74" w:rsidRDefault="0020376A" w:rsidP="00575EEA">
      <w:pPr>
        <w:pStyle w:val="Vchozstyl"/>
        <w:spacing w:line="276" w:lineRule="auto"/>
        <w:ind w:firstLine="709"/>
        <w:jc w:val="both"/>
        <w:rPr>
          <w:lang w:val="cs-CZ"/>
        </w:rPr>
      </w:pPr>
      <w:r w:rsidRPr="00BB5B74">
        <w:rPr>
          <w:lang w:val="cs-CZ"/>
        </w:rPr>
        <w:t>- OA vyjíždějící z</w:t>
      </w:r>
      <w:r w:rsidR="007F46DC" w:rsidRPr="00BB5B74">
        <w:rPr>
          <w:lang w:val="cs-CZ"/>
        </w:rPr>
        <w:t> </w:t>
      </w:r>
      <w:r w:rsidRPr="00BB5B74">
        <w:rPr>
          <w:lang w:val="cs-CZ"/>
        </w:rPr>
        <w:t>BETA</w:t>
      </w:r>
    </w:p>
    <w:p w:rsidR="007F46DC" w:rsidRPr="00BB5B74" w:rsidRDefault="0020376A" w:rsidP="00575EEA">
      <w:pPr>
        <w:pStyle w:val="Vchozstyl"/>
        <w:spacing w:line="276" w:lineRule="auto"/>
        <w:ind w:firstLine="709"/>
        <w:jc w:val="both"/>
        <w:rPr>
          <w:lang w:val="cs-CZ"/>
        </w:rPr>
      </w:pPr>
      <w:r w:rsidRPr="00BB5B74">
        <w:rPr>
          <w:lang w:val="cs-CZ"/>
        </w:rPr>
        <w:t>- PV přijíždějící do BETA</w:t>
      </w:r>
    </w:p>
    <w:p w:rsidR="007F46DC" w:rsidRPr="00BB5B74" w:rsidRDefault="0020376A" w:rsidP="00575EEA">
      <w:pPr>
        <w:pStyle w:val="Vchozstyl"/>
        <w:spacing w:line="276" w:lineRule="auto"/>
        <w:ind w:firstLine="709"/>
        <w:jc w:val="both"/>
        <w:rPr>
          <w:lang w:val="cs-CZ"/>
        </w:rPr>
      </w:pPr>
      <w:r w:rsidRPr="00BB5B74">
        <w:rPr>
          <w:lang w:val="cs-CZ"/>
        </w:rPr>
        <w:t>- PV vyjíždějící z</w:t>
      </w:r>
      <w:r w:rsidR="007F46DC" w:rsidRPr="00BB5B74">
        <w:rPr>
          <w:lang w:val="cs-CZ"/>
        </w:rPr>
        <w:t> </w:t>
      </w:r>
      <w:r w:rsidRPr="00BB5B74">
        <w:rPr>
          <w:lang w:val="cs-CZ"/>
        </w:rPr>
        <w:t>BETA</w:t>
      </w:r>
      <w:r w:rsidR="007F46DC" w:rsidRPr="00BB5B74">
        <w:rPr>
          <w:lang w:val="cs-CZ"/>
        </w:rPr>
        <w:t xml:space="preserve">. </w:t>
      </w:r>
    </w:p>
    <w:p w:rsidR="0020376A" w:rsidRPr="00BB5B74" w:rsidRDefault="0020376A" w:rsidP="00575EEA">
      <w:pPr>
        <w:pStyle w:val="Vchozstyl"/>
        <w:spacing w:before="100" w:beforeAutospacing="1" w:after="100" w:afterAutospacing="1" w:line="276" w:lineRule="auto"/>
        <w:ind w:firstLine="709"/>
        <w:jc w:val="both"/>
        <w:rPr>
          <w:lang w:val="cs-CZ"/>
        </w:rPr>
      </w:pPr>
      <w:r w:rsidRPr="00BB5B74">
        <w:rPr>
          <w:lang w:val="cs-CZ"/>
        </w:rPr>
        <w:t xml:space="preserve">Toto dále přispěje k ucpání příjezdové cesty a k </w:t>
      </w:r>
      <w:proofErr w:type="spellStart"/>
      <w:r w:rsidRPr="00BB5B74">
        <w:rPr>
          <w:lang w:val="cs-CZ"/>
        </w:rPr>
        <w:t>zneprůjezdnění</w:t>
      </w:r>
      <w:proofErr w:type="spellEnd"/>
      <w:r w:rsidRPr="00BB5B74">
        <w:rPr>
          <w:lang w:val="cs-CZ"/>
        </w:rPr>
        <w:t xml:space="preserve"> parkoviště i navazující</w:t>
      </w:r>
      <w:r w:rsidR="007F46DC" w:rsidRPr="00BB5B74">
        <w:rPr>
          <w:lang w:val="cs-CZ"/>
        </w:rPr>
        <w:t>c</w:t>
      </w:r>
      <w:r w:rsidRPr="00BB5B74">
        <w:rPr>
          <w:lang w:val="cs-CZ"/>
        </w:rPr>
        <w:t>h komunikací</w:t>
      </w:r>
      <w:r w:rsidR="007F46DC" w:rsidRPr="00BB5B74">
        <w:rPr>
          <w:lang w:val="cs-CZ"/>
        </w:rPr>
        <w:t>.</w:t>
      </w:r>
    </w:p>
    <w:p w:rsidR="00867115" w:rsidRPr="00BB5B74" w:rsidRDefault="00867115" w:rsidP="00575EEA">
      <w:pPr>
        <w:pStyle w:val="Vchozstyl"/>
        <w:spacing w:before="100" w:beforeAutospacing="1" w:after="100" w:afterAutospacing="1" w:line="276" w:lineRule="auto"/>
        <w:ind w:firstLine="709"/>
        <w:jc w:val="both"/>
        <w:rPr>
          <w:lang w:val="cs-CZ"/>
        </w:rPr>
      </w:pPr>
      <w:r w:rsidRPr="00BB5B74">
        <w:rPr>
          <w:lang w:val="cs-CZ"/>
        </w:rPr>
        <w:t>Podíl výjezdů nákladních vozidel byl odvozen z podkladů zadavatele, přičemž zaměření prodejen není závazně specifikováno v projektu. Může jít o výdejny zboží s častými příjezdy zásobování. V případě budovy BETA jsou 4 příjezdy a odjezdy velmi nízký odhad a u odhadu není uveden žádný strop, či pravděpodobnost jeho pravdivosti.</w:t>
      </w:r>
    </w:p>
    <w:p w:rsidR="007F46DC" w:rsidRDefault="007F46DC" w:rsidP="00575EEA">
      <w:pPr>
        <w:pStyle w:val="Vchozstyl"/>
        <w:spacing w:before="100" w:beforeAutospacing="1" w:after="100" w:afterAutospacing="1" w:line="276" w:lineRule="auto"/>
        <w:ind w:firstLine="709"/>
        <w:jc w:val="both"/>
        <w:rPr>
          <w:lang w:val="cs-CZ"/>
        </w:rPr>
      </w:pPr>
      <w:r w:rsidRPr="00BB5B74">
        <w:rPr>
          <w:lang w:val="cs-CZ"/>
        </w:rPr>
        <w:t>To vše přispěje ke zhoršení kvality ovzduší u paty budovy, kvality ovzduší v místě odvětrávání garáží, plynulosti dopravy a hluku. Tyto vlivy nejsou zohledněny v Modelovém hodnocení kvality ovzduší (Rozptylové studii), Hlukové studii, ani dalších podkladech.</w:t>
      </w:r>
    </w:p>
    <w:p w:rsidR="004E6386" w:rsidRPr="00C603E5" w:rsidRDefault="004E6386" w:rsidP="004E6386">
      <w:pPr>
        <w:jc w:val="center"/>
        <w:rPr>
          <w:rFonts w:ascii="Times New Roman" w:hAnsi="Times New Roman" w:cs="Times New Roman"/>
          <w:sz w:val="24"/>
          <w:szCs w:val="24"/>
        </w:rPr>
      </w:pPr>
      <w:r w:rsidRPr="00C603E5">
        <w:rPr>
          <w:rFonts w:ascii="Times New Roman" w:hAnsi="Times New Roman" w:cs="Times New Roman"/>
          <w:b/>
          <w:bCs/>
          <w:sz w:val="24"/>
          <w:szCs w:val="24"/>
        </w:rPr>
        <w:t>I</w:t>
      </w:r>
      <w:r>
        <w:rPr>
          <w:rFonts w:ascii="Times New Roman" w:hAnsi="Times New Roman" w:cs="Times New Roman"/>
          <w:b/>
          <w:bCs/>
          <w:sz w:val="24"/>
          <w:szCs w:val="24"/>
        </w:rPr>
        <w:t>II</w:t>
      </w:r>
      <w:r w:rsidRPr="00C603E5">
        <w:rPr>
          <w:rFonts w:ascii="Times New Roman" w:hAnsi="Times New Roman" w:cs="Times New Roman"/>
          <w:b/>
          <w:bCs/>
          <w:sz w:val="24"/>
          <w:szCs w:val="24"/>
        </w:rPr>
        <w:t xml:space="preserve">. </w:t>
      </w:r>
    </w:p>
    <w:p w:rsidR="004E6386" w:rsidRPr="00C603E5" w:rsidRDefault="004E6386" w:rsidP="004E6386">
      <w:pPr>
        <w:jc w:val="center"/>
        <w:rPr>
          <w:rFonts w:ascii="Times New Roman" w:hAnsi="Times New Roman" w:cs="Times New Roman"/>
          <w:sz w:val="24"/>
          <w:szCs w:val="24"/>
        </w:rPr>
      </w:pPr>
      <w:r w:rsidRPr="00C603E5">
        <w:rPr>
          <w:rFonts w:ascii="Times New Roman" w:hAnsi="Times New Roman" w:cs="Times New Roman"/>
          <w:b/>
          <w:bCs/>
          <w:sz w:val="24"/>
          <w:szCs w:val="24"/>
        </w:rPr>
        <w:t>Závěrečný návrh</w:t>
      </w:r>
    </w:p>
    <w:p w:rsidR="004E6386" w:rsidRDefault="004E6386" w:rsidP="004E6386">
      <w:pPr>
        <w:ind w:firstLine="709"/>
        <w:jc w:val="both"/>
        <w:rPr>
          <w:rFonts w:ascii="Times New Roman" w:hAnsi="Times New Roman" w:cs="Times New Roman"/>
          <w:b/>
          <w:bCs/>
          <w:sz w:val="24"/>
          <w:szCs w:val="24"/>
          <w:lang w:eastAsia="ar-SA"/>
        </w:rPr>
      </w:pPr>
      <w:r w:rsidRPr="002041C1">
        <w:rPr>
          <w:rFonts w:ascii="Times New Roman" w:hAnsi="Times New Roman" w:cs="Times New Roman"/>
          <w:b/>
          <w:bCs/>
          <w:sz w:val="24"/>
          <w:szCs w:val="24"/>
          <w:lang w:eastAsia="ar-SA"/>
        </w:rPr>
        <w:t>S ohledem na výše uvedené skutečnosti v části II. nesouhlas</w:t>
      </w:r>
      <w:r>
        <w:rPr>
          <w:rFonts w:ascii="Times New Roman" w:hAnsi="Times New Roman" w:cs="Times New Roman"/>
          <w:b/>
          <w:bCs/>
          <w:sz w:val="24"/>
          <w:szCs w:val="24"/>
          <w:lang w:eastAsia="ar-SA"/>
        </w:rPr>
        <w:t>ím s umístěním záměru a žádám o zamítnutí žádosti.</w:t>
      </w:r>
    </w:p>
    <w:p w:rsidR="004E6386" w:rsidRPr="00287FF0" w:rsidRDefault="004E6386" w:rsidP="004E6386">
      <w:pPr>
        <w:ind w:firstLine="709"/>
        <w:jc w:val="right"/>
        <w:rPr>
          <w:rFonts w:ascii="Times New Roman" w:eastAsia="Times New Roman" w:hAnsi="Times New Roman" w:cs="Times New Roman"/>
          <w:sz w:val="24"/>
          <w:szCs w:val="24"/>
          <w:highlight w:val="yellow"/>
        </w:rPr>
      </w:pPr>
      <w:r w:rsidRPr="00287FF0">
        <w:rPr>
          <w:rFonts w:ascii="Times New Roman" w:eastAsia="Times New Roman" w:hAnsi="Times New Roman" w:cs="Times New Roman"/>
          <w:sz w:val="24"/>
          <w:szCs w:val="24"/>
          <w:highlight w:val="yellow"/>
        </w:rPr>
        <w:t>…..</w:t>
      </w:r>
    </w:p>
    <w:p w:rsidR="004E6386" w:rsidRPr="003143EE" w:rsidRDefault="004E6386" w:rsidP="004E6386">
      <w:pPr>
        <w:ind w:firstLine="709"/>
        <w:jc w:val="right"/>
        <w:rPr>
          <w:rFonts w:ascii="Times New Roman" w:hAnsi="Times New Roman" w:cs="Times New Roman"/>
          <w:sz w:val="24"/>
          <w:szCs w:val="24"/>
        </w:rPr>
      </w:pPr>
      <w:r w:rsidRPr="00287FF0">
        <w:rPr>
          <w:rFonts w:ascii="Times New Roman" w:eastAsia="Times New Roman" w:hAnsi="Times New Roman" w:cs="Times New Roman"/>
          <w:sz w:val="24"/>
          <w:szCs w:val="24"/>
          <w:highlight w:val="yellow"/>
        </w:rPr>
        <w:t>(podpis)</w:t>
      </w:r>
    </w:p>
    <w:p w:rsidR="004E6386" w:rsidRPr="00B61A82" w:rsidRDefault="004E6386" w:rsidP="00575EEA">
      <w:pPr>
        <w:pStyle w:val="Vchozstyl"/>
        <w:spacing w:before="100" w:beforeAutospacing="1" w:after="100" w:afterAutospacing="1" w:line="276" w:lineRule="auto"/>
        <w:ind w:firstLine="709"/>
        <w:jc w:val="both"/>
        <w:rPr>
          <w:lang w:val="cs-CZ"/>
        </w:rPr>
      </w:pPr>
    </w:p>
    <w:sectPr w:rsidR="004E6386" w:rsidRPr="00B61A82">
      <w:pgSz w:w="11906" w:h="16838"/>
      <w:pgMar w:top="1417" w:right="1417" w:bottom="1417" w:left="1417" w:header="0" w:footer="0" w:gutter="0"/>
      <w:cols w:space="708"/>
      <w:formProt w:val="0"/>
      <w:docGrid w:linePitch="360" w:charSpace="-675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18-03-27T12:48:00Z" w:initials="U">
    <w:p w:rsidR="007C7F72" w:rsidRDefault="007C7F72" w:rsidP="00832C9B">
      <w:pPr>
        <w:pStyle w:val="Textkomente"/>
      </w:pPr>
      <w:r>
        <w:rPr>
          <w:rStyle w:val="Odkaznakoment"/>
        </w:rPr>
        <w:annotationRef/>
      </w:r>
      <w:proofErr w:type="spellStart"/>
      <w:r>
        <w:t>Zde</w:t>
      </w:r>
      <w:proofErr w:type="spellEnd"/>
      <w:r>
        <w:t xml:space="preserve"> je </w:t>
      </w:r>
      <w:proofErr w:type="spellStart"/>
      <w:r>
        <w:t>možné</w:t>
      </w:r>
      <w:proofErr w:type="spellEnd"/>
      <w:r>
        <w:t xml:space="preserve"> </w:t>
      </w:r>
      <w:proofErr w:type="spellStart"/>
      <w:r>
        <w:t>blíže</w:t>
      </w:r>
      <w:proofErr w:type="spellEnd"/>
      <w:r>
        <w:t xml:space="preserve"> </w:t>
      </w:r>
      <w:proofErr w:type="spellStart"/>
      <w:r>
        <w:t>popsat</w:t>
      </w:r>
      <w:proofErr w:type="spellEnd"/>
      <w:r>
        <w:t xml:space="preserve"> </w:t>
      </w:r>
      <w:proofErr w:type="spellStart"/>
      <w:r>
        <w:t>proč</w:t>
      </w:r>
      <w:proofErr w:type="spellEnd"/>
      <w:r>
        <w:t xml:space="preserve"> a v </w:t>
      </w:r>
      <w:proofErr w:type="spellStart"/>
      <w:r>
        <w:t>čem</w:t>
      </w:r>
      <w:proofErr w:type="spellEnd"/>
      <w:r>
        <w:t xml:space="preserve"> </w:t>
      </w:r>
      <w:proofErr w:type="spellStart"/>
      <w:r>
        <w:t>Vám</w:t>
      </w:r>
      <w:proofErr w:type="spellEnd"/>
      <w:r>
        <w:t xml:space="preserve"> </w:t>
      </w:r>
      <w:proofErr w:type="spellStart"/>
      <w:r>
        <w:t>plánovaná</w:t>
      </w:r>
      <w:proofErr w:type="spellEnd"/>
      <w:r>
        <w:t xml:space="preserve"> </w:t>
      </w:r>
      <w:proofErr w:type="spellStart"/>
      <w:r>
        <w:t>stavba</w:t>
      </w:r>
      <w:proofErr w:type="spellEnd"/>
      <w:r>
        <w:t xml:space="preserve"> </w:t>
      </w:r>
      <w:proofErr w:type="spellStart"/>
      <w:r>
        <w:t>vadí</w:t>
      </w:r>
      <w:proofErr w:type="spellEnd"/>
      <w:r>
        <w:t>.</w:t>
      </w:r>
    </w:p>
  </w:comment>
  <w:comment w:id="2" w:author="Petra Humlickova" w:date="2018-03-27T13:45:00Z" w:initials="HUMLIC">
    <w:p w:rsidR="007C7F72" w:rsidRDefault="007C7F72" w:rsidP="00287FF0">
      <w:pPr>
        <w:pStyle w:val="Textkomente"/>
      </w:pPr>
      <w:r>
        <w:rPr>
          <w:rStyle w:val="Odkaznakoment"/>
        </w:rPr>
        <w:annotationRef/>
      </w:r>
      <w:r>
        <w:t>Pro sdružení</w:t>
      </w:r>
    </w:p>
  </w:comment>
  <w:comment w:id="4" w:author="User" w:date="2018-04-03T15:03:00Z" w:initials="U">
    <w:p w:rsidR="004E6386" w:rsidRPr="00F43DC1" w:rsidRDefault="004E6386" w:rsidP="004E6386">
      <w:pPr>
        <w:pStyle w:val="Textkomente"/>
        <w:rPr>
          <w:lang w:val="cs-CZ"/>
        </w:rPr>
      </w:pPr>
      <w:r>
        <w:rPr>
          <w:rStyle w:val="Odkaznakoment"/>
        </w:rPr>
        <w:annotationRef/>
      </w:r>
      <w:r w:rsidRPr="007C7F72">
        <w:rPr>
          <w:highlight w:val="lightGray"/>
          <w:lang w:val="cs-CZ"/>
        </w:rPr>
        <w:t>přičemž projekt vůbec neřeší konkrétní náhradní parkovací místa. Dokumentace sice zmiňuje možnost parkovat po dobu stavby na odstavných parkovištích v docházkové vzdálenosti, tato odstavná parkoviště však nejsou specifikována v docházkové vzdálenosti ani neexistují. Dokumentace sice slibuje možnost parkovat po dobu výstavby v objektu Alfa, v popisu etap není nikde uvedeno, že by výstavba objektu Alfa byla dokončena dříve než objektu Beta. Dokumentace ani neřeší parkování vozidel zaměstnanců stavby. Není uvedeno, zda tato vozidla obsadí stávající parkovací plochy v okolí stavby a tedy celková situace se zhorší nebo zda dojde ke vzniku nových parkovacích míst a kde budou tato nová parkovací místa umístěna.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5F7" w:rsidRDefault="00AE75F7">
      <w:pPr>
        <w:spacing w:after="0" w:line="240" w:lineRule="auto"/>
      </w:pPr>
      <w:r>
        <w:separator/>
      </w:r>
    </w:p>
  </w:endnote>
  <w:endnote w:type="continuationSeparator" w:id="0">
    <w:p w:rsidR="00AE75F7" w:rsidRDefault="00AE7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ndale Sans UI">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UAlbertina">
    <w:altName w:val="Arial Unicode MS"/>
    <w:charset w:val="80"/>
    <w:family w:val="swiss"/>
    <w:pitch w:val="default"/>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5F7" w:rsidRDefault="00AE75F7">
      <w:r>
        <w:separator/>
      </w:r>
    </w:p>
  </w:footnote>
  <w:footnote w:type="continuationSeparator" w:id="0">
    <w:p w:rsidR="00AE75F7" w:rsidRDefault="00AE7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6DA6"/>
    <w:multiLevelType w:val="multilevel"/>
    <w:tmpl w:val="8CAE5C00"/>
    <w:lvl w:ilvl="0">
      <w:start w:val="136"/>
      <w:numFmt w:val="bullet"/>
      <w:lvlText w:val="-"/>
      <w:lvlJc w:val="left"/>
      <w:pPr>
        <w:ind w:left="1080" w:hanging="360"/>
      </w:pPr>
      <w:rPr>
        <w:rFonts w:ascii="Times New Roman" w:hAnsi="Times New Roman" w:cs="Times New Roman"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nsid w:val="106E6BFC"/>
    <w:multiLevelType w:val="multilevel"/>
    <w:tmpl w:val="044C577A"/>
    <w:lvl w:ilvl="0">
      <w:start w:val="1"/>
      <w:numFmt w:val="decimal"/>
      <w:pStyle w:val="Nadpis2"/>
      <w:lvlText w:val="%1."/>
      <w:lvlJc w:val="left"/>
      <w:pPr>
        <w:ind w:left="674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C12FA0"/>
    <w:multiLevelType w:val="hybridMultilevel"/>
    <w:tmpl w:val="05D03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3665FD8"/>
    <w:multiLevelType w:val="multilevel"/>
    <w:tmpl w:val="54D86D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21A56C49"/>
    <w:multiLevelType w:val="hybridMultilevel"/>
    <w:tmpl w:val="E3B8AC2A"/>
    <w:lvl w:ilvl="0" w:tplc="FB0CC062">
      <w:numFmt w:val="bullet"/>
      <w:lvlText w:val="-"/>
      <w:lvlJc w:val="left"/>
      <w:pPr>
        <w:ind w:left="1440" w:hanging="360"/>
      </w:pPr>
      <w:rPr>
        <w:rFonts w:ascii="Times New Roman" w:eastAsia="Times New Roman" w:hAnsi="Times New Roman" w:cs="Times New Roman" w:hint="default"/>
        <w:w w:val="102"/>
        <w:sz w:val="22"/>
        <w:szCs w:val="22"/>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374D4F1B"/>
    <w:multiLevelType w:val="hybridMultilevel"/>
    <w:tmpl w:val="327634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322BA5"/>
    <w:multiLevelType w:val="multilevel"/>
    <w:tmpl w:val="190AE61A"/>
    <w:lvl w:ilvl="0">
      <w:start w:val="1"/>
      <w:numFmt w:val="decimal"/>
      <w:lvlText w:val="%1."/>
      <w:lvlJc w:val="left"/>
      <w:pPr>
        <w:ind w:left="26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2700984"/>
    <w:multiLevelType w:val="hybridMultilevel"/>
    <w:tmpl w:val="814808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4CF80590"/>
    <w:multiLevelType w:val="multilevel"/>
    <w:tmpl w:val="221CD7F2"/>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9">
    <w:nsid w:val="512F34F9"/>
    <w:multiLevelType w:val="multilevel"/>
    <w:tmpl w:val="CE90FA12"/>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0">
    <w:nsid w:val="58155F8C"/>
    <w:multiLevelType w:val="hybridMultilevel"/>
    <w:tmpl w:val="327634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0A03527"/>
    <w:multiLevelType w:val="hybridMultilevel"/>
    <w:tmpl w:val="95AA09F2"/>
    <w:lvl w:ilvl="0" w:tplc="4A32D8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4572019"/>
    <w:multiLevelType w:val="hybridMultilevel"/>
    <w:tmpl w:val="27BC9D26"/>
    <w:lvl w:ilvl="0" w:tplc="22E05B90">
      <w:start w:val="1"/>
      <w:numFmt w:val="bullet"/>
      <w:pStyle w:val="Nadpis21"/>
      <w:lvlText w:val=""/>
      <w:lvlJc w:val="left"/>
      <w:pPr>
        <w:ind w:left="720" w:hanging="360"/>
      </w:pPr>
      <w:rPr>
        <w:rFonts w:ascii="Symbol" w:hAnsi="Symbol" w:hint="default"/>
      </w:rPr>
    </w:lvl>
    <w:lvl w:ilvl="1" w:tplc="19DC90BA">
      <w:start w:val="1"/>
      <w:numFmt w:val="lowerLetter"/>
      <w:lvlText w:val="%2."/>
      <w:lvlJc w:val="left"/>
      <w:pPr>
        <w:ind w:left="1440" w:hanging="360"/>
      </w:pPr>
    </w:lvl>
    <w:lvl w:ilvl="2" w:tplc="A9243776">
      <w:start w:val="1"/>
      <w:numFmt w:val="lowerRoman"/>
      <w:lvlText w:val="%3."/>
      <w:lvlJc w:val="right"/>
      <w:pPr>
        <w:ind w:left="2160" w:hanging="180"/>
      </w:pPr>
    </w:lvl>
    <w:lvl w:ilvl="3" w:tplc="3A02C084">
      <w:start w:val="1"/>
      <w:numFmt w:val="decimal"/>
      <w:lvlText w:val="%4."/>
      <w:lvlJc w:val="left"/>
      <w:pPr>
        <w:ind w:left="2880" w:hanging="360"/>
      </w:pPr>
    </w:lvl>
    <w:lvl w:ilvl="4" w:tplc="FA32EF4A">
      <w:start w:val="1"/>
      <w:numFmt w:val="lowerLetter"/>
      <w:lvlText w:val="%5."/>
      <w:lvlJc w:val="left"/>
      <w:pPr>
        <w:ind w:left="3600" w:hanging="360"/>
      </w:pPr>
    </w:lvl>
    <w:lvl w:ilvl="5" w:tplc="95FEB64A">
      <w:start w:val="1"/>
      <w:numFmt w:val="lowerRoman"/>
      <w:lvlText w:val="%6."/>
      <w:lvlJc w:val="right"/>
      <w:pPr>
        <w:ind w:left="4320" w:hanging="180"/>
      </w:pPr>
    </w:lvl>
    <w:lvl w:ilvl="6" w:tplc="C56673E6">
      <w:start w:val="1"/>
      <w:numFmt w:val="decimal"/>
      <w:lvlText w:val="%7."/>
      <w:lvlJc w:val="left"/>
      <w:pPr>
        <w:ind w:left="5040" w:hanging="360"/>
      </w:pPr>
    </w:lvl>
    <w:lvl w:ilvl="7" w:tplc="C538B318">
      <w:start w:val="1"/>
      <w:numFmt w:val="lowerLetter"/>
      <w:lvlText w:val="%8."/>
      <w:lvlJc w:val="left"/>
      <w:pPr>
        <w:ind w:left="5760" w:hanging="360"/>
      </w:pPr>
    </w:lvl>
    <w:lvl w:ilvl="8" w:tplc="46CA3F02">
      <w:start w:val="1"/>
      <w:numFmt w:val="lowerRoman"/>
      <w:lvlText w:val="%9."/>
      <w:lvlJc w:val="right"/>
      <w:pPr>
        <w:ind w:left="6480" w:hanging="180"/>
      </w:pPr>
    </w:lvl>
  </w:abstractNum>
  <w:abstractNum w:abstractNumId="13">
    <w:nsid w:val="6C955CBA"/>
    <w:multiLevelType w:val="multilevel"/>
    <w:tmpl w:val="924286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72491AB3"/>
    <w:multiLevelType w:val="multilevel"/>
    <w:tmpl w:val="0B3C567E"/>
    <w:lvl w:ilvl="0">
      <w:start w:val="1"/>
      <w:numFmt w:val="bullet"/>
      <w:lvlText w:val=""/>
      <w:lvlJc w:val="left"/>
      <w:pPr>
        <w:tabs>
          <w:tab w:val="left" w:pos="0"/>
        </w:tabs>
        <w:ind w:left="720" w:hanging="360"/>
      </w:pPr>
      <w:rPr>
        <w:rFonts w:ascii="Symbol" w:hAnsi="Symbol" w:hint="default"/>
        <w:sz w:val="20"/>
      </w:rPr>
    </w:lvl>
    <w:lvl w:ilvl="1">
      <w:start w:val="1"/>
      <w:numFmt w:val="decimal"/>
      <w:lvlText w:val="%2)"/>
      <w:lvlJc w:val="left"/>
      <w:pPr>
        <w:ind w:left="502" w:hanging="360"/>
      </w:pPr>
      <w:rPr>
        <w:rFonts w:hint="default"/>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5">
    <w:nsid w:val="7E0258D9"/>
    <w:multiLevelType w:val="multilevel"/>
    <w:tmpl w:val="950677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6"/>
  </w:num>
  <w:num w:numId="3">
    <w:abstractNumId w:val="0"/>
  </w:num>
  <w:num w:numId="4">
    <w:abstractNumId w:val="15"/>
  </w:num>
  <w:num w:numId="5">
    <w:abstractNumId w:val="7"/>
  </w:num>
  <w:num w:numId="6">
    <w:abstractNumId w:val="13"/>
  </w:num>
  <w:num w:numId="7">
    <w:abstractNumId w:val="1"/>
  </w:num>
  <w:num w:numId="8">
    <w:abstractNumId w:val="2"/>
  </w:num>
  <w:num w:numId="9">
    <w:abstractNumId w:val="5"/>
  </w:num>
  <w:num w:numId="10">
    <w:abstractNumId w:val="10"/>
  </w:num>
  <w:num w:numId="11">
    <w:abstractNumId w:val="3"/>
  </w:num>
  <w:num w:numId="12">
    <w:abstractNumId w:val="8"/>
  </w:num>
  <w:num w:numId="13">
    <w:abstractNumId w:val="4"/>
  </w:num>
  <w:num w:numId="14">
    <w:abstractNumId w:val="14"/>
  </w:num>
  <w:num w:numId="15">
    <w:abstractNumId w:val="9"/>
  </w:num>
  <w:num w:numId="16">
    <w:abstractNumId w:val="1"/>
  </w:num>
  <w:num w:numId="17">
    <w:abstractNumId w:val="1"/>
  </w:num>
  <w:num w:numId="18">
    <w:abstractNumId w:val="12"/>
  </w:num>
  <w:num w:numId="19">
    <w:abstractNumId w:val="11"/>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BE"/>
    <w:rsid w:val="0000076C"/>
    <w:rsid w:val="00025B28"/>
    <w:rsid w:val="0003188D"/>
    <w:rsid w:val="000324A3"/>
    <w:rsid w:val="00037E50"/>
    <w:rsid w:val="0004107F"/>
    <w:rsid w:val="0004263C"/>
    <w:rsid w:val="00053D00"/>
    <w:rsid w:val="00074DF3"/>
    <w:rsid w:val="000964E6"/>
    <w:rsid w:val="000A43E3"/>
    <w:rsid w:val="000B3E1A"/>
    <w:rsid w:val="000C67F7"/>
    <w:rsid w:val="000D59CB"/>
    <w:rsid w:val="000D7C5E"/>
    <w:rsid w:val="000F4F0B"/>
    <w:rsid w:val="000F58F7"/>
    <w:rsid w:val="00106AF1"/>
    <w:rsid w:val="00110A51"/>
    <w:rsid w:val="001261F6"/>
    <w:rsid w:val="0012759D"/>
    <w:rsid w:val="00127A99"/>
    <w:rsid w:val="00134B55"/>
    <w:rsid w:val="00144EE2"/>
    <w:rsid w:val="00146D49"/>
    <w:rsid w:val="00146D7F"/>
    <w:rsid w:val="001B0C41"/>
    <w:rsid w:val="001B0CCC"/>
    <w:rsid w:val="001D285B"/>
    <w:rsid w:val="001E020F"/>
    <w:rsid w:val="001E5AF5"/>
    <w:rsid w:val="001F4CCA"/>
    <w:rsid w:val="0020376A"/>
    <w:rsid w:val="00220D5B"/>
    <w:rsid w:val="002329E9"/>
    <w:rsid w:val="0024026D"/>
    <w:rsid w:val="00240C87"/>
    <w:rsid w:val="00240D8F"/>
    <w:rsid w:val="00263CDA"/>
    <w:rsid w:val="00287FF0"/>
    <w:rsid w:val="002A585A"/>
    <w:rsid w:val="002B09E2"/>
    <w:rsid w:val="002C13BE"/>
    <w:rsid w:val="002C20F5"/>
    <w:rsid w:val="002D1111"/>
    <w:rsid w:val="00304E7D"/>
    <w:rsid w:val="00343687"/>
    <w:rsid w:val="00362EE5"/>
    <w:rsid w:val="00380BC7"/>
    <w:rsid w:val="003816D0"/>
    <w:rsid w:val="0038491A"/>
    <w:rsid w:val="003C17A2"/>
    <w:rsid w:val="003D2172"/>
    <w:rsid w:val="003E37EF"/>
    <w:rsid w:val="003E7DCF"/>
    <w:rsid w:val="0041053E"/>
    <w:rsid w:val="00447FFE"/>
    <w:rsid w:val="004553C0"/>
    <w:rsid w:val="00456997"/>
    <w:rsid w:val="004569E1"/>
    <w:rsid w:val="00474887"/>
    <w:rsid w:val="00481F8C"/>
    <w:rsid w:val="004D360A"/>
    <w:rsid w:val="004D4129"/>
    <w:rsid w:val="004E6386"/>
    <w:rsid w:val="004F280F"/>
    <w:rsid w:val="00510473"/>
    <w:rsid w:val="00530931"/>
    <w:rsid w:val="00535144"/>
    <w:rsid w:val="005545B9"/>
    <w:rsid w:val="00575EEA"/>
    <w:rsid w:val="005765BE"/>
    <w:rsid w:val="005A3F47"/>
    <w:rsid w:val="005A4829"/>
    <w:rsid w:val="005B1959"/>
    <w:rsid w:val="005B2116"/>
    <w:rsid w:val="005D677A"/>
    <w:rsid w:val="005F7300"/>
    <w:rsid w:val="0060604F"/>
    <w:rsid w:val="00624CDC"/>
    <w:rsid w:val="00652661"/>
    <w:rsid w:val="006747B9"/>
    <w:rsid w:val="00677255"/>
    <w:rsid w:val="00691DCD"/>
    <w:rsid w:val="00695B86"/>
    <w:rsid w:val="006A0676"/>
    <w:rsid w:val="006C66FC"/>
    <w:rsid w:val="006C68D6"/>
    <w:rsid w:val="006D5F2B"/>
    <w:rsid w:val="00732F95"/>
    <w:rsid w:val="00745365"/>
    <w:rsid w:val="00752E85"/>
    <w:rsid w:val="00780032"/>
    <w:rsid w:val="00785DC7"/>
    <w:rsid w:val="007903E7"/>
    <w:rsid w:val="007A6587"/>
    <w:rsid w:val="007B7AE3"/>
    <w:rsid w:val="007C2B51"/>
    <w:rsid w:val="007C7F72"/>
    <w:rsid w:val="007D21D9"/>
    <w:rsid w:val="007D7028"/>
    <w:rsid w:val="007F46DC"/>
    <w:rsid w:val="0080415B"/>
    <w:rsid w:val="00822ABF"/>
    <w:rsid w:val="00832C9B"/>
    <w:rsid w:val="008542B4"/>
    <w:rsid w:val="008646A3"/>
    <w:rsid w:val="00867115"/>
    <w:rsid w:val="008738B4"/>
    <w:rsid w:val="0087441A"/>
    <w:rsid w:val="008950CA"/>
    <w:rsid w:val="00905FFF"/>
    <w:rsid w:val="00924C74"/>
    <w:rsid w:val="009976E4"/>
    <w:rsid w:val="009E46AD"/>
    <w:rsid w:val="009E65F1"/>
    <w:rsid w:val="00A23793"/>
    <w:rsid w:val="00A31AEB"/>
    <w:rsid w:val="00A429A5"/>
    <w:rsid w:val="00A95BAB"/>
    <w:rsid w:val="00AB5B7A"/>
    <w:rsid w:val="00AC5B9E"/>
    <w:rsid w:val="00AD1659"/>
    <w:rsid w:val="00AE59B6"/>
    <w:rsid w:val="00AE75F7"/>
    <w:rsid w:val="00B4771E"/>
    <w:rsid w:val="00B61A82"/>
    <w:rsid w:val="00B6716C"/>
    <w:rsid w:val="00B90AF7"/>
    <w:rsid w:val="00BA7BED"/>
    <w:rsid w:val="00BB4A67"/>
    <w:rsid w:val="00BB5B74"/>
    <w:rsid w:val="00BC19F1"/>
    <w:rsid w:val="00BC5D02"/>
    <w:rsid w:val="00BE13AB"/>
    <w:rsid w:val="00BE3237"/>
    <w:rsid w:val="00BF7A01"/>
    <w:rsid w:val="00C00483"/>
    <w:rsid w:val="00C15610"/>
    <w:rsid w:val="00C40441"/>
    <w:rsid w:val="00C5431A"/>
    <w:rsid w:val="00C92D1B"/>
    <w:rsid w:val="00CA40F7"/>
    <w:rsid w:val="00CB0BA6"/>
    <w:rsid w:val="00CB0E62"/>
    <w:rsid w:val="00CD4FB4"/>
    <w:rsid w:val="00CE32C8"/>
    <w:rsid w:val="00CE7D37"/>
    <w:rsid w:val="00CF223E"/>
    <w:rsid w:val="00D126D6"/>
    <w:rsid w:val="00D13A37"/>
    <w:rsid w:val="00D1561B"/>
    <w:rsid w:val="00D20D7F"/>
    <w:rsid w:val="00D20EFC"/>
    <w:rsid w:val="00D46658"/>
    <w:rsid w:val="00D65BED"/>
    <w:rsid w:val="00D859A2"/>
    <w:rsid w:val="00DC2939"/>
    <w:rsid w:val="00DE7DCE"/>
    <w:rsid w:val="00E178D1"/>
    <w:rsid w:val="00E50813"/>
    <w:rsid w:val="00E5458F"/>
    <w:rsid w:val="00E638DF"/>
    <w:rsid w:val="00E722D9"/>
    <w:rsid w:val="00E84D6D"/>
    <w:rsid w:val="00EA01F5"/>
    <w:rsid w:val="00EA1243"/>
    <w:rsid w:val="00EA3FFE"/>
    <w:rsid w:val="00EC6B19"/>
    <w:rsid w:val="00F152D6"/>
    <w:rsid w:val="00F43DC1"/>
    <w:rsid w:val="00F651D8"/>
    <w:rsid w:val="00F70874"/>
    <w:rsid w:val="00FB3118"/>
    <w:rsid w:val="00FB4622"/>
    <w:rsid w:val="00FC5DE2"/>
    <w:rsid w:val="00FE37CE"/>
    <w:rsid w:val="00FE6460"/>
    <w:rsid w:val="00FE7075"/>
    <w:rsid w:val="00FF74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545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Vchozstyl"/>
    <w:link w:val="Nadpis2Char1"/>
    <w:uiPriority w:val="9"/>
    <w:qFormat/>
    <w:pPr>
      <w:keepNext/>
      <w:keepLines/>
      <w:numPr>
        <w:numId w:val="1"/>
      </w:numPr>
      <w:spacing w:before="200" w:line="276" w:lineRule="auto"/>
      <w:outlineLvl w:val="1"/>
    </w:pPr>
    <w:rPr>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styl">
    <w:name w:val="Výchozí styl"/>
    <w:pPr>
      <w:widowControl w:val="0"/>
      <w:suppressAutoHyphens/>
      <w:spacing w:after="0" w:line="100" w:lineRule="atLeast"/>
      <w:textAlignment w:val="baseline"/>
    </w:pPr>
    <w:rPr>
      <w:rFonts w:ascii="Times New Roman" w:eastAsia="Andale Sans UI" w:hAnsi="Times New Roman" w:cs="Times New Roman"/>
      <w:color w:val="00000A"/>
      <w:sz w:val="24"/>
      <w:szCs w:val="24"/>
      <w:lang w:val="de-DE" w:eastAsia="en-US" w:bidi="fa-IR"/>
    </w:rPr>
  </w:style>
  <w:style w:type="character" w:customStyle="1" w:styleId="Nadpis2Char">
    <w:name w:val="Nadpis 2 Char"/>
    <w:basedOn w:val="Standardnpsmoodstavce"/>
    <w:link w:val="Nadpis21"/>
    <w:rPr>
      <w:rFonts w:ascii="Times New Roman" w:hAnsi="Times New Roman"/>
      <w:b/>
      <w:bCs/>
      <w:sz w:val="24"/>
      <w:szCs w:val="26"/>
    </w:rPr>
  </w:style>
  <w:style w:type="character" w:customStyle="1" w:styleId="apple-converted-space">
    <w:name w:val="apple-converted-space"/>
    <w:basedOn w:val="Standardnpsmoodstavce"/>
  </w:style>
  <w:style w:type="character" w:styleId="Odkaznakoment">
    <w:name w:val="annotation reference"/>
    <w:basedOn w:val="Standardnpsmoodstavce"/>
    <w:uiPriority w:val="99"/>
    <w:rPr>
      <w:sz w:val="16"/>
      <w:szCs w:val="16"/>
    </w:rPr>
  </w:style>
  <w:style w:type="character" w:customStyle="1" w:styleId="TextkomenteChar">
    <w:name w:val="Text komentáře Char"/>
    <w:basedOn w:val="Standardnpsmoodstavce"/>
    <w:uiPriority w:val="99"/>
    <w:rPr>
      <w:rFonts w:ascii="Cambria" w:eastAsia="MS Mincho" w:hAnsi="Cambria" w:cs="Times New Roman"/>
      <w:sz w:val="20"/>
      <w:szCs w:val="20"/>
      <w:lang w:val="en-US"/>
    </w:rPr>
  </w:style>
  <w:style w:type="character" w:customStyle="1" w:styleId="PedmtkomenteChar">
    <w:name w:val="Předmět komentáře Char"/>
    <w:basedOn w:val="TextkomenteChar"/>
    <w:rPr>
      <w:rFonts w:ascii="Cambria" w:eastAsia="MS Mincho" w:hAnsi="Cambria" w:cs="Times New Roman"/>
      <w:b/>
      <w:bCs/>
      <w:sz w:val="20"/>
      <w:szCs w:val="20"/>
      <w:lang w:val="en-US"/>
    </w:rPr>
  </w:style>
  <w:style w:type="character" w:customStyle="1" w:styleId="TextbublinyChar">
    <w:name w:val="Text bubliny Char"/>
    <w:basedOn w:val="Standardnpsmoodstavce"/>
    <w:rPr>
      <w:rFonts w:ascii="Tahoma" w:eastAsia="MS Mincho" w:hAnsi="Tahoma" w:cs="Tahoma"/>
      <w:sz w:val="16"/>
      <w:szCs w:val="16"/>
      <w:lang w:val="en-US"/>
    </w:rPr>
  </w:style>
  <w:style w:type="character" w:customStyle="1" w:styleId="TextpoznpodarouChar">
    <w:name w:val="Text pozn. pod čarou Char"/>
    <w:basedOn w:val="Standardnpsmoodstavce"/>
    <w:rPr>
      <w:rFonts w:ascii="Cambria" w:eastAsia="MS Mincho" w:hAnsi="Cambria" w:cs="Times New Roman"/>
      <w:sz w:val="20"/>
      <w:szCs w:val="20"/>
      <w:lang w:val="en-US"/>
    </w:rPr>
  </w:style>
  <w:style w:type="character" w:styleId="Znakapoznpodarou">
    <w:name w:val="footnote reference"/>
    <w:basedOn w:val="Standardnpsmoodstavce"/>
    <w:rPr>
      <w:vertAlign w:val="superscript"/>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ascii="Times New Roman" w:eastAsia="Times New Roman" w:hAnsi="Times New Roman" w:cs="Times New Roman"/>
      <w:b/>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Ukotvenpoznmkypodarou">
    <w:name w:val="Ukotvení poznámky pod čarou"/>
    <w:rPr>
      <w:vertAlign w:val="superscript"/>
    </w:rPr>
  </w:style>
  <w:style w:type="character" w:customStyle="1" w:styleId="Ukotvenvysvtlivky">
    <w:name w:val="Ukotvení vysvětlivky"/>
    <w:rPr>
      <w:vertAlign w:val="superscript"/>
    </w:rPr>
  </w:style>
  <w:style w:type="character" w:customStyle="1" w:styleId="ListLabel9">
    <w:name w:val="ListLabel 9"/>
    <w:rPr>
      <w:rFonts w:cs="Times New Roman"/>
      <w:b/>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Times New Roman"/>
      <w:b/>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Znakypropoznmkupodarou">
    <w:name w:val="Znaky pro poznámku pod čarou"/>
  </w:style>
  <w:style w:type="character" w:customStyle="1" w:styleId="Znakyprovysvtlivky">
    <w:name w:val="Znaky pro vysvětlivky"/>
  </w:style>
  <w:style w:type="paragraph" w:customStyle="1" w:styleId="Nadpis">
    <w:name w:val="Nadpis"/>
    <w:basedOn w:val="Vchozstyl"/>
    <w:next w:val="Tlotextu"/>
    <w:pPr>
      <w:keepNext/>
      <w:spacing w:before="240" w:after="120"/>
    </w:pPr>
    <w:rPr>
      <w:rFonts w:ascii="Arial" w:eastAsia="Microsoft YaHei" w:hAnsi="Arial" w:cs="Mangal"/>
      <w:sz w:val="28"/>
      <w:szCs w:val="28"/>
    </w:rPr>
  </w:style>
  <w:style w:type="paragraph" w:customStyle="1" w:styleId="Tlotextu">
    <w:name w:val="Tělo textu"/>
    <w:basedOn w:val="Vchozstyl"/>
    <w:pPr>
      <w:spacing w:after="140" w:line="288" w:lineRule="auto"/>
    </w:pPr>
  </w:style>
  <w:style w:type="paragraph" w:styleId="Seznam">
    <w:name w:val="List"/>
    <w:basedOn w:val="Tlotextu"/>
    <w:rPr>
      <w:rFonts w:ascii="Arial" w:hAnsi="Arial" w:cs="Mangal"/>
    </w:rPr>
  </w:style>
  <w:style w:type="paragraph" w:customStyle="1" w:styleId="Popisek">
    <w:name w:val="Popisek"/>
    <w:basedOn w:val="Vchozstyl"/>
    <w:pPr>
      <w:suppressLineNumbers/>
      <w:spacing w:before="120" w:after="120"/>
    </w:pPr>
    <w:rPr>
      <w:rFonts w:ascii="Arial" w:hAnsi="Arial" w:cs="Mangal"/>
      <w:i/>
      <w:iCs/>
    </w:rPr>
  </w:style>
  <w:style w:type="paragraph" w:customStyle="1" w:styleId="Rejstk">
    <w:name w:val="Rejstřík"/>
    <w:basedOn w:val="Vchozstyl"/>
    <w:pPr>
      <w:suppressLineNumbers/>
    </w:pPr>
    <w:rPr>
      <w:rFonts w:ascii="Arial" w:hAnsi="Arial" w:cs="Mangal"/>
    </w:rPr>
  </w:style>
  <w:style w:type="paragraph" w:customStyle="1" w:styleId="para">
    <w:name w:val="para"/>
    <w:basedOn w:val="Vchozstyl"/>
    <w:pPr>
      <w:spacing w:before="28" w:after="28"/>
    </w:pPr>
    <w:rPr>
      <w:rFonts w:eastAsia="Times New Roman"/>
      <w:lang w:val="cs-CZ" w:eastAsia="cs-CZ"/>
    </w:rPr>
  </w:style>
  <w:style w:type="paragraph" w:styleId="Normlnweb">
    <w:name w:val="Normal (Web)"/>
    <w:basedOn w:val="Vchozstyl"/>
    <w:uiPriority w:val="99"/>
    <w:pPr>
      <w:spacing w:before="28" w:after="28"/>
    </w:pPr>
    <w:rPr>
      <w:rFonts w:eastAsia="Times New Roman"/>
      <w:lang w:val="cs-CZ" w:eastAsia="cs-CZ"/>
    </w:rPr>
  </w:style>
  <w:style w:type="paragraph" w:styleId="Textkomente">
    <w:name w:val="annotation text"/>
    <w:basedOn w:val="Vchozstyl"/>
    <w:uiPriority w:val="99"/>
    <w:rPr>
      <w:sz w:val="20"/>
      <w:szCs w:val="20"/>
    </w:rPr>
  </w:style>
  <w:style w:type="paragraph" w:styleId="Pedmtkomente">
    <w:name w:val="annotation subject"/>
    <w:basedOn w:val="Textkomente"/>
    <w:rPr>
      <w:b/>
      <w:bCs/>
    </w:rPr>
  </w:style>
  <w:style w:type="paragraph" w:styleId="Textbubliny">
    <w:name w:val="Balloon Text"/>
    <w:basedOn w:val="Vchozstyl"/>
    <w:rPr>
      <w:rFonts w:ascii="Tahoma" w:hAnsi="Tahoma" w:cs="Tahoma"/>
      <w:sz w:val="16"/>
      <w:szCs w:val="16"/>
    </w:rPr>
  </w:style>
  <w:style w:type="paragraph" w:styleId="Textpoznpodarou">
    <w:name w:val="footnote text"/>
    <w:basedOn w:val="Vchozstyl"/>
    <w:rPr>
      <w:sz w:val="20"/>
      <w:szCs w:val="20"/>
    </w:rPr>
  </w:style>
  <w:style w:type="paragraph" w:styleId="Odstavecseseznamem">
    <w:name w:val="List Paragraph"/>
    <w:basedOn w:val="Vchozstyl"/>
    <w:uiPriority w:val="34"/>
    <w:qFormat/>
    <w:pPr>
      <w:ind w:left="720"/>
      <w:contextualSpacing/>
    </w:pPr>
  </w:style>
  <w:style w:type="paragraph" w:customStyle="1" w:styleId="Normln1">
    <w:name w:val="Normální1"/>
    <w:pPr>
      <w:suppressAutoHyphens/>
    </w:pPr>
    <w:rPr>
      <w:rFonts w:ascii="EUAlbertina" w:eastAsia="Arial" w:hAnsi="EUAlbertina" w:cs="Calibri"/>
      <w:color w:val="00000A"/>
      <w:sz w:val="24"/>
      <w:szCs w:val="24"/>
      <w:lang w:eastAsia="en-US"/>
    </w:rPr>
  </w:style>
  <w:style w:type="paragraph" w:customStyle="1" w:styleId="Poznmkapodarou">
    <w:name w:val="Poznámka pod čarou"/>
    <w:basedOn w:val="Vchozstyl"/>
  </w:style>
  <w:style w:type="paragraph" w:customStyle="1" w:styleId="Default">
    <w:name w:val="Default"/>
    <w:rsid w:val="00FE7075"/>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8646A3"/>
    <w:rPr>
      <w:color w:val="0000FF"/>
      <w:u w:val="single"/>
    </w:rPr>
  </w:style>
  <w:style w:type="character" w:customStyle="1" w:styleId="Nadpis1Char">
    <w:name w:val="Nadpis 1 Char"/>
    <w:basedOn w:val="Standardnpsmoodstavce"/>
    <w:link w:val="Nadpis1"/>
    <w:uiPriority w:val="9"/>
    <w:rsid w:val="005545B9"/>
    <w:rPr>
      <w:rFonts w:asciiTheme="majorHAnsi" w:eastAsiaTheme="majorEastAsia" w:hAnsiTheme="majorHAnsi" w:cstheme="majorBidi"/>
      <w:b/>
      <w:bCs/>
      <w:color w:val="365F91" w:themeColor="accent1" w:themeShade="BF"/>
      <w:sz w:val="28"/>
      <w:szCs w:val="28"/>
    </w:rPr>
  </w:style>
  <w:style w:type="character" w:customStyle="1" w:styleId="InternetLink">
    <w:name w:val="Internet Link"/>
    <w:rsid w:val="00F152D6"/>
    <w:rPr>
      <w:color w:val="000080"/>
      <w:u w:val="single"/>
    </w:rPr>
  </w:style>
  <w:style w:type="paragraph" w:customStyle="1" w:styleId="Nadpis51">
    <w:name w:val="Nadpis 51"/>
    <w:basedOn w:val="Normln"/>
    <w:link w:val="Nadpis5Char"/>
    <w:uiPriority w:val="99"/>
    <w:semiHidden/>
    <w:unhideWhenUsed/>
    <w:qFormat/>
    <w:rsid w:val="00D46658"/>
    <w:pPr>
      <w:keepNext/>
      <w:spacing w:after="0" w:line="240" w:lineRule="auto"/>
      <w:jc w:val="both"/>
      <w:outlineLvl w:val="4"/>
    </w:pPr>
    <w:rPr>
      <w:rFonts w:ascii="Times New Roman" w:eastAsia="Times New Roman" w:hAnsi="Times New Roman" w:cs="Times New Roman"/>
      <w:sz w:val="24"/>
      <w:szCs w:val="24"/>
    </w:rPr>
  </w:style>
  <w:style w:type="character" w:customStyle="1" w:styleId="Nadpis5Char">
    <w:name w:val="Nadpis 5 Char"/>
    <w:basedOn w:val="Standardnpsmoodstavce"/>
    <w:link w:val="Nadpis51"/>
    <w:uiPriority w:val="99"/>
    <w:semiHidden/>
    <w:qFormat/>
    <w:rsid w:val="00D46658"/>
    <w:rPr>
      <w:rFonts w:ascii="Times New Roman" w:eastAsia="Times New Roman" w:hAnsi="Times New Roman" w:cs="Times New Roman"/>
      <w:sz w:val="24"/>
      <w:szCs w:val="24"/>
    </w:rPr>
  </w:style>
  <w:style w:type="character" w:customStyle="1" w:styleId="Nadpis2Char1">
    <w:name w:val="Nadpis 2 Char1"/>
    <w:basedOn w:val="Standardnpsmoodstavce"/>
    <w:link w:val="Nadpis2"/>
    <w:uiPriority w:val="9"/>
    <w:rsid w:val="00CD4FB4"/>
    <w:rPr>
      <w:rFonts w:ascii="Times New Roman" w:eastAsia="Andale Sans UI" w:hAnsi="Times New Roman" w:cs="Times New Roman"/>
      <w:b/>
      <w:bCs/>
      <w:color w:val="00000A"/>
      <w:sz w:val="26"/>
      <w:szCs w:val="26"/>
      <w:lang w:eastAsia="en-US" w:bidi="fa-IR"/>
    </w:rPr>
  </w:style>
  <w:style w:type="character" w:customStyle="1" w:styleId="Nadpis1Char1">
    <w:name w:val="Nadpis 1 Char1"/>
    <w:basedOn w:val="Standardnpsmoodstavce"/>
    <w:uiPriority w:val="9"/>
    <w:rsid w:val="004553C0"/>
    <w:rPr>
      <w:rFonts w:ascii="Arial" w:eastAsia="Times New Roman" w:hAnsi="Arial" w:cs="Times New Roman"/>
      <w:b/>
      <w:color w:val="5B9BD5"/>
      <w:kern w:val="36"/>
      <w:sz w:val="24"/>
      <w:szCs w:val="48"/>
      <w:u w:val="single"/>
    </w:rPr>
  </w:style>
  <w:style w:type="paragraph" w:customStyle="1" w:styleId="Nadpis21">
    <w:name w:val="Nadpis 21"/>
    <w:basedOn w:val="Normln"/>
    <w:link w:val="Nadpis2Char"/>
    <w:qFormat/>
    <w:rsid w:val="004553C0"/>
    <w:pPr>
      <w:numPr>
        <w:numId w:val="18"/>
      </w:numPr>
      <w:spacing w:after="0" w:line="360" w:lineRule="auto"/>
      <w:jc w:val="both"/>
    </w:pPr>
    <w:rPr>
      <w:rFonts w:ascii="Times New Roman" w:hAnsi="Times New Roman"/>
      <w:b/>
      <w:bCs/>
      <w:sz w:val="24"/>
      <w:szCs w:val="26"/>
    </w:rPr>
  </w:style>
  <w:style w:type="paragraph" w:customStyle="1" w:styleId="go">
    <w:name w:val="go"/>
    <w:basedOn w:val="Normln"/>
    <w:rsid w:val="004E63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5545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Vchozstyl"/>
    <w:link w:val="Nadpis2Char1"/>
    <w:uiPriority w:val="9"/>
    <w:qFormat/>
    <w:pPr>
      <w:keepNext/>
      <w:keepLines/>
      <w:numPr>
        <w:numId w:val="1"/>
      </w:numPr>
      <w:spacing w:before="200" w:line="276" w:lineRule="auto"/>
      <w:outlineLvl w:val="1"/>
    </w:pPr>
    <w:rPr>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styl">
    <w:name w:val="Výchozí styl"/>
    <w:pPr>
      <w:widowControl w:val="0"/>
      <w:suppressAutoHyphens/>
      <w:spacing w:after="0" w:line="100" w:lineRule="atLeast"/>
      <w:textAlignment w:val="baseline"/>
    </w:pPr>
    <w:rPr>
      <w:rFonts w:ascii="Times New Roman" w:eastAsia="Andale Sans UI" w:hAnsi="Times New Roman" w:cs="Times New Roman"/>
      <w:color w:val="00000A"/>
      <w:sz w:val="24"/>
      <w:szCs w:val="24"/>
      <w:lang w:val="de-DE" w:eastAsia="en-US" w:bidi="fa-IR"/>
    </w:rPr>
  </w:style>
  <w:style w:type="character" w:customStyle="1" w:styleId="Nadpis2Char">
    <w:name w:val="Nadpis 2 Char"/>
    <w:basedOn w:val="Standardnpsmoodstavce"/>
    <w:link w:val="Nadpis21"/>
    <w:rPr>
      <w:rFonts w:ascii="Times New Roman" w:hAnsi="Times New Roman"/>
      <w:b/>
      <w:bCs/>
      <w:sz w:val="24"/>
      <w:szCs w:val="26"/>
    </w:rPr>
  </w:style>
  <w:style w:type="character" w:customStyle="1" w:styleId="apple-converted-space">
    <w:name w:val="apple-converted-space"/>
    <w:basedOn w:val="Standardnpsmoodstavce"/>
  </w:style>
  <w:style w:type="character" w:styleId="Odkaznakoment">
    <w:name w:val="annotation reference"/>
    <w:basedOn w:val="Standardnpsmoodstavce"/>
    <w:uiPriority w:val="99"/>
    <w:rPr>
      <w:sz w:val="16"/>
      <w:szCs w:val="16"/>
    </w:rPr>
  </w:style>
  <w:style w:type="character" w:customStyle="1" w:styleId="TextkomenteChar">
    <w:name w:val="Text komentáře Char"/>
    <w:basedOn w:val="Standardnpsmoodstavce"/>
    <w:uiPriority w:val="99"/>
    <w:rPr>
      <w:rFonts w:ascii="Cambria" w:eastAsia="MS Mincho" w:hAnsi="Cambria" w:cs="Times New Roman"/>
      <w:sz w:val="20"/>
      <w:szCs w:val="20"/>
      <w:lang w:val="en-US"/>
    </w:rPr>
  </w:style>
  <w:style w:type="character" w:customStyle="1" w:styleId="PedmtkomenteChar">
    <w:name w:val="Předmět komentáře Char"/>
    <w:basedOn w:val="TextkomenteChar"/>
    <w:rPr>
      <w:rFonts w:ascii="Cambria" w:eastAsia="MS Mincho" w:hAnsi="Cambria" w:cs="Times New Roman"/>
      <w:b/>
      <w:bCs/>
      <w:sz w:val="20"/>
      <w:szCs w:val="20"/>
      <w:lang w:val="en-US"/>
    </w:rPr>
  </w:style>
  <w:style w:type="character" w:customStyle="1" w:styleId="TextbublinyChar">
    <w:name w:val="Text bubliny Char"/>
    <w:basedOn w:val="Standardnpsmoodstavce"/>
    <w:rPr>
      <w:rFonts w:ascii="Tahoma" w:eastAsia="MS Mincho" w:hAnsi="Tahoma" w:cs="Tahoma"/>
      <w:sz w:val="16"/>
      <w:szCs w:val="16"/>
      <w:lang w:val="en-US"/>
    </w:rPr>
  </w:style>
  <w:style w:type="character" w:customStyle="1" w:styleId="TextpoznpodarouChar">
    <w:name w:val="Text pozn. pod čarou Char"/>
    <w:basedOn w:val="Standardnpsmoodstavce"/>
    <w:rPr>
      <w:rFonts w:ascii="Cambria" w:eastAsia="MS Mincho" w:hAnsi="Cambria" w:cs="Times New Roman"/>
      <w:sz w:val="20"/>
      <w:szCs w:val="20"/>
      <w:lang w:val="en-US"/>
    </w:rPr>
  </w:style>
  <w:style w:type="character" w:styleId="Znakapoznpodarou">
    <w:name w:val="footnote reference"/>
    <w:basedOn w:val="Standardnpsmoodstavce"/>
    <w:rPr>
      <w:vertAlign w:val="superscript"/>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ascii="Times New Roman" w:eastAsia="Times New Roman" w:hAnsi="Times New Roman" w:cs="Times New Roman"/>
      <w:b/>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Ukotvenpoznmkypodarou">
    <w:name w:val="Ukotvení poznámky pod čarou"/>
    <w:rPr>
      <w:vertAlign w:val="superscript"/>
    </w:rPr>
  </w:style>
  <w:style w:type="character" w:customStyle="1" w:styleId="Ukotvenvysvtlivky">
    <w:name w:val="Ukotvení vysvětlivky"/>
    <w:rPr>
      <w:vertAlign w:val="superscript"/>
    </w:rPr>
  </w:style>
  <w:style w:type="character" w:customStyle="1" w:styleId="ListLabel9">
    <w:name w:val="ListLabel 9"/>
    <w:rPr>
      <w:rFonts w:cs="Times New Roman"/>
      <w:b/>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Times New Roman"/>
      <w:b/>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Znakypropoznmkupodarou">
    <w:name w:val="Znaky pro poznámku pod čarou"/>
  </w:style>
  <w:style w:type="character" w:customStyle="1" w:styleId="Znakyprovysvtlivky">
    <w:name w:val="Znaky pro vysvětlivky"/>
  </w:style>
  <w:style w:type="paragraph" w:customStyle="1" w:styleId="Nadpis">
    <w:name w:val="Nadpis"/>
    <w:basedOn w:val="Vchozstyl"/>
    <w:next w:val="Tlotextu"/>
    <w:pPr>
      <w:keepNext/>
      <w:spacing w:before="240" w:after="120"/>
    </w:pPr>
    <w:rPr>
      <w:rFonts w:ascii="Arial" w:eastAsia="Microsoft YaHei" w:hAnsi="Arial" w:cs="Mangal"/>
      <w:sz w:val="28"/>
      <w:szCs w:val="28"/>
    </w:rPr>
  </w:style>
  <w:style w:type="paragraph" w:customStyle="1" w:styleId="Tlotextu">
    <w:name w:val="Tělo textu"/>
    <w:basedOn w:val="Vchozstyl"/>
    <w:pPr>
      <w:spacing w:after="140" w:line="288" w:lineRule="auto"/>
    </w:pPr>
  </w:style>
  <w:style w:type="paragraph" w:styleId="Seznam">
    <w:name w:val="List"/>
    <w:basedOn w:val="Tlotextu"/>
    <w:rPr>
      <w:rFonts w:ascii="Arial" w:hAnsi="Arial" w:cs="Mangal"/>
    </w:rPr>
  </w:style>
  <w:style w:type="paragraph" w:customStyle="1" w:styleId="Popisek">
    <w:name w:val="Popisek"/>
    <w:basedOn w:val="Vchozstyl"/>
    <w:pPr>
      <w:suppressLineNumbers/>
      <w:spacing w:before="120" w:after="120"/>
    </w:pPr>
    <w:rPr>
      <w:rFonts w:ascii="Arial" w:hAnsi="Arial" w:cs="Mangal"/>
      <w:i/>
      <w:iCs/>
    </w:rPr>
  </w:style>
  <w:style w:type="paragraph" w:customStyle="1" w:styleId="Rejstk">
    <w:name w:val="Rejstřík"/>
    <w:basedOn w:val="Vchozstyl"/>
    <w:pPr>
      <w:suppressLineNumbers/>
    </w:pPr>
    <w:rPr>
      <w:rFonts w:ascii="Arial" w:hAnsi="Arial" w:cs="Mangal"/>
    </w:rPr>
  </w:style>
  <w:style w:type="paragraph" w:customStyle="1" w:styleId="para">
    <w:name w:val="para"/>
    <w:basedOn w:val="Vchozstyl"/>
    <w:pPr>
      <w:spacing w:before="28" w:after="28"/>
    </w:pPr>
    <w:rPr>
      <w:rFonts w:eastAsia="Times New Roman"/>
      <w:lang w:val="cs-CZ" w:eastAsia="cs-CZ"/>
    </w:rPr>
  </w:style>
  <w:style w:type="paragraph" w:styleId="Normlnweb">
    <w:name w:val="Normal (Web)"/>
    <w:basedOn w:val="Vchozstyl"/>
    <w:uiPriority w:val="99"/>
    <w:pPr>
      <w:spacing w:before="28" w:after="28"/>
    </w:pPr>
    <w:rPr>
      <w:rFonts w:eastAsia="Times New Roman"/>
      <w:lang w:val="cs-CZ" w:eastAsia="cs-CZ"/>
    </w:rPr>
  </w:style>
  <w:style w:type="paragraph" w:styleId="Textkomente">
    <w:name w:val="annotation text"/>
    <w:basedOn w:val="Vchozstyl"/>
    <w:uiPriority w:val="99"/>
    <w:rPr>
      <w:sz w:val="20"/>
      <w:szCs w:val="20"/>
    </w:rPr>
  </w:style>
  <w:style w:type="paragraph" w:styleId="Pedmtkomente">
    <w:name w:val="annotation subject"/>
    <w:basedOn w:val="Textkomente"/>
    <w:rPr>
      <w:b/>
      <w:bCs/>
    </w:rPr>
  </w:style>
  <w:style w:type="paragraph" w:styleId="Textbubliny">
    <w:name w:val="Balloon Text"/>
    <w:basedOn w:val="Vchozstyl"/>
    <w:rPr>
      <w:rFonts w:ascii="Tahoma" w:hAnsi="Tahoma" w:cs="Tahoma"/>
      <w:sz w:val="16"/>
      <w:szCs w:val="16"/>
    </w:rPr>
  </w:style>
  <w:style w:type="paragraph" w:styleId="Textpoznpodarou">
    <w:name w:val="footnote text"/>
    <w:basedOn w:val="Vchozstyl"/>
    <w:rPr>
      <w:sz w:val="20"/>
      <w:szCs w:val="20"/>
    </w:rPr>
  </w:style>
  <w:style w:type="paragraph" w:styleId="Odstavecseseznamem">
    <w:name w:val="List Paragraph"/>
    <w:basedOn w:val="Vchozstyl"/>
    <w:uiPriority w:val="34"/>
    <w:qFormat/>
    <w:pPr>
      <w:ind w:left="720"/>
      <w:contextualSpacing/>
    </w:pPr>
  </w:style>
  <w:style w:type="paragraph" w:customStyle="1" w:styleId="Normln1">
    <w:name w:val="Normální1"/>
    <w:pPr>
      <w:suppressAutoHyphens/>
    </w:pPr>
    <w:rPr>
      <w:rFonts w:ascii="EUAlbertina" w:eastAsia="Arial" w:hAnsi="EUAlbertina" w:cs="Calibri"/>
      <w:color w:val="00000A"/>
      <w:sz w:val="24"/>
      <w:szCs w:val="24"/>
      <w:lang w:eastAsia="en-US"/>
    </w:rPr>
  </w:style>
  <w:style w:type="paragraph" w:customStyle="1" w:styleId="Poznmkapodarou">
    <w:name w:val="Poznámka pod čarou"/>
    <w:basedOn w:val="Vchozstyl"/>
  </w:style>
  <w:style w:type="paragraph" w:customStyle="1" w:styleId="Default">
    <w:name w:val="Default"/>
    <w:rsid w:val="00FE7075"/>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8646A3"/>
    <w:rPr>
      <w:color w:val="0000FF"/>
      <w:u w:val="single"/>
    </w:rPr>
  </w:style>
  <w:style w:type="character" w:customStyle="1" w:styleId="Nadpis1Char">
    <w:name w:val="Nadpis 1 Char"/>
    <w:basedOn w:val="Standardnpsmoodstavce"/>
    <w:link w:val="Nadpis1"/>
    <w:uiPriority w:val="9"/>
    <w:rsid w:val="005545B9"/>
    <w:rPr>
      <w:rFonts w:asciiTheme="majorHAnsi" w:eastAsiaTheme="majorEastAsia" w:hAnsiTheme="majorHAnsi" w:cstheme="majorBidi"/>
      <w:b/>
      <w:bCs/>
      <w:color w:val="365F91" w:themeColor="accent1" w:themeShade="BF"/>
      <w:sz w:val="28"/>
      <w:szCs w:val="28"/>
    </w:rPr>
  </w:style>
  <w:style w:type="character" w:customStyle="1" w:styleId="InternetLink">
    <w:name w:val="Internet Link"/>
    <w:rsid w:val="00F152D6"/>
    <w:rPr>
      <w:color w:val="000080"/>
      <w:u w:val="single"/>
    </w:rPr>
  </w:style>
  <w:style w:type="paragraph" w:customStyle="1" w:styleId="Nadpis51">
    <w:name w:val="Nadpis 51"/>
    <w:basedOn w:val="Normln"/>
    <w:link w:val="Nadpis5Char"/>
    <w:uiPriority w:val="99"/>
    <w:semiHidden/>
    <w:unhideWhenUsed/>
    <w:qFormat/>
    <w:rsid w:val="00D46658"/>
    <w:pPr>
      <w:keepNext/>
      <w:spacing w:after="0" w:line="240" w:lineRule="auto"/>
      <w:jc w:val="both"/>
      <w:outlineLvl w:val="4"/>
    </w:pPr>
    <w:rPr>
      <w:rFonts w:ascii="Times New Roman" w:eastAsia="Times New Roman" w:hAnsi="Times New Roman" w:cs="Times New Roman"/>
      <w:sz w:val="24"/>
      <w:szCs w:val="24"/>
    </w:rPr>
  </w:style>
  <w:style w:type="character" w:customStyle="1" w:styleId="Nadpis5Char">
    <w:name w:val="Nadpis 5 Char"/>
    <w:basedOn w:val="Standardnpsmoodstavce"/>
    <w:link w:val="Nadpis51"/>
    <w:uiPriority w:val="99"/>
    <w:semiHidden/>
    <w:qFormat/>
    <w:rsid w:val="00D46658"/>
    <w:rPr>
      <w:rFonts w:ascii="Times New Roman" w:eastAsia="Times New Roman" w:hAnsi="Times New Roman" w:cs="Times New Roman"/>
      <w:sz w:val="24"/>
      <w:szCs w:val="24"/>
    </w:rPr>
  </w:style>
  <w:style w:type="character" w:customStyle="1" w:styleId="Nadpis2Char1">
    <w:name w:val="Nadpis 2 Char1"/>
    <w:basedOn w:val="Standardnpsmoodstavce"/>
    <w:link w:val="Nadpis2"/>
    <w:uiPriority w:val="9"/>
    <w:rsid w:val="00CD4FB4"/>
    <w:rPr>
      <w:rFonts w:ascii="Times New Roman" w:eastAsia="Andale Sans UI" w:hAnsi="Times New Roman" w:cs="Times New Roman"/>
      <w:b/>
      <w:bCs/>
      <w:color w:val="00000A"/>
      <w:sz w:val="26"/>
      <w:szCs w:val="26"/>
      <w:lang w:eastAsia="en-US" w:bidi="fa-IR"/>
    </w:rPr>
  </w:style>
  <w:style w:type="character" w:customStyle="1" w:styleId="Nadpis1Char1">
    <w:name w:val="Nadpis 1 Char1"/>
    <w:basedOn w:val="Standardnpsmoodstavce"/>
    <w:uiPriority w:val="9"/>
    <w:rsid w:val="004553C0"/>
    <w:rPr>
      <w:rFonts w:ascii="Arial" w:eastAsia="Times New Roman" w:hAnsi="Arial" w:cs="Times New Roman"/>
      <w:b/>
      <w:color w:val="5B9BD5"/>
      <w:kern w:val="36"/>
      <w:sz w:val="24"/>
      <w:szCs w:val="48"/>
      <w:u w:val="single"/>
    </w:rPr>
  </w:style>
  <w:style w:type="paragraph" w:customStyle="1" w:styleId="Nadpis21">
    <w:name w:val="Nadpis 21"/>
    <w:basedOn w:val="Normln"/>
    <w:link w:val="Nadpis2Char"/>
    <w:qFormat/>
    <w:rsid w:val="004553C0"/>
    <w:pPr>
      <w:numPr>
        <w:numId w:val="18"/>
      </w:numPr>
      <w:spacing w:after="0" w:line="360" w:lineRule="auto"/>
      <w:jc w:val="both"/>
    </w:pPr>
    <w:rPr>
      <w:rFonts w:ascii="Times New Roman" w:hAnsi="Times New Roman"/>
      <w:b/>
      <w:bCs/>
      <w:sz w:val="24"/>
      <w:szCs w:val="26"/>
    </w:rPr>
  </w:style>
  <w:style w:type="paragraph" w:customStyle="1" w:styleId="go">
    <w:name w:val="go"/>
    <w:basedOn w:val="Normln"/>
    <w:rsid w:val="004E63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922797">
      <w:bodyDiv w:val="1"/>
      <w:marLeft w:val="0"/>
      <w:marRight w:val="0"/>
      <w:marTop w:val="0"/>
      <w:marBottom w:val="0"/>
      <w:divBdr>
        <w:top w:val="none" w:sz="0" w:space="0" w:color="auto"/>
        <w:left w:val="none" w:sz="0" w:space="0" w:color="auto"/>
        <w:bottom w:val="none" w:sz="0" w:space="0" w:color="auto"/>
        <w:right w:val="none" w:sz="0" w:space="0" w:color="auto"/>
      </w:divBdr>
    </w:div>
    <w:div w:id="474612406">
      <w:bodyDiv w:val="1"/>
      <w:marLeft w:val="0"/>
      <w:marRight w:val="0"/>
      <w:marTop w:val="0"/>
      <w:marBottom w:val="0"/>
      <w:divBdr>
        <w:top w:val="none" w:sz="0" w:space="0" w:color="auto"/>
        <w:left w:val="none" w:sz="0" w:space="0" w:color="auto"/>
        <w:bottom w:val="none" w:sz="0" w:space="0" w:color="auto"/>
        <w:right w:val="none" w:sz="0" w:space="0" w:color="auto"/>
      </w:divBdr>
      <w:divsChild>
        <w:div w:id="153569409">
          <w:marLeft w:val="0"/>
          <w:marRight w:val="0"/>
          <w:marTop w:val="0"/>
          <w:marBottom w:val="0"/>
          <w:divBdr>
            <w:top w:val="none" w:sz="0" w:space="0" w:color="auto"/>
            <w:left w:val="none" w:sz="0" w:space="0" w:color="auto"/>
            <w:bottom w:val="none" w:sz="0" w:space="0" w:color="auto"/>
            <w:right w:val="none" w:sz="0" w:space="0" w:color="auto"/>
          </w:divBdr>
        </w:div>
        <w:div w:id="255939444">
          <w:marLeft w:val="0"/>
          <w:marRight w:val="0"/>
          <w:marTop w:val="0"/>
          <w:marBottom w:val="0"/>
          <w:divBdr>
            <w:top w:val="none" w:sz="0" w:space="0" w:color="auto"/>
            <w:left w:val="none" w:sz="0" w:space="0" w:color="auto"/>
            <w:bottom w:val="none" w:sz="0" w:space="0" w:color="auto"/>
            <w:right w:val="none" w:sz="0" w:space="0" w:color="auto"/>
          </w:divBdr>
        </w:div>
      </w:divsChild>
    </w:div>
    <w:div w:id="590551763">
      <w:bodyDiv w:val="1"/>
      <w:marLeft w:val="0"/>
      <w:marRight w:val="0"/>
      <w:marTop w:val="0"/>
      <w:marBottom w:val="0"/>
      <w:divBdr>
        <w:top w:val="none" w:sz="0" w:space="0" w:color="auto"/>
        <w:left w:val="none" w:sz="0" w:space="0" w:color="auto"/>
        <w:bottom w:val="none" w:sz="0" w:space="0" w:color="auto"/>
        <w:right w:val="none" w:sz="0" w:space="0" w:color="auto"/>
      </w:divBdr>
      <w:divsChild>
        <w:div w:id="838231698">
          <w:marLeft w:val="0"/>
          <w:marRight w:val="0"/>
          <w:marTop w:val="0"/>
          <w:marBottom w:val="0"/>
          <w:divBdr>
            <w:top w:val="none" w:sz="0" w:space="0" w:color="auto"/>
            <w:left w:val="none" w:sz="0" w:space="0" w:color="auto"/>
            <w:bottom w:val="none" w:sz="0" w:space="0" w:color="auto"/>
            <w:right w:val="none" w:sz="0" w:space="0" w:color="auto"/>
          </w:divBdr>
        </w:div>
        <w:div w:id="109280737">
          <w:marLeft w:val="0"/>
          <w:marRight w:val="0"/>
          <w:marTop w:val="0"/>
          <w:marBottom w:val="0"/>
          <w:divBdr>
            <w:top w:val="none" w:sz="0" w:space="0" w:color="auto"/>
            <w:left w:val="none" w:sz="0" w:space="0" w:color="auto"/>
            <w:bottom w:val="none" w:sz="0" w:space="0" w:color="auto"/>
            <w:right w:val="none" w:sz="0" w:space="0" w:color="auto"/>
          </w:divBdr>
        </w:div>
        <w:div w:id="1411076328">
          <w:marLeft w:val="0"/>
          <w:marRight w:val="0"/>
          <w:marTop w:val="0"/>
          <w:marBottom w:val="0"/>
          <w:divBdr>
            <w:top w:val="none" w:sz="0" w:space="0" w:color="auto"/>
            <w:left w:val="none" w:sz="0" w:space="0" w:color="auto"/>
            <w:bottom w:val="none" w:sz="0" w:space="0" w:color="auto"/>
            <w:right w:val="none" w:sz="0" w:space="0" w:color="auto"/>
          </w:divBdr>
        </w:div>
        <w:div w:id="2000231611">
          <w:marLeft w:val="0"/>
          <w:marRight w:val="0"/>
          <w:marTop w:val="0"/>
          <w:marBottom w:val="0"/>
          <w:divBdr>
            <w:top w:val="none" w:sz="0" w:space="0" w:color="auto"/>
            <w:left w:val="none" w:sz="0" w:space="0" w:color="auto"/>
            <w:bottom w:val="none" w:sz="0" w:space="0" w:color="auto"/>
            <w:right w:val="none" w:sz="0" w:space="0" w:color="auto"/>
          </w:divBdr>
        </w:div>
        <w:div w:id="988552398">
          <w:marLeft w:val="0"/>
          <w:marRight w:val="0"/>
          <w:marTop w:val="0"/>
          <w:marBottom w:val="0"/>
          <w:divBdr>
            <w:top w:val="none" w:sz="0" w:space="0" w:color="auto"/>
            <w:left w:val="none" w:sz="0" w:space="0" w:color="auto"/>
            <w:bottom w:val="none" w:sz="0" w:space="0" w:color="auto"/>
            <w:right w:val="none" w:sz="0" w:space="0" w:color="auto"/>
          </w:divBdr>
        </w:div>
        <w:div w:id="348917135">
          <w:marLeft w:val="0"/>
          <w:marRight w:val="0"/>
          <w:marTop w:val="0"/>
          <w:marBottom w:val="0"/>
          <w:divBdr>
            <w:top w:val="none" w:sz="0" w:space="0" w:color="auto"/>
            <w:left w:val="none" w:sz="0" w:space="0" w:color="auto"/>
            <w:bottom w:val="none" w:sz="0" w:space="0" w:color="auto"/>
            <w:right w:val="none" w:sz="0" w:space="0" w:color="auto"/>
          </w:divBdr>
        </w:div>
        <w:div w:id="1148933708">
          <w:marLeft w:val="0"/>
          <w:marRight w:val="0"/>
          <w:marTop w:val="0"/>
          <w:marBottom w:val="0"/>
          <w:divBdr>
            <w:top w:val="none" w:sz="0" w:space="0" w:color="auto"/>
            <w:left w:val="none" w:sz="0" w:space="0" w:color="auto"/>
            <w:bottom w:val="none" w:sz="0" w:space="0" w:color="auto"/>
            <w:right w:val="none" w:sz="0" w:space="0" w:color="auto"/>
          </w:divBdr>
        </w:div>
        <w:div w:id="857276955">
          <w:marLeft w:val="0"/>
          <w:marRight w:val="0"/>
          <w:marTop w:val="0"/>
          <w:marBottom w:val="0"/>
          <w:divBdr>
            <w:top w:val="none" w:sz="0" w:space="0" w:color="auto"/>
            <w:left w:val="none" w:sz="0" w:space="0" w:color="auto"/>
            <w:bottom w:val="none" w:sz="0" w:space="0" w:color="auto"/>
            <w:right w:val="none" w:sz="0" w:space="0" w:color="auto"/>
          </w:divBdr>
        </w:div>
        <w:div w:id="1216968978">
          <w:marLeft w:val="0"/>
          <w:marRight w:val="0"/>
          <w:marTop w:val="0"/>
          <w:marBottom w:val="0"/>
          <w:divBdr>
            <w:top w:val="none" w:sz="0" w:space="0" w:color="auto"/>
            <w:left w:val="none" w:sz="0" w:space="0" w:color="auto"/>
            <w:bottom w:val="none" w:sz="0" w:space="0" w:color="auto"/>
            <w:right w:val="none" w:sz="0" w:space="0" w:color="auto"/>
          </w:divBdr>
        </w:div>
        <w:div w:id="1152451413">
          <w:marLeft w:val="0"/>
          <w:marRight w:val="0"/>
          <w:marTop w:val="0"/>
          <w:marBottom w:val="0"/>
          <w:divBdr>
            <w:top w:val="none" w:sz="0" w:space="0" w:color="auto"/>
            <w:left w:val="none" w:sz="0" w:space="0" w:color="auto"/>
            <w:bottom w:val="none" w:sz="0" w:space="0" w:color="auto"/>
            <w:right w:val="none" w:sz="0" w:space="0" w:color="auto"/>
          </w:divBdr>
        </w:div>
        <w:div w:id="1271745575">
          <w:marLeft w:val="0"/>
          <w:marRight w:val="0"/>
          <w:marTop w:val="0"/>
          <w:marBottom w:val="0"/>
          <w:divBdr>
            <w:top w:val="none" w:sz="0" w:space="0" w:color="auto"/>
            <w:left w:val="none" w:sz="0" w:space="0" w:color="auto"/>
            <w:bottom w:val="none" w:sz="0" w:space="0" w:color="auto"/>
            <w:right w:val="none" w:sz="0" w:space="0" w:color="auto"/>
          </w:divBdr>
        </w:div>
      </w:divsChild>
    </w:div>
    <w:div w:id="1226528987">
      <w:bodyDiv w:val="1"/>
      <w:marLeft w:val="0"/>
      <w:marRight w:val="0"/>
      <w:marTop w:val="0"/>
      <w:marBottom w:val="0"/>
      <w:divBdr>
        <w:top w:val="none" w:sz="0" w:space="0" w:color="auto"/>
        <w:left w:val="none" w:sz="0" w:space="0" w:color="auto"/>
        <w:bottom w:val="none" w:sz="0" w:space="0" w:color="auto"/>
        <w:right w:val="none" w:sz="0" w:space="0" w:color="auto"/>
      </w:divBdr>
      <w:divsChild>
        <w:div w:id="137770909">
          <w:marLeft w:val="0"/>
          <w:marRight w:val="0"/>
          <w:marTop w:val="0"/>
          <w:marBottom w:val="0"/>
          <w:divBdr>
            <w:top w:val="none" w:sz="0" w:space="0" w:color="auto"/>
            <w:left w:val="none" w:sz="0" w:space="0" w:color="auto"/>
            <w:bottom w:val="none" w:sz="0" w:space="0" w:color="auto"/>
            <w:right w:val="none" w:sz="0" w:space="0" w:color="auto"/>
          </w:divBdr>
        </w:div>
        <w:div w:id="176773829">
          <w:marLeft w:val="0"/>
          <w:marRight w:val="0"/>
          <w:marTop w:val="0"/>
          <w:marBottom w:val="0"/>
          <w:divBdr>
            <w:top w:val="none" w:sz="0" w:space="0" w:color="auto"/>
            <w:left w:val="none" w:sz="0" w:space="0" w:color="auto"/>
            <w:bottom w:val="none" w:sz="0" w:space="0" w:color="auto"/>
            <w:right w:val="none" w:sz="0" w:space="0" w:color="auto"/>
          </w:divBdr>
        </w:div>
      </w:divsChild>
    </w:div>
    <w:div w:id="2070151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rpraha.cz/uploads/assets/dokumenty/pup/metodicke_navody_a_vyklady_k_platnemu_uzemnimu_planu_2016_11_0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rm-byty.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esky.cz/dokument/570530" TargetMode="External"/><Relationship Id="rId5" Type="http://schemas.openxmlformats.org/officeDocument/2006/relationships/settings" Target="settings.xml"/><Relationship Id="rId15" Type="http://schemas.openxmlformats.org/officeDocument/2006/relationships/hyperlink" Target="http://www.tzb-info.cz/tabulky-a-vypocty/99-prumerne-mesicni-doby-slunecniho-svitu-ve-vybranych-lokalitach-cr" TargetMode="External"/><Relationship Id="rId10" Type="http://schemas.openxmlformats.org/officeDocument/2006/relationships/hyperlink" Target="http://www.lukaliving.cz"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portal.chmi.cz/files/portal/docs/uoco/isko/grafroc/15groc/gr15cz/IV2_BaP_CZ.html"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A65B4-FD97-4A32-8DAF-454078122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6074</Words>
  <Characters>35843</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41834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Václav Láska </cp:lastModifiedBy>
  <cp:revision>2</cp:revision>
  <dcterms:created xsi:type="dcterms:W3CDTF">2018-04-04T13:34:00Z</dcterms:created>
  <dcterms:modified xsi:type="dcterms:W3CDTF">2018-04-04T13:34:00Z</dcterms:modified>
  <dc:language>cs</dc:language>
</cp:coreProperties>
</file>