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Politics is stalling. WE are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start-up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WE First Party Conference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Manchester 25–27 November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Form for a policy discussion suggestion</w:t>
      </w:r>
    </w:p>
    <w:p w:rsidR="00000000" w:rsidDel="00000000" w:rsidP="00000000" w:rsidRDefault="00000000" w:rsidRPr="00000000">
      <w:pPr>
        <w:spacing w:after="140" w:before="200" w:line="29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Policy discussions will take a place at Party Conference using different debating methods, such as: Consensus debating; Open space debating; Parliamentary debating; European Square debating; Oxford-style debating; Agree to disagree; and Fish bowl debating. Some of the debates will end with a vote but the result will not represent a Party position on the issue. </w:t>
      </w:r>
    </w:p>
    <w:p w:rsidR="00000000" w:rsidDel="00000000" w:rsidP="00000000" w:rsidRDefault="00000000" w:rsidRPr="00000000">
      <w:pPr>
        <w:spacing w:after="140" w:before="200" w:line="29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Topics for policy debates may be proposed by a local branch (or branches) or not less than five members working together. The Party Leader and the Steering Committee can also put forward suggestions.</w:t>
      </w:r>
    </w:p>
    <w:p w:rsidR="00000000" w:rsidDel="00000000" w:rsidP="00000000" w:rsidRDefault="00000000" w:rsidRPr="00000000">
      <w:pPr>
        <w:spacing w:after="140" w:before="200" w:line="29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Suggestions need to be sent to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info@womensequality.org.uk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the subject Policy Discussion Suggestion by 30th September 2016 at the latest. </w:t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debate: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Suggested debating method (optional):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Proposed by: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Rationale for debate: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4"/>
                <w:szCs w:val="24"/>
                <w:rtl w:val="0"/>
              </w:rPr>
              <w:t xml:space="preserve">[Maximum 500 words explaining why this debate is important for the Women’s Equality Party. Please include any suggestion on the debating method and potential speakers that you deem appropriate]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714375" cy="723900"/>
          <wp:effectExtent b="0" l="0" r="0" t="0"/>
          <wp:docPr descr="email logo.png" id="1" name="image01.png"/>
          <a:graphic>
            <a:graphicData uri="http://schemas.openxmlformats.org/drawingml/2006/picture">
              <pic:pic>
                <pic:nvPicPr>
                  <pic:cNvPr descr="email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womensequality.org.uk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