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E5E4E" w14:textId="4E0F0506" w:rsidR="00D40783" w:rsidRDefault="00A46313" w:rsidP="007030CE">
      <w:pPr>
        <w:pStyle w:val="Title"/>
        <w:rPr>
          <w:lang w:val="en-US"/>
        </w:rPr>
      </w:pPr>
      <w:r>
        <w:rPr>
          <w:lang w:val="en-US"/>
        </w:rPr>
        <w:t>Why data on sex ma</w:t>
      </w:r>
      <w:bookmarkStart w:id="0" w:name="_GoBack"/>
      <w:bookmarkEnd w:id="0"/>
      <w:r>
        <w:rPr>
          <w:lang w:val="en-US"/>
        </w:rPr>
        <w:t>tters for policy</w:t>
      </w:r>
    </w:p>
    <w:p w14:paraId="6494B4E5" w14:textId="77777777" w:rsidR="007030CE" w:rsidRDefault="007030CE" w:rsidP="007030CE">
      <w:pPr>
        <w:rPr>
          <w:lang w:val="en-US"/>
        </w:rPr>
      </w:pPr>
    </w:p>
    <w:p w14:paraId="37EC97DF" w14:textId="57FB4FD1" w:rsidR="007030CE" w:rsidRPr="008758F5" w:rsidRDefault="008758F5" w:rsidP="007030CE">
      <w:r>
        <w:rPr>
          <w:b/>
        </w:rPr>
        <w:t>Data on sex matters</w:t>
      </w:r>
      <w:r w:rsidR="00992595">
        <w:rPr>
          <w:b/>
        </w:rPr>
        <w:t xml:space="preserve">: </w:t>
      </w:r>
      <w:r w:rsidR="00992595">
        <w:t>We need accurate data, disaggregated by sex in order to understand differences in the lives of women and men, and in order to tackle sexism. Sex matters from the start of life, as illustrated by international differences in the sex ratio at birth due to son preference</w:t>
      </w:r>
      <w:r w:rsidR="0008579A">
        <w:t xml:space="preserve"> in countries such as China and India</w:t>
      </w:r>
      <w:r w:rsidR="00992595">
        <w:t xml:space="preserve">. Sex is a powerful predictor of almost every dimension of social life: education, the labour market, political attitudes and behaviour, religion, crime, physical health, mental health, cultural tastes and </w:t>
      </w:r>
      <w:r>
        <w:t>consumption –</w:t>
      </w:r>
      <w:r w:rsidR="00992595">
        <w:t xml:space="preserve"> the list goes on. It is difficult to think of an area of life where sex is not an important dimension for analysis. Women have historically been second class citizens when it comes to data (see Caroline </w:t>
      </w:r>
      <w:proofErr w:type="spellStart"/>
      <w:r w:rsidR="00992595">
        <w:t>Criado</w:t>
      </w:r>
      <w:proofErr w:type="spellEnd"/>
      <w:r w:rsidR="00992595">
        <w:t xml:space="preserve"> Perez</w:t>
      </w:r>
      <w:r w:rsidR="0053564C">
        <w:t xml:space="preserve"> (2019)</w:t>
      </w:r>
      <w:r w:rsidR="00992595">
        <w:t xml:space="preserve"> </w:t>
      </w:r>
      <w:r>
        <w:rPr>
          <w:i/>
        </w:rPr>
        <w:t xml:space="preserve">Invisible Women), </w:t>
      </w:r>
      <w:r>
        <w:t>but, until recently, government agencies have acknowledged the importance of gathering data on sex.</w:t>
      </w:r>
    </w:p>
    <w:p w14:paraId="0A8B2852" w14:textId="77777777" w:rsidR="00992595" w:rsidRDefault="00992595" w:rsidP="007030CE">
      <w:pPr>
        <w:rPr>
          <w:lang w:val="en-US"/>
        </w:rPr>
      </w:pPr>
      <w:r>
        <w:rPr>
          <w:b/>
          <w:lang w:val="en-US"/>
        </w:rPr>
        <w:t xml:space="preserve">Sex </w:t>
      </w:r>
      <w:r w:rsidR="00661083">
        <w:rPr>
          <w:b/>
          <w:lang w:val="en-US"/>
        </w:rPr>
        <w:t>vs</w:t>
      </w:r>
      <w:r>
        <w:rPr>
          <w:b/>
          <w:lang w:val="en-US"/>
        </w:rPr>
        <w:t xml:space="preserve"> gender identity: </w:t>
      </w:r>
      <w:r w:rsidR="000444BF">
        <w:rPr>
          <w:lang w:val="en-US"/>
        </w:rPr>
        <w:t xml:space="preserve">Agencies are increasingly moving away from recording sex in </w:t>
      </w:r>
      <w:proofErr w:type="spellStart"/>
      <w:r w:rsidR="000444BF">
        <w:rPr>
          <w:lang w:val="en-US"/>
        </w:rPr>
        <w:t>favour</w:t>
      </w:r>
      <w:proofErr w:type="spellEnd"/>
      <w:r w:rsidR="000444BF">
        <w:rPr>
          <w:lang w:val="en-US"/>
        </w:rPr>
        <w:t xml:space="preserve"> of recording gender identity</w:t>
      </w:r>
      <w:r w:rsidR="0008579A">
        <w:rPr>
          <w:lang w:val="en-US"/>
        </w:rPr>
        <w:t xml:space="preserve"> where this is at odds with an individual’s sex</w:t>
      </w:r>
      <w:r w:rsidR="000444BF">
        <w:rPr>
          <w:lang w:val="en-US"/>
        </w:rPr>
        <w:t xml:space="preserve">. This leads to error and bias. Sex and gender identity are entirely distinct concepts – sex is biological, whereas gender identity is typically understood in opposition to </w:t>
      </w:r>
      <w:proofErr w:type="gramStart"/>
      <w:r w:rsidR="000444BF">
        <w:rPr>
          <w:lang w:val="en-US"/>
        </w:rPr>
        <w:t>sex</w:t>
      </w:r>
      <w:r w:rsidR="0008579A">
        <w:rPr>
          <w:lang w:val="en-US"/>
        </w:rPr>
        <w:t>, and</w:t>
      </w:r>
      <w:proofErr w:type="gramEnd"/>
      <w:r w:rsidR="0008579A">
        <w:rPr>
          <w:lang w:val="en-US"/>
        </w:rPr>
        <w:t xml:space="preserve"> refers to how one perceives oneself</w:t>
      </w:r>
      <w:r w:rsidR="000444BF">
        <w:rPr>
          <w:lang w:val="en-US"/>
        </w:rPr>
        <w:t xml:space="preserve">. </w:t>
      </w:r>
      <w:r w:rsidR="00806927">
        <w:rPr>
          <w:lang w:val="en-US"/>
        </w:rPr>
        <w:t xml:space="preserve">In contexts where data on gender identity is desired, this </w:t>
      </w:r>
      <w:r w:rsidR="0008579A">
        <w:rPr>
          <w:lang w:val="en-US"/>
        </w:rPr>
        <w:t>could usefully</w:t>
      </w:r>
      <w:r w:rsidR="00806927">
        <w:rPr>
          <w:lang w:val="en-US"/>
        </w:rPr>
        <w:t xml:space="preserve"> be recorded in addition to sex.</w:t>
      </w:r>
    </w:p>
    <w:p w14:paraId="17969142" w14:textId="07FC1846" w:rsidR="00A961A0" w:rsidRDefault="00A961A0" w:rsidP="00A961A0">
      <w:pPr>
        <w:rPr>
          <w:rFonts w:cstheme="minorHAnsi"/>
        </w:rPr>
      </w:pPr>
      <w:r>
        <w:rPr>
          <w:i/>
        </w:rPr>
        <w:t xml:space="preserve">Census 2021: </w:t>
      </w:r>
      <w:r>
        <w:t xml:space="preserve"> The census authorities are currently planning guidance for the 2021 census which instructs respondents to answer in terms of their identity rather than their sex</w:t>
      </w:r>
      <w:r w:rsidR="00A46313">
        <w:t xml:space="preserve"> (Sullivan 2020)</w:t>
      </w:r>
      <w:r>
        <w:t xml:space="preserve">. </w:t>
      </w:r>
      <w:r w:rsidR="00ED2646">
        <w:rPr>
          <w:rFonts w:cstheme="minorHAnsi"/>
        </w:rPr>
        <w:t xml:space="preserve">It may be assumed </w:t>
      </w:r>
      <w:r w:rsidRPr="005C3B8A">
        <w:rPr>
          <w:rFonts w:cstheme="minorHAnsi"/>
        </w:rPr>
        <w:t>that</w:t>
      </w:r>
      <w:r>
        <w:rPr>
          <w:rFonts w:cstheme="minorHAnsi"/>
        </w:rPr>
        <w:t>, since</w:t>
      </w:r>
      <w:r w:rsidRPr="005C3B8A">
        <w:rPr>
          <w:rFonts w:cstheme="minorHAnsi"/>
        </w:rPr>
        <w:t xml:space="preserve"> the number of respondents who self-identify as members of the opposite sex will be small, the </w:t>
      </w:r>
      <w:r>
        <w:rPr>
          <w:rFonts w:cstheme="minorHAnsi"/>
        </w:rPr>
        <w:t xml:space="preserve">resulting measurement error will therefore </w:t>
      </w:r>
      <w:r w:rsidR="00764201">
        <w:rPr>
          <w:rFonts w:cstheme="minorHAnsi"/>
        </w:rPr>
        <w:t>be inconsequential</w:t>
      </w:r>
      <w:r w:rsidRPr="005C3B8A">
        <w:rPr>
          <w:rFonts w:cstheme="minorHAnsi"/>
        </w:rPr>
        <w:t xml:space="preserve">. </w:t>
      </w:r>
      <w:r>
        <w:rPr>
          <w:rFonts w:cstheme="minorHAnsi"/>
        </w:rPr>
        <w:t>However, we currently have no reliable data on the size of the trans population either in the population as a whole or within sub-groups, and crucially, it is impossible to predict how this may change over time.</w:t>
      </w:r>
      <w:r w:rsidRPr="005C3B8A">
        <w:rPr>
          <w:rFonts w:cstheme="minorHAnsi"/>
        </w:rPr>
        <w:t xml:space="preserve"> It is unlikely that the trans population will be evenly distribute</w:t>
      </w:r>
      <w:r>
        <w:rPr>
          <w:rFonts w:cstheme="minorHAnsi"/>
        </w:rPr>
        <w:t xml:space="preserve">d, </w:t>
      </w:r>
      <w:r w:rsidRPr="005C3B8A">
        <w:rPr>
          <w:rFonts w:cstheme="minorHAnsi"/>
        </w:rPr>
        <w:t>for example by age, sex and geography. This means that the effects on data reliability are likely to be greater at the sub-group level. This can have extreme consequences for particular subgroups, e.g. 1 in 50 male prisoners in England and Wales identify as transgender</w:t>
      </w:r>
      <w:r>
        <w:rPr>
          <w:rFonts w:cstheme="minorHAnsi"/>
        </w:rPr>
        <w:t xml:space="preserve"> </w:t>
      </w:r>
      <w:r>
        <w:rPr>
          <w:rFonts w:cstheme="minorHAnsi"/>
        </w:rPr>
        <w:fldChar w:fldCharType="begin"/>
      </w:r>
      <w:r>
        <w:rPr>
          <w:rFonts w:cstheme="minorHAnsi"/>
        </w:rPr>
        <w:instrText xml:space="preserve"> ADDIN EN.CITE &lt;EndNote&gt;&lt;Cite&gt;&lt;Author&gt;HM Inspectorate of Prisons&lt;/Author&gt;&lt;Year&gt;2019&lt;/Year&gt;&lt;RecNum&gt;1613&lt;/RecNum&gt;&lt;DisplayText&gt;(HM Inspectorate of Prisons 2019)&lt;/DisplayText&gt;&lt;record&gt;&lt;rec-number&gt;1613&lt;/rec-number&gt;&lt;foreign-keys&gt;&lt;key app="EN" db-id="aeretdtfgatxzketrem5pp9n9d2vvexz5rvr" timestamp="1583329243"&gt;1613&lt;/key&gt;&lt;/foreign-keys&gt;&lt;ref-type name="Book"&gt;6&lt;/ref-type&gt;&lt;contributors&gt;&lt;authors&gt;&lt;author&gt;HM Inspectorate of Prisons,&lt;/author&gt;&lt;/authors&gt;&lt;/contributors&gt;&lt;titles&gt;&lt;title&gt;HM Chief Inspector of Prisons for England and Wales: Annual Report 2018–19&lt;/title&gt;&lt;/titles&gt;&lt;dates&gt;&lt;year&gt;2019&lt;/year&gt;&lt;/dates&gt;&lt;pub-location&gt;https://assets.publishing.service.gov.uk/government/uploads/system/uploads/attachment_data/file/814689/hmip-annual-report-2018-19.pdf&lt;/pub-location&gt;&lt;publisher&gt;House of Commons&lt;/publisher&gt;&lt;urls&gt;&lt;/urls&gt;&lt;/record&gt;&lt;/Cite&gt;&lt;/EndNote&gt;</w:instrText>
      </w:r>
      <w:r>
        <w:rPr>
          <w:rFonts w:cstheme="minorHAnsi"/>
        </w:rPr>
        <w:fldChar w:fldCharType="separate"/>
      </w:r>
      <w:r>
        <w:rPr>
          <w:rFonts w:cstheme="minorHAnsi"/>
          <w:noProof/>
        </w:rPr>
        <w:t>(HM Inspectorate of Prisons 2019)</w:t>
      </w:r>
      <w:r>
        <w:rPr>
          <w:rFonts w:cstheme="minorHAnsi"/>
        </w:rPr>
        <w:fldChar w:fldCharType="end"/>
      </w:r>
      <w:r w:rsidRPr="005C3B8A">
        <w:rPr>
          <w:rFonts w:cstheme="minorHAnsi"/>
        </w:rPr>
        <w:t>. The Tavistock and Portman NHS Trust claims that between 1.2% and 2.7% of children and young people are ‘gender-diverse’</w:t>
      </w:r>
      <w:r>
        <w:rPr>
          <w:rFonts w:cstheme="minorHAnsi"/>
        </w:rPr>
        <w:fldChar w:fldCharType="begin"/>
      </w:r>
      <w:r>
        <w:rPr>
          <w:rFonts w:cstheme="minorHAnsi"/>
        </w:rPr>
        <w:instrText xml:space="preserve"> ADDIN EN.CITE &lt;EndNote&gt;&lt;Cite&gt;&lt;Author&gt;NIHR&lt;/Author&gt;&lt;Year&gt;2019&lt;/Year&gt;&lt;RecNum&gt;1614&lt;/RecNum&gt;&lt;DisplayText&gt;(NIHR 2019)&lt;/DisplayText&gt;&lt;record&gt;&lt;rec-number&gt;1614&lt;/rec-number&gt;&lt;foreign-keys&gt;&lt;key app="EN" db-id="aeretdtfgatxzketrem5pp9n9d2vvexz5rvr" timestamp="1583329451"&gt;1614&lt;/key&gt;&lt;/foreign-keys&gt;&lt;ref-type name="Blog"&gt;56&lt;/ref-type&gt;&lt;contributors&gt;&lt;authors&gt;&lt;author&gt;NIHR, &lt;/author&gt;&lt;/authors&gt;&lt;/contributors&gt;&lt;titles&gt;&lt;title&gt;Outcomes and Predictors of Outcome for Children and Young People Referred to UK Gender Identity Development Services: A longitudinal Investigation, award 17/51/19&lt;/title&gt;&lt;secondary-title&gt;NIHR Funding and Awards&lt;/secondary-title&gt;&lt;/titles&gt;&lt;dates&gt;&lt;year&gt;2019&lt;/year&gt;&lt;/dates&gt;&lt;pub-location&gt;https://fundingawards.nihr.ac.uk/award/17/51/19&lt;/pub-location&gt;&lt;publisher&gt;National Institute for Health Research&lt;/publisher&gt;&lt;urls&gt;&lt;/urls&gt;&lt;/record&gt;&lt;/Cite&gt;&lt;/EndNote&gt;</w:instrText>
      </w:r>
      <w:r>
        <w:rPr>
          <w:rFonts w:cstheme="minorHAnsi"/>
        </w:rPr>
        <w:fldChar w:fldCharType="separate"/>
      </w:r>
      <w:r>
        <w:rPr>
          <w:rFonts w:cstheme="minorHAnsi"/>
          <w:noProof/>
        </w:rPr>
        <w:t>(NIHR 2019)</w:t>
      </w:r>
      <w:r>
        <w:rPr>
          <w:rFonts w:cstheme="minorHAnsi"/>
        </w:rPr>
        <w:fldChar w:fldCharType="end"/>
      </w:r>
      <w:r w:rsidRPr="005C3B8A">
        <w:rPr>
          <w:rFonts w:cstheme="minorHAnsi"/>
        </w:rPr>
        <w:t>.</w:t>
      </w:r>
      <w:r>
        <w:rPr>
          <w:rFonts w:cstheme="minorHAnsi"/>
        </w:rPr>
        <w:t xml:space="preserve">  </w:t>
      </w:r>
    </w:p>
    <w:p w14:paraId="064F3EB0" w14:textId="77777777" w:rsidR="000444BF" w:rsidRDefault="008758F5" w:rsidP="007030CE">
      <w:pPr>
        <w:rPr>
          <w:lang w:val="en-US"/>
        </w:rPr>
      </w:pPr>
      <w:r w:rsidRPr="008758F5">
        <w:rPr>
          <w:i/>
          <w:lang w:val="en-US"/>
        </w:rPr>
        <w:t xml:space="preserve">Employment and </w:t>
      </w:r>
      <w:proofErr w:type="gramStart"/>
      <w:r w:rsidRPr="008758F5">
        <w:rPr>
          <w:i/>
          <w:lang w:val="en-US"/>
        </w:rPr>
        <w:t>pay</w:t>
      </w:r>
      <w:r>
        <w:rPr>
          <w:lang w:val="en-US"/>
        </w:rPr>
        <w:t>:</w:t>
      </w:r>
      <w:proofErr w:type="gramEnd"/>
      <w:r>
        <w:rPr>
          <w:lang w:val="en-US"/>
        </w:rPr>
        <w:t xml:space="preserve"> ACAS now advise that data on employee pay should be categorized by gender identity, and that data on ‘non-binary’ people can be excluded. At the level of the firm, these practices are likely to lead to severe biases, and could even be deliberately used to reduce the apparent pay gap between the sexes.</w:t>
      </w:r>
    </w:p>
    <w:p w14:paraId="292491C6" w14:textId="77777777" w:rsidR="008758F5" w:rsidRDefault="008758F5" w:rsidP="007030CE">
      <w:r>
        <w:rPr>
          <w:i/>
          <w:lang w:val="en-US"/>
        </w:rPr>
        <w:t>Crime</w:t>
      </w:r>
      <w:r>
        <w:rPr>
          <w:lang w:val="en-US"/>
        </w:rPr>
        <w:t xml:space="preserve">: </w:t>
      </w:r>
      <w:r w:rsidR="00661083">
        <w:t>Police forces</w:t>
      </w:r>
      <w:r w:rsidR="00D94044">
        <w:t xml:space="preserve"> are</w:t>
      </w:r>
      <w:r w:rsidR="00661083">
        <w:t xml:space="preserve"> recording crimes committed by men as though they were committed by women at the request of the perpetrator. The potential distorting effect on figures for violent and sexual crime is evident given that levels of female violent and sexual offending are extremely low.</w:t>
      </w:r>
    </w:p>
    <w:p w14:paraId="7AF9165E" w14:textId="77777777" w:rsidR="00334403" w:rsidRDefault="00661083" w:rsidP="007030CE">
      <w:r>
        <w:rPr>
          <w:i/>
        </w:rPr>
        <w:t xml:space="preserve">Health: </w:t>
      </w:r>
      <w:r w:rsidR="00334403">
        <w:t xml:space="preserve">The replacement of actual sex with the desired sex on medical records at the </w:t>
      </w:r>
      <w:proofErr w:type="gramStart"/>
      <w:r w:rsidR="00334403">
        <w:t>patients</w:t>
      </w:r>
      <w:proofErr w:type="gramEnd"/>
      <w:r w:rsidR="00334403">
        <w:t xml:space="preserve"> request has implications for research using administrative health data. Clearly biology (rather than identity) is a major risk factor in many </w:t>
      </w:r>
      <w:r w:rsidR="00D94044">
        <w:t xml:space="preserve">health </w:t>
      </w:r>
      <w:proofErr w:type="gramStart"/>
      <w:r w:rsidR="00334403">
        <w:t>conditions</w:t>
      </w:r>
      <w:r w:rsidR="00D94044">
        <w:t>, and</w:t>
      </w:r>
      <w:proofErr w:type="gramEnd"/>
      <w:r w:rsidR="00D94044">
        <w:t xml:space="preserve"> affects mortality</w:t>
      </w:r>
      <w:r w:rsidR="00334403">
        <w:t>.</w:t>
      </w:r>
    </w:p>
    <w:p w14:paraId="40DC1241" w14:textId="77777777" w:rsidR="003F1101" w:rsidRDefault="003F1101" w:rsidP="003F1101">
      <w:r>
        <w:rPr>
          <w:b/>
        </w:rPr>
        <w:t>Policy capture and silencing</w:t>
      </w:r>
      <w:r>
        <w:t xml:space="preserve">: The proposed introduction of gender self-id in law has been dropped by the government in England and </w:t>
      </w:r>
      <w:proofErr w:type="gramStart"/>
      <w:r>
        <w:t>Wales, and</w:t>
      </w:r>
      <w:proofErr w:type="gramEnd"/>
      <w:r>
        <w:t xml:space="preserve"> is still under consideration in Scotland. Yet the principles </w:t>
      </w:r>
      <w:r>
        <w:lastRenderedPageBreak/>
        <w:t xml:space="preserve">behind the proposed changes have already been accepted by many public bodies, and this is already reflected in data collection. </w:t>
      </w:r>
    </w:p>
    <w:p w14:paraId="55B51610" w14:textId="77777777" w:rsidR="003F1101" w:rsidRDefault="003F1101" w:rsidP="003F1101">
      <w:r w:rsidRPr="003D64CD">
        <w:t>Gender identity lobbyists have campaigned for many years to remove sex as a protected characteristic in law</w:t>
      </w:r>
      <w:r>
        <w:t>.</w:t>
      </w:r>
      <w:r w:rsidRPr="003D64CD">
        <w:t xml:space="preserve"> Much of this campaigning has been done quietly, behind the scenes, within social and political institutions and organisations, without public debate, due process or democratic scrutiny, a process termed ‘policy capture’ </w:t>
      </w:r>
      <w:r w:rsidRPr="003D64CD">
        <w:fldChar w:fldCharType="begin"/>
      </w:r>
      <w:r w:rsidRPr="003D64CD">
        <w:instrText xml:space="preserve"> ADDIN EN.CITE &lt;EndNote&gt;&lt;Cite&gt;&lt;Author&gt;Murray&lt;/Author&gt;&lt;Year&gt;2019&lt;/Year&gt;&lt;RecNum&gt;1586&lt;/RecNum&gt;&lt;DisplayText&gt;(Murray and Hunter Blackburn 2019)&lt;/DisplayText&gt;&lt;record&gt;&lt;rec-number&gt;1586&lt;/rec-number&gt;&lt;foreign-keys&gt;&lt;key app="EN" db-id="aeretdtfgatxzketrem5pp9n9d2vvexz5rvr" timestamp="1582819998"&gt;1586&lt;/key&gt;&lt;/foreign-keys&gt;&lt;ref-type name="Journal Article"&gt;17&lt;/ref-type&gt;&lt;contributors&gt;&lt;authors&gt;&lt;author&gt;Murray, Kath&lt;/author&gt;&lt;author&gt;Hunter Blackburn, Lucy&lt;/author&gt;&lt;/authors&gt;&lt;/contributors&gt;&lt;titles&gt;&lt;title&gt;Losing sight of women&amp;apos;s rights: the unregulated introduction of gender self-identification as a case study of policy capture in Scotland&lt;/title&gt;&lt;secondary-title&gt;Scottish Affairs&lt;/secondary-title&gt;&lt;/titles&gt;&lt;periodical&gt;&lt;full-title&gt;Scottish Affairs&lt;/full-title&gt;&lt;/periodical&gt;&lt;pages&gt;262-289&lt;/pages&gt;&lt;volume&gt;28&lt;/volume&gt;&lt;number&gt;3&lt;/number&gt;&lt;dates&gt;&lt;year&gt;2019&lt;/year&gt;&lt;/dates&gt;&lt;isbn&gt;0966-0356&lt;/isbn&gt;&lt;urls&gt;&lt;/urls&gt;&lt;/record&gt;&lt;/Cite&gt;&lt;/EndNote&gt;</w:instrText>
      </w:r>
      <w:r w:rsidRPr="003D64CD">
        <w:fldChar w:fldCharType="separate"/>
      </w:r>
      <w:r w:rsidRPr="003D64CD">
        <w:rPr>
          <w:noProof/>
        </w:rPr>
        <w:t>(Murray and Hunter Blackburn 2019)</w:t>
      </w:r>
      <w:r w:rsidRPr="003D64CD">
        <w:fldChar w:fldCharType="end"/>
      </w:r>
      <w:r w:rsidRPr="003D64CD">
        <w:t xml:space="preserve">.  </w:t>
      </w:r>
    </w:p>
    <w:p w14:paraId="1F1C4479" w14:textId="3887EA87" w:rsidR="003F1101" w:rsidRDefault="003F1101" w:rsidP="003F1101">
      <w:r>
        <w:t xml:space="preserve">The question of sex and gender identity is marked by exceptional intolerance of dissent by genderist extremists, and a remarkably successful campaign to shut down debate. Academics face campaigns of vexatious complaints, no-platforming, and even threats of violence simply for asserting the reality and social salience of sex, especially when they do so from a feminist perspective </w:t>
      </w:r>
      <w:r>
        <w:fldChar w:fldCharType="begin"/>
      </w:r>
      <w:r>
        <w:instrText xml:space="preserve"> ADDIN EN.CITE &lt;EndNote&gt;&lt;Cite&gt;&lt;Author&gt;Sullivan&lt;/Author&gt;&lt;Year&gt;2019&lt;/Year&gt;&lt;RecNum&gt;1595&lt;/RecNum&gt;&lt;DisplayText&gt;(Sullivan and Suissa 2019)&lt;/DisplayText&gt;&lt;record&gt;&lt;rec-number&gt;1595&lt;/rec-number&gt;&lt;foreign-keys&gt;&lt;key app="EN" db-id="aeretdtfgatxzketrem5pp9n9d2vvexz5rvr" timestamp="1583238733"&gt;1595&lt;/key&gt;&lt;/foreign-keys&gt;&lt;ref-type name="Blog"&gt;56&lt;/ref-type&gt;&lt;contributors&gt;&lt;authors&gt;&lt;author&gt;Sullivan, Alice&lt;/author&gt;&lt;author&gt;Suissa, Judith&lt;/author&gt;&lt;/authors&gt;&lt;/contributors&gt;&lt;titles&gt;&lt;title&gt;The gender wars, academic freedom and education&lt;/title&gt;&lt;/titles&gt;&lt;number&gt;25th January 2019&lt;/number&gt;&lt;dates&gt;&lt;year&gt;2019&lt;/year&gt;&lt;/dates&gt;&lt;pub-location&gt;https://www.bera.ac.uk/blog/the-gender-wars-academic-freedom-and-education&lt;/pub-location&gt;&lt;publisher&gt;British Educational Research Association (BERA)&lt;/publisher&gt;&lt;urls&gt;&lt;/urls&gt;&lt;/record&gt;&lt;/Cite&gt;&lt;/EndNote&gt;</w:instrText>
      </w:r>
      <w:r>
        <w:fldChar w:fldCharType="separate"/>
      </w:r>
      <w:r>
        <w:rPr>
          <w:noProof/>
        </w:rPr>
        <w:t>(Sullivan and Suissa 2019)</w:t>
      </w:r>
      <w:r>
        <w:fldChar w:fldCharType="end"/>
      </w:r>
      <w:r>
        <w:t xml:space="preserve">. This has a wider chilling effect, meaning that normal open and rigorous discourse is effectively suspended. Critical voices are no longer heard, and so a false ‘consensus’ emerges. </w:t>
      </w:r>
      <w:r w:rsidR="00D94044">
        <w:t xml:space="preserve">This is deeply unhealthy for both analysis and </w:t>
      </w:r>
      <w:proofErr w:type="gramStart"/>
      <w:r w:rsidR="00D94044">
        <w:t>policy-making</w:t>
      </w:r>
      <w:proofErr w:type="gramEnd"/>
      <w:r w:rsidR="00D94044">
        <w:t>.</w:t>
      </w:r>
    </w:p>
    <w:p w14:paraId="513D1CE0" w14:textId="75961726" w:rsidR="0053564C" w:rsidRPr="0053564C" w:rsidRDefault="0053564C" w:rsidP="003F1101">
      <w:pPr>
        <w:rPr>
          <w:b/>
          <w:bCs/>
        </w:rPr>
      </w:pPr>
      <w:r w:rsidRPr="0053564C">
        <w:rPr>
          <w:b/>
          <w:bCs/>
        </w:rPr>
        <w:t>References</w:t>
      </w:r>
    </w:p>
    <w:p w14:paraId="71D434EF" w14:textId="10FE9D39" w:rsidR="0053564C" w:rsidRDefault="0053564C" w:rsidP="0053564C">
      <w:pPr>
        <w:pStyle w:val="EndNoteBibliography"/>
        <w:spacing w:after="0"/>
        <w:ind w:left="720" w:hanging="720"/>
        <w:rPr>
          <w:rFonts w:ascii="Arial" w:hAnsi="Arial" w:cs="Arial"/>
          <w:color w:val="222222"/>
          <w:sz w:val="20"/>
          <w:szCs w:val="20"/>
          <w:shd w:val="clear" w:color="auto" w:fill="FFFFFF"/>
        </w:rPr>
      </w:pPr>
      <w:r>
        <w:rPr>
          <w:rFonts w:ascii="Arial" w:hAnsi="Arial" w:cs="Arial"/>
          <w:color w:val="222222"/>
          <w:sz w:val="20"/>
          <w:szCs w:val="20"/>
          <w:shd w:val="clear" w:color="auto" w:fill="FFFFFF"/>
        </w:rPr>
        <w:t>Perez, C. C. 2019. </w:t>
      </w:r>
      <w:r>
        <w:rPr>
          <w:rFonts w:ascii="Arial" w:hAnsi="Arial" w:cs="Arial"/>
          <w:i/>
          <w:iCs/>
          <w:color w:val="222222"/>
          <w:sz w:val="20"/>
          <w:szCs w:val="20"/>
          <w:shd w:val="clear" w:color="auto" w:fill="FFFFFF"/>
        </w:rPr>
        <w:t>Invisible women: Exposing data bias in a world designed for men</w:t>
      </w:r>
      <w:r>
        <w:rPr>
          <w:rFonts w:ascii="Arial" w:hAnsi="Arial" w:cs="Arial"/>
          <w:color w:val="222222"/>
          <w:sz w:val="20"/>
          <w:szCs w:val="20"/>
          <w:shd w:val="clear" w:color="auto" w:fill="FFFFFF"/>
        </w:rPr>
        <w:t>. Random House.</w:t>
      </w:r>
    </w:p>
    <w:p w14:paraId="0292C484" w14:textId="7DE2689C" w:rsidR="0053564C" w:rsidRPr="008F05AD" w:rsidRDefault="0053564C" w:rsidP="0053564C">
      <w:pPr>
        <w:pStyle w:val="EndNoteBibliography"/>
        <w:spacing w:after="0"/>
        <w:ind w:left="720" w:hanging="720"/>
      </w:pPr>
      <w:r w:rsidRPr="008F05AD">
        <w:t xml:space="preserve">HM Inspectorate of Prisons. 2019. </w:t>
      </w:r>
      <w:r w:rsidRPr="008F05AD">
        <w:rPr>
          <w:i/>
        </w:rPr>
        <w:t>HM Chief Inspector of Prisons for England and Wales: Annual Report 2018–19</w:t>
      </w:r>
      <w:r w:rsidRPr="008F05AD">
        <w:t xml:space="preserve">. </w:t>
      </w:r>
      <w:hyperlink r:id="rId6" w:history="1">
        <w:r w:rsidRPr="008F05AD">
          <w:rPr>
            <w:rStyle w:val="Hyperlink"/>
          </w:rPr>
          <w:t>https://assets.publishing.service.gov.uk/government/uploads/system/uploads/attachment_data/file/814689/hmip-annual-report-2018-19.pdf</w:t>
        </w:r>
      </w:hyperlink>
      <w:r w:rsidRPr="008F05AD">
        <w:t>: House of Commons.</w:t>
      </w:r>
    </w:p>
    <w:p w14:paraId="00C0C6CB" w14:textId="634CE9F2" w:rsidR="0053564C" w:rsidRDefault="0053564C" w:rsidP="0053564C">
      <w:pPr>
        <w:pStyle w:val="EndNoteBibliography"/>
        <w:spacing w:after="0"/>
        <w:ind w:left="720" w:hanging="720"/>
      </w:pPr>
      <w:r w:rsidRPr="008F05AD">
        <w:t xml:space="preserve">Murray, Kath, and Lucy Hunter Blackburn. 2019. "Losing sight of women's rights: the unregulated introduction of gender self-identification as a case study of policy capture in Scotland." </w:t>
      </w:r>
      <w:r w:rsidRPr="008F05AD">
        <w:rPr>
          <w:i/>
        </w:rPr>
        <w:t>Scottish Affairs</w:t>
      </w:r>
      <w:r w:rsidRPr="008F05AD">
        <w:t xml:space="preserve"> 28(3):262-89.</w:t>
      </w:r>
    </w:p>
    <w:p w14:paraId="5E918272" w14:textId="77777777" w:rsidR="0053564C" w:rsidRPr="008F05AD" w:rsidRDefault="0053564C" w:rsidP="0053564C">
      <w:pPr>
        <w:pStyle w:val="EndNoteBibliography"/>
        <w:spacing w:after="0"/>
        <w:ind w:left="720" w:hanging="720"/>
      </w:pPr>
      <w:r w:rsidRPr="008F05AD">
        <w:t xml:space="preserve">NIHR. 2019. "Outcomes and Predictors of Outcome for Children and Young People Referred to UK Gender Identity Development Services: A longitudinal Investigation, award 17/51/19." in </w:t>
      </w:r>
      <w:r w:rsidRPr="008F05AD">
        <w:rPr>
          <w:i/>
        </w:rPr>
        <w:t>NIHR Funding and Awards</w:t>
      </w:r>
      <w:r w:rsidRPr="008F05AD">
        <w:t xml:space="preserve">. </w:t>
      </w:r>
      <w:hyperlink r:id="rId7" w:history="1">
        <w:r w:rsidRPr="008F05AD">
          <w:rPr>
            <w:rStyle w:val="Hyperlink"/>
          </w:rPr>
          <w:t>https://fundingawards.nihr.ac.uk/award/17/51/19</w:t>
        </w:r>
      </w:hyperlink>
      <w:r w:rsidRPr="008F05AD">
        <w:t>: National Institute for Health Research.</w:t>
      </w:r>
    </w:p>
    <w:p w14:paraId="132D82D4" w14:textId="77777777" w:rsidR="0053564C" w:rsidRPr="008F05AD" w:rsidRDefault="0053564C" w:rsidP="0053564C">
      <w:pPr>
        <w:pStyle w:val="EndNoteBibliography"/>
        <w:spacing w:after="0"/>
        <w:ind w:left="720" w:hanging="720"/>
      </w:pPr>
      <w:r w:rsidRPr="008F05AD">
        <w:t xml:space="preserve">Sullivan, Alice, and Judith Suissa. 2019. "The gender wars, academic freedom and education." </w:t>
      </w:r>
      <w:hyperlink r:id="rId8" w:history="1">
        <w:r w:rsidRPr="008F05AD">
          <w:rPr>
            <w:rStyle w:val="Hyperlink"/>
          </w:rPr>
          <w:t>https://www.bera.ac.uk/blog/the-gender-wars-academic-freedom-and-education</w:t>
        </w:r>
      </w:hyperlink>
      <w:r w:rsidRPr="008F05AD">
        <w:t>: British Educational Research Association (BERA).</w:t>
      </w:r>
    </w:p>
    <w:p w14:paraId="18B7CF1E" w14:textId="48F5CB24" w:rsidR="0053564C" w:rsidRPr="008F05AD" w:rsidRDefault="0053564C" w:rsidP="0053564C">
      <w:pPr>
        <w:pStyle w:val="EndNoteBibliography"/>
        <w:spacing w:after="0"/>
        <w:ind w:left="720" w:hanging="720"/>
      </w:pPr>
      <w:r>
        <w:rPr>
          <w:rFonts w:ascii="Arial" w:hAnsi="Arial" w:cs="Arial"/>
          <w:color w:val="222222"/>
          <w:sz w:val="20"/>
          <w:szCs w:val="20"/>
          <w:shd w:val="clear" w:color="auto" w:fill="FFFFFF"/>
        </w:rPr>
        <w:t>Sullivan, A. 2020. Sex and the census: why surveys should not conflate sex and gender identity. </w:t>
      </w:r>
      <w:r>
        <w:rPr>
          <w:rFonts w:ascii="Arial" w:hAnsi="Arial" w:cs="Arial"/>
          <w:i/>
          <w:iCs/>
          <w:color w:val="222222"/>
          <w:sz w:val="20"/>
          <w:szCs w:val="20"/>
          <w:shd w:val="clear" w:color="auto" w:fill="FFFFFF"/>
        </w:rPr>
        <w:t>International Journal of Social Research Methodology</w:t>
      </w:r>
      <w:r>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23(5) 517-524.</w:t>
      </w:r>
    </w:p>
    <w:p w14:paraId="1A030418" w14:textId="77777777" w:rsidR="0053564C" w:rsidRDefault="0053564C" w:rsidP="003F1101"/>
    <w:p w14:paraId="1A7B9593" w14:textId="77777777" w:rsidR="003F1101" w:rsidRPr="003F1101" w:rsidRDefault="003F1101" w:rsidP="007030CE"/>
    <w:p w14:paraId="1225E40C" w14:textId="77777777" w:rsidR="00661083" w:rsidRPr="008758F5" w:rsidRDefault="00661083" w:rsidP="007030CE">
      <w:pPr>
        <w:rPr>
          <w:lang w:val="en-US"/>
        </w:rPr>
      </w:pPr>
    </w:p>
    <w:sectPr w:rsidR="00661083" w:rsidRPr="008758F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964FD" w14:textId="77777777" w:rsidR="00345902" w:rsidRDefault="00345902" w:rsidP="00345902">
      <w:pPr>
        <w:spacing w:after="0" w:line="240" w:lineRule="auto"/>
      </w:pPr>
      <w:r>
        <w:separator/>
      </w:r>
    </w:p>
  </w:endnote>
  <w:endnote w:type="continuationSeparator" w:id="0">
    <w:p w14:paraId="46FA2138" w14:textId="77777777" w:rsidR="00345902" w:rsidRDefault="00345902" w:rsidP="00345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93016" w14:textId="77777777" w:rsidR="00345902" w:rsidRDefault="00345902" w:rsidP="00345902">
      <w:pPr>
        <w:spacing w:after="0" w:line="240" w:lineRule="auto"/>
      </w:pPr>
      <w:r>
        <w:separator/>
      </w:r>
    </w:p>
  </w:footnote>
  <w:footnote w:type="continuationSeparator" w:id="0">
    <w:p w14:paraId="466E9AF9" w14:textId="77777777" w:rsidR="00345902" w:rsidRDefault="00345902" w:rsidP="00345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ED2C2" w14:textId="48339752" w:rsidR="00345902" w:rsidRDefault="00345902">
    <w:pPr>
      <w:pStyle w:val="Header"/>
    </w:pPr>
    <w:r>
      <w:t>Policy Briefing, Professor Alice Sullivan, UCL. September 2020.</w:t>
    </w:r>
  </w:p>
  <w:p w14:paraId="29A9D438" w14:textId="77777777" w:rsidR="00345902" w:rsidRDefault="003459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CE"/>
    <w:rsid w:val="000444BF"/>
    <w:rsid w:val="0008579A"/>
    <w:rsid w:val="00334403"/>
    <w:rsid w:val="00345902"/>
    <w:rsid w:val="003F1101"/>
    <w:rsid w:val="0053564C"/>
    <w:rsid w:val="00661083"/>
    <w:rsid w:val="00671363"/>
    <w:rsid w:val="007030CE"/>
    <w:rsid w:val="00764201"/>
    <w:rsid w:val="00806927"/>
    <w:rsid w:val="008758F5"/>
    <w:rsid w:val="00992595"/>
    <w:rsid w:val="00A46313"/>
    <w:rsid w:val="00A961A0"/>
    <w:rsid w:val="00D40783"/>
    <w:rsid w:val="00D94044"/>
    <w:rsid w:val="00ED2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639D"/>
  <w15:chartTrackingRefBased/>
  <w15:docId w15:val="{C1877B21-0931-4B3D-85A8-D2FB9BCF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30C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30CE"/>
    <w:rPr>
      <w:rFonts w:asciiTheme="majorHAnsi" w:eastAsiaTheme="majorEastAsia" w:hAnsiTheme="majorHAnsi" w:cstheme="majorBidi"/>
      <w:spacing w:val="-10"/>
      <w:kern w:val="28"/>
      <w:sz w:val="56"/>
      <w:szCs w:val="56"/>
      <w:lang w:val="en-GB"/>
    </w:rPr>
  </w:style>
  <w:style w:type="paragraph" w:customStyle="1" w:styleId="EndNoteBibliography">
    <w:name w:val="EndNote Bibliography"/>
    <w:basedOn w:val="Normal"/>
    <w:link w:val="EndNoteBibliographyChar"/>
    <w:rsid w:val="0053564C"/>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3564C"/>
    <w:rPr>
      <w:rFonts w:ascii="Calibri" w:hAnsi="Calibri" w:cs="Calibri"/>
      <w:noProof/>
    </w:rPr>
  </w:style>
  <w:style w:type="character" w:styleId="Hyperlink">
    <w:name w:val="Hyperlink"/>
    <w:basedOn w:val="DefaultParagraphFont"/>
    <w:uiPriority w:val="99"/>
    <w:unhideWhenUsed/>
    <w:qFormat/>
    <w:rsid w:val="0053564C"/>
    <w:rPr>
      <w:rFonts w:ascii="Arial" w:hAnsi="Arial"/>
      <w:color w:val="1F4E79" w:themeColor="accent1" w:themeShade="80"/>
      <w:u w:val="single"/>
    </w:rPr>
  </w:style>
  <w:style w:type="paragraph" w:styleId="Header">
    <w:name w:val="header"/>
    <w:basedOn w:val="Normal"/>
    <w:link w:val="HeaderChar"/>
    <w:uiPriority w:val="99"/>
    <w:unhideWhenUsed/>
    <w:rsid w:val="00345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902"/>
    <w:rPr>
      <w:lang w:val="en-GB"/>
    </w:rPr>
  </w:style>
  <w:style w:type="paragraph" w:styleId="Footer">
    <w:name w:val="footer"/>
    <w:basedOn w:val="Normal"/>
    <w:link w:val="FooterChar"/>
    <w:uiPriority w:val="99"/>
    <w:unhideWhenUsed/>
    <w:rsid w:val="00345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90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a.ac.uk/blog/the-gender-wars-academic-freedom-and-education" TargetMode="External"/><Relationship Id="rId3" Type="http://schemas.openxmlformats.org/officeDocument/2006/relationships/webSettings" Target="webSettings.xml"/><Relationship Id="rId7" Type="http://schemas.openxmlformats.org/officeDocument/2006/relationships/hyperlink" Target="https://fundingawards.nihr.ac.uk/award/17/51/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sets.publishing.service.gov.uk/government/uploads/system/uploads/attachment_data/file/814689/hmip-annual-report-2018-19.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Sullivan</dc:creator>
  <cp:keywords/>
  <dc:description/>
  <cp:lastModifiedBy>Armstrong, John</cp:lastModifiedBy>
  <cp:revision>3</cp:revision>
  <cp:lastPrinted>2020-09-15T13:04:00Z</cp:lastPrinted>
  <dcterms:created xsi:type="dcterms:W3CDTF">2020-09-15T09:36:00Z</dcterms:created>
  <dcterms:modified xsi:type="dcterms:W3CDTF">2020-09-15T13:13:00Z</dcterms:modified>
</cp:coreProperties>
</file>